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7F2DB5">
      <w:pPr>
        <w:overflowPunct w:val="0"/>
        <w:autoSpaceDE w:val="0"/>
        <w:autoSpaceDN w:val="0"/>
        <w:adjustRightInd w:val="0"/>
        <w:snapToGrid w:val="0"/>
        <w:spacing w:before="120" w:line="450" w:lineRule="exact"/>
        <w:ind w:firstLine="640" w:firstLineChars="200"/>
        <w:rPr>
          <w:rFonts w:hint="eastAsia" w:eastAsia="方正仿宋_GBK"/>
          <w:snapToGrid w:val="0"/>
          <w:color w:val="000000"/>
          <w:kern w:val="0"/>
          <w:sz w:val="32"/>
          <w:szCs w:val="32"/>
        </w:rPr>
      </w:pPr>
    </w:p>
    <w:p w14:paraId="4AF802EF">
      <w:pPr>
        <w:overflowPunct w:val="0"/>
        <w:autoSpaceDE w:val="0"/>
        <w:autoSpaceDN w:val="0"/>
        <w:adjustRightInd w:val="0"/>
        <w:snapToGrid w:val="0"/>
        <w:spacing w:before="120" w:line="450" w:lineRule="exact"/>
        <w:ind w:firstLine="640" w:firstLineChars="200"/>
        <w:rPr>
          <w:rFonts w:hint="eastAsia" w:eastAsia="方正仿宋_GBK"/>
          <w:snapToGrid w:val="0"/>
          <w:color w:val="000000"/>
          <w:kern w:val="0"/>
          <w:sz w:val="32"/>
          <w:szCs w:val="32"/>
        </w:rPr>
      </w:pPr>
    </w:p>
    <w:p w14:paraId="1C347B35">
      <w:pPr>
        <w:overflowPunct w:val="0"/>
        <w:autoSpaceDE w:val="0"/>
        <w:autoSpaceDN w:val="0"/>
        <w:adjustRightInd w:val="0"/>
        <w:snapToGrid w:val="0"/>
        <w:spacing w:before="120" w:line="450" w:lineRule="exact"/>
        <w:ind w:firstLine="640" w:firstLineChars="200"/>
        <w:rPr>
          <w:rFonts w:hint="eastAsia" w:eastAsia="方正仿宋_GBK"/>
          <w:snapToGrid w:val="0"/>
          <w:color w:val="000000"/>
          <w:kern w:val="0"/>
          <w:sz w:val="32"/>
          <w:szCs w:val="32"/>
        </w:rPr>
      </w:pPr>
      <w:bookmarkStart w:id="98" w:name="_GoBack"/>
      <w:bookmarkEnd w:id="98"/>
    </w:p>
    <w:p w14:paraId="151C7404">
      <w:pPr>
        <w:spacing w:line="960" w:lineRule="exact"/>
        <w:jc w:val="center"/>
        <w:rPr>
          <w:rFonts w:ascii="方正小标宋_GBK" w:hAnsi="方正小标宋_GBK" w:eastAsia="方正小标宋_GBK" w:cs="方正小标宋_GBK"/>
          <w:sz w:val="70"/>
          <w:szCs w:val="70"/>
        </w:rPr>
      </w:pPr>
      <w:r>
        <w:rPr>
          <w:rFonts w:ascii="方正小标宋_GBK" w:hAnsi="方正小标宋_GBK" w:eastAsia="方正小标宋_GBK" w:cs="方正小标宋_GBK"/>
          <w:sz w:val="70"/>
          <w:szCs w:val="70"/>
        </w:rPr>
        <w:t>常州市国民经济和社会发展</w:t>
      </w:r>
    </w:p>
    <w:p w14:paraId="4BD319EC">
      <w:pPr>
        <w:spacing w:before="240" w:line="960" w:lineRule="exact"/>
        <w:jc w:val="center"/>
        <w:rPr>
          <w:rFonts w:hint="eastAsia" w:ascii="方正小标宋_GBK" w:hAnsi="方正小标宋_GBK" w:eastAsia="方正小标宋_GBK" w:cs="方正小标宋_GBK"/>
          <w:sz w:val="70"/>
          <w:szCs w:val="70"/>
        </w:rPr>
      </w:pPr>
      <w:r>
        <w:rPr>
          <w:rFonts w:ascii="方正小标宋_GBK" w:hAnsi="方正小标宋_GBK" w:eastAsia="方正小标宋_GBK" w:cs="方正小标宋_GBK"/>
          <w:sz w:val="70"/>
          <w:szCs w:val="70"/>
        </w:rPr>
        <w:t>第十五个五年规划纲要</w:t>
      </w:r>
    </w:p>
    <w:p w14:paraId="489212D8">
      <w:pPr>
        <w:spacing w:line="960" w:lineRule="exact"/>
        <w:jc w:val="center"/>
        <w:rPr>
          <w:rFonts w:ascii="方正小标宋_GBK" w:hAnsi="方正小标宋_GBK" w:eastAsia="方正小标宋_GBK" w:cs="方正小标宋_GBK"/>
          <w:sz w:val="44"/>
          <w:szCs w:val="44"/>
        </w:rPr>
      </w:pPr>
    </w:p>
    <w:p w14:paraId="47CD7CBC">
      <w:pPr>
        <w:adjustRightInd w:val="0"/>
        <w:snapToGrid w:val="0"/>
        <w:spacing w:line="570" w:lineRule="exact"/>
        <w:jc w:val="center"/>
        <w:rPr>
          <w:rFonts w:hint="eastAsia" w:ascii="方正小标宋_GBK" w:eastAsia="方正小标宋_GBK"/>
          <w:color w:val="000000"/>
          <w:sz w:val="44"/>
          <w:szCs w:val="44"/>
        </w:rPr>
      </w:pPr>
      <w:r>
        <w:rPr>
          <w:rFonts w:eastAsia="方正仿宋_GBK"/>
          <w:snapToGrid w:val="0"/>
          <w:color w:val="000000"/>
          <w:kern w:val="0"/>
          <w:sz w:val="32"/>
          <w:szCs w:val="32"/>
        </w:rPr>
        <w:br w:type="page"/>
      </w:r>
    </w:p>
    <w:p w14:paraId="75C0B0D8">
      <w:pPr>
        <w:adjustRightInd w:val="0"/>
        <w:snapToGrid w:val="0"/>
        <w:spacing w:line="570" w:lineRule="exact"/>
        <w:jc w:val="center"/>
        <w:rPr>
          <w:rFonts w:hint="eastAsia" w:ascii="方正小标宋_GBK" w:eastAsia="方正小标宋_GBK"/>
          <w:color w:val="000000"/>
          <w:sz w:val="44"/>
          <w:szCs w:val="44"/>
        </w:rPr>
      </w:pPr>
      <w:r>
        <w:rPr>
          <w:rFonts w:hint="eastAsia" w:ascii="方正小标宋_GBK" w:eastAsia="方正小标宋_GBK"/>
          <w:color w:val="000000"/>
          <w:sz w:val="44"/>
          <w:szCs w:val="44"/>
        </w:rPr>
        <w:t>目    录</w:t>
      </w:r>
    </w:p>
    <w:p w14:paraId="1B9350A7">
      <w:pPr>
        <w:adjustRightInd w:val="0"/>
        <w:snapToGrid w:val="0"/>
        <w:spacing w:line="570" w:lineRule="exact"/>
        <w:jc w:val="center"/>
        <w:rPr>
          <w:rFonts w:ascii="方正小标宋_GBK" w:eastAsia="方正小标宋_GBK"/>
          <w:color w:val="000000"/>
          <w:sz w:val="44"/>
          <w:szCs w:val="44"/>
        </w:rPr>
      </w:pPr>
    </w:p>
    <w:p w14:paraId="68E4CFE7">
      <w:pPr>
        <w:overflowPunct w:val="0"/>
        <w:autoSpaceDE w:val="0"/>
        <w:autoSpaceDN w:val="0"/>
        <w:adjustRightInd w:val="0"/>
        <w:snapToGrid w:val="0"/>
        <w:spacing w:line="570" w:lineRule="exact"/>
        <w:rPr>
          <w:rFonts w:eastAsia="方正仿宋_GBK"/>
          <w:snapToGrid w:val="0"/>
          <w:color w:val="000000"/>
          <w:kern w:val="0"/>
          <w:sz w:val="32"/>
          <w:szCs w:val="32"/>
        </w:rPr>
      </w:pPr>
      <w:r>
        <w:rPr>
          <w:rFonts w:ascii="方正黑体_GBK" w:eastAsia="方正黑体_GBK"/>
          <w:snapToGrid w:val="0"/>
          <w:color w:val="000000"/>
          <w:kern w:val="0"/>
          <w:sz w:val="32"/>
          <w:szCs w:val="32"/>
        </w:rPr>
        <w:t>序言</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6</w:t>
      </w:r>
      <w:r>
        <w:rPr>
          <w:rFonts w:eastAsia="方正仿宋_GBK"/>
          <w:snapToGrid w:val="0"/>
          <w:color w:val="000000"/>
          <w:kern w:val="0"/>
          <w:sz w:val="32"/>
          <w:szCs w:val="32"/>
        </w:rPr>
        <w:t>）</w:t>
      </w:r>
    </w:p>
    <w:p w14:paraId="2ED16015">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第一章  全面发力新征程  奋力谱写新篇章</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7</w:t>
      </w:r>
      <w:r>
        <w:rPr>
          <w:rFonts w:eastAsia="方正仿宋_GBK"/>
          <w:snapToGrid w:val="0"/>
          <w:color w:val="000000"/>
          <w:kern w:val="0"/>
          <w:sz w:val="32"/>
          <w:szCs w:val="32"/>
        </w:rPr>
        <w:t>）</w:t>
      </w:r>
    </w:p>
    <w:p w14:paraId="636422CC">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发展基础</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7</w:t>
      </w:r>
      <w:r>
        <w:rPr>
          <w:rFonts w:eastAsia="方正仿宋_GBK"/>
          <w:snapToGrid w:val="0"/>
          <w:color w:val="000000"/>
          <w:kern w:val="0"/>
          <w:sz w:val="32"/>
          <w:szCs w:val="32"/>
        </w:rPr>
        <w:t>）</w:t>
      </w:r>
    </w:p>
    <w:p w14:paraId="7AE52163">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spacing w:val="-4"/>
          <w:kern w:val="0"/>
          <w:sz w:val="32"/>
          <w:szCs w:val="32"/>
        </w:rPr>
        <w:t>第二节  发展环境</w:t>
      </w:r>
      <w:r>
        <w:rPr>
          <w:rFonts w:ascii="宋体" w:hAnsi="宋体"/>
          <w:snapToGrid w:val="0"/>
          <w:color w:val="000000"/>
          <w:spacing w:val="-4"/>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17</w:t>
      </w:r>
      <w:r>
        <w:rPr>
          <w:rFonts w:eastAsia="方正仿宋_GBK"/>
          <w:snapToGrid w:val="0"/>
          <w:color w:val="000000"/>
          <w:kern w:val="0"/>
          <w:sz w:val="32"/>
          <w:szCs w:val="32"/>
        </w:rPr>
        <w:t>）</w:t>
      </w:r>
    </w:p>
    <w:p w14:paraId="15B75BCF">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spacing w:val="-4"/>
          <w:kern w:val="0"/>
          <w:sz w:val="32"/>
          <w:szCs w:val="32"/>
        </w:rPr>
        <w:t>第三节  指导思想</w:t>
      </w:r>
      <w:r>
        <w:rPr>
          <w:rFonts w:ascii="宋体" w:hAnsi="宋体"/>
          <w:snapToGrid w:val="0"/>
          <w:color w:val="000000"/>
          <w:spacing w:val="-4"/>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21</w:t>
      </w:r>
      <w:r>
        <w:rPr>
          <w:rFonts w:eastAsia="方正仿宋_GBK"/>
          <w:snapToGrid w:val="0"/>
          <w:color w:val="000000"/>
          <w:kern w:val="0"/>
          <w:sz w:val="32"/>
          <w:szCs w:val="32"/>
        </w:rPr>
        <w:t>）</w:t>
      </w:r>
    </w:p>
    <w:p w14:paraId="1D1D61EE">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spacing w:val="-4"/>
          <w:kern w:val="0"/>
          <w:sz w:val="32"/>
          <w:szCs w:val="32"/>
        </w:rPr>
        <w:t>第四节  主要目标</w:t>
      </w:r>
      <w:r>
        <w:rPr>
          <w:rFonts w:ascii="宋体" w:hAnsi="宋体"/>
          <w:snapToGrid w:val="0"/>
          <w:color w:val="000000"/>
          <w:spacing w:val="-4"/>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22</w:t>
      </w:r>
      <w:r>
        <w:rPr>
          <w:rFonts w:eastAsia="方正仿宋_GBK"/>
          <w:snapToGrid w:val="0"/>
          <w:color w:val="000000"/>
          <w:kern w:val="0"/>
          <w:sz w:val="32"/>
          <w:szCs w:val="32"/>
        </w:rPr>
        <w:t>）</w:t>
      </w:r>
    </w:p>
    <w:p w14:paraId="71C86896">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第二章  坚守实体经济  打造全国先进制造业基地</w:t>
      </w:r>
      <w:r>
        <w:rPr>
          <w:rFonts w:hint="eastAsia" w:ascii="方正黑体_GBK" w:eastAsia="方正黑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27</w:t>
      </w:r>
      <w:r>
        <w:rPr>
          <w:rFonts w:eastAsia="方正仿宋_GBK"/>
          <w:snapToGrid w:val="0"/>
          <w:color w:val="000000"/>
          <w:kern w:val="0"/>
          <w:sz w:val="32"/>
          <w:szCs w:val="32"/>
        </w:rPr>
        <w:t>）</w:t>
      </w:r>
    </w:p>
    <w:p w14:paraId="7ECA2FA8">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高质量建设先进制造业集群</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27</w:t>
      </w:r>
      <w:r>
        <w:rPr>
          <w:rFonts w:eastAsia="方正仿宋_GBK"/>
          <w:snapToGrid w:val="0"/>
          <w:color w:val="000000"/>
          <w:kern w:val="0"/>
          <w:sz w:val="32"/>
          <w:szCs w:val="32"/>
        </w:rPr>
        <w:t>）</w:t>
      </w:r>
    </w:p>
    <w:p w14:paraId="14AABDD9">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提升现代服务业发展能级</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31</w:t>
      </w:r>
      <w:r>
        <w:rPr>
          <w:rFonts w:eastAsia="方正仿宋_GBK"/>
          <w:snapToGrid w:val="0"/>
          <w:color w:val="000000"/>
          <w:kern w:val="0"/>
          <w:sz w:val="32"/>
          <w:szCs w:val="32"/>
        </w:rPr>
        <w:t>）</w:t>
      </w:r>
    </w:p>
    <w:p w14:paraId="53403C41">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做强做优做大数智经济</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34</w:t>
      </w:r>
      <w:r>
        <w:rPr>
          <w:rFonts w:eastAsia="方正仿宋_GBK"/>
          <w:snapToGrid w:val="0"/>
          <w:color w:val="000000"/>
          <w:kern w:val="0"/>
          <w:sz w:val="32"/>
          <w:szCs w:val="32"/>
        </w:rPr>
        <w:t>）</w:t>
      </w:r>
    </w:p>
    <w:p w14:paraId="5F837C4C">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第四节  着力优化产业空间布局</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37</w:t>
      </w:r>
      <w:r>
        <w:rPr>
          <w:rFonts w:eastAsia="方正仿宋_GBK"/>
          <w:snapToGrid w:val="0"/>
          <w:color w:val="000000"/>
          <w:kern w:val="0"/>
          <w:sz w:val="32"/>
          <w:szCs w:val="32"/>
        </w:rPr>
        <w:t>）</w:t>
      </w:r>
    </w:p>
    <w:p w14:paraId="4EBD9C2F">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第三章  突出产科融合  建设区域性科技创新高地</w:t>
      </w:r>
      <w:r>
        <w:rPr>
          <w:rFonts w:hint="eastAsia" w:ascii="方正黑体_GBK" w:eastAsia="方正黑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39</w:t>
      </w:r>
      <w:r>
        <w:rPr>
          <w:rFonts w:eastAsia="方正仿宋_GBK"/>
          <w:snapToGrid w:val="0"/>
          <w:color w:val="000000"/>
          <w:kern w:val="0"/>
          <w:sz w:val="32"/>
          <w:szCs w:val="32"/>
        </w:rPr>
        <w:t>）</w:t>
      </w:r>
    </w:p>
    <w:p w14:paraId="5A38D8FE">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强化企业创新主体地位</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39</w:t>
      </w:r>
      <w:r>
        <w:rPr>
          <w:rFonts w:eastAsia="方正仿宋_GBK"/>
          <w:snapToGrid w:val="0"/>
          <w:color w:val="000000"/>
          <w:kern w:val="0"/>
          <w:sz w:val="32"/>
          <w:szCs w:val="32"/>
        </w:rPr>
        <w:t>）</w:t>
      </w:r>
    </w:p>
    <w:p w14:paraId="23CD64FD">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大力提升科创平台载体质效</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40</w:t>
      </w:r>
      <w:r>
        <w:rPr>
          <w:rFonts w:eastAsia="方正仿宋_GBK"/>
          <w:snapToGrid w:val="0"/>
          <w:color w:val="000000"/>
          <w:kern w:val="0"/>
          <w:sz w:val="32"/>
          <w:szCs w:val="32"/>
        </w:rPr>
        <w:t>）</w:t>
      </w:r>
    </w:p>
    <w:p w14:paraId="0B82335B">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加快打造创新人才高地</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44</w:t>
      </w:r>
      <w:r>
        <w:rPr>
          <w:rFonts w:eastAsia="方正仿宋_GBK"/>
          <w:snapToGrid w:val="0"/>
          <w:color w:val="000000"/>
          <w:kern w:val="0"/>
          <w:sz w:val="32"/>
          <w:szCs w:val="32"/>
        </w:rPr>
        <w:t>）</w:t>
      </w:r>
    </w:p>
    <w:p w14:paraId="4DB2DC55">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第四节  营造一流创业创新生态</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46</w:t>
      </w:r>
      <w:r>
        <w:rPr>
          <w:rFonts w:eastAsia="方正仿宋_GBK"/>
          <w:snapToGrid w:val="0"/>
          <w:color w:val="000000"/>
          <w:kern w:val="0"/>
          <w:sz w:val="32"/>
          <w:szCs w:val="32"/>
        </w:rPr>
        <w:t>）</w:t>
      </w:r>
    </w:p>
    <w:p w14:paraId="2B394770">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第四章  提升城市能级  建设现代化区域中心城市</w:t>
      </w:r>
      <w:r>
        <w:rPr>
          <w:rFonts w:hint="eastAsia" w:ascii="方正黑体_GBK" w:eastAsia="方正黑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49</w:t>
      </w:r>
      <w:r>
        <w:rPr>
          <w:rFonts w:eastAsia="方正仿宋_GBK"/>
          <w:snapToGrid w:val="0"/>
          <w:color w:val="000000"/>
          <w:kern w:val="0"/>
          <w:sz w:val="32"/>
          <w:szCs w:val="32"/>
        </w:rPr>
        <w:t>）</w:t>
      </w:r>
    </w:p>
    <w:p w14:paraId="53417AAF">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优化调整城乡空间格局</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49</w:t>
      </w:r>
      <w:r>
        <w:rPr>
          <w:rFonts w:eastAsia="方正仿宋_GBK"/>
          <w:snapToGrid w:val="0"/>
          <w:color w:val="000000"/>
          <w:kern w:val="0"/>
          <w:sz w:val="32"/>
          <w:szCs w:val="32"/>
        </w:rPr>
        <w:t>）</w:t>
      </w:r>
    </w:p>
    <w:p w14:paraId="563EBFDB">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融入区域一体化发展</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52</w:t>
      </w:r>
      <w:r>
        <w:rPr>
          <w:rFonts w:eastAsia="方正仿宋_GBK"/>
          <w:snapToGrid w:val="0"/>
          <w:color w:val="000000"/>
          <w:kern w:val="0"/>
          <w:sz w:val="32"/>
          <w:szCs w:val="32"/>
        </w:rPr>
        <w:t>）</w:t>
      </w:r>
    </w:p>
    <w:p w14:paraId="25E27AD0">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强化现代基础设施支撑</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54</w:t>
      </w:r>
      <w:r>
        <w:rPr>
          <w:rFonts w:eastAsia="方正仿宋_GBK"/>
          <w:snapToGrid w:val="0"/>
          <w:color w:val="000000"/>
          <w:kern w:val="0"/>
          <w:sz w:val="32"/>
          <w:szCs w:val="32"/>
        </w:rPr>
        <w:t>）</w:t>
      </w:r>
    </w:p>
    <w:p w14:paraId="2F86775B">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第四节  实施城市更新行动</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57</w:t>
      </w:r>
      <w:r>
        <w:rPr>
          <w:rFonts w:eastAsia="方正仿宋_GBK"/>
          <w:snapToGrid w:val="0"/>
          <w:color w:val="000000"/>
          <w:kern w:val="0"/>
          <w:sz w:val="32"/>
          <w:szCs w:val="32"/>
        </w:rPr>
        <w:t>）</w:t>
      </w:r>
    </w:p>
    <w:p w14:paraId="48EB5167">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第五章  全方位扩大内需  服务构建新发展格局</w:t>
      </w:r>
      <w:r>
        <w:rPr>
          <w:rFonts w:hint="eastAsia" w:ascii="方正黑体_GBK" w:eastAsia="方正黑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59</w:t>
      </w:r>
      <w:r>
        <w:rPr>
          <w:rFonts w:eastAsia="方正仿宋_GBK"/>
          <w:snapToGrid w:val="0"/>
          <w:color w:val="000000"/>
          <w:kern w:val="0"/>
          <w:sz w:val="32"/>
          <w:szCs w:val="32"/>
        </w:rPr>
        <w:t>）</w:t>
      </w:r>
    </w:p>
    <w:p w14:paraId="5F26A5D8">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全面激发消费潜能</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59</w:t>
      </w:r>
      <w:r>
        <w:rPr>
          <w:rFonts w:eastAsia="方正仿宋_GBK"/>
          <w:snapToGrid w:val="0"/>
          <w:color w:val="000000"/>
          <w:kern w:val="0"/>
          <w:sz w:val="32"/>
          <w:szCs w:val="32"/>
        </w:rPr>
        <w:t>）</w:t>
      </w:r>
    </w:p>
    <w:p w14:paraId="6D496F3D">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精准扩大有效投资</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60</w:t>
      </w:r>
      <w:r>
        <w:rPr>
          <w:rFonts w:eastAsia="方正仿宋_GBK"/>
          <w:snapToGrid w:val="0"/>
          <w:color w:val="000000"/>
          <w:kern w:val="0"/>
          <w:sz w:val="32"/>
          <w:szCs w:val="32"/>
        </w:rPr>
        <w:t>）</w:t>
      </w:r>
    </w:p>
    <w:p w14:paraId="130E740C">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健全优化现代流通体系</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61</w:t>
      </w:r>
      <w:r>
        <w:rPr>
          <w:rFonts w:eastAsia="方正仿宋_GBK"/>
          <w:snapToGrid w:val="0"/>
          <w:color w:val="000000"/>
          <w:kern w:val="0"/>
          <w:sz w:val="32"/>
          <w:szCs w:val="32"/>
        </w:rPr>
        <w:t>）</w:t>
      </w:r>
    </w:p>
    <w:p w14:paraId="360DE565">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第四节  提高供给质量效率</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62</w:t>
      </w:r>
      <w:r>
        <w:rPr>
          <w:rFonts w:eastAsia="方正仿宋_GBK"/>
          <w:snapToGrid w:val="0"/>
          <w:color w:val="000000"/>
          <w:kern w:val="0"/>
          <w:sz w:val="32"/>
          <w:szCs w:val="32"/>
        </w:rPr>
        <w:t>）</w:t>
      </w:r>
    </w:p>
    <w:p w14:paraId="5FF09024">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第六章  深化改革开放  打造一流营商环境</w:t>
      </w:r>
      <w:r>
        <w:rPr>
          <w:rFonts w:hint="eastAsia" w:ascii="方正黑体_GBK" w:eastAsia="方正黑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64</w:t>
      </w:r>
      <w:r>
        <w:rPr>
          <w:rFonts w:eastAsia="方正仿宋_GBK"/>
          <w:snapToGrid w:val="0"/>
          <w:color w:val="000000"/>
          <w:kern w:val="0"/>
          <w:sz w:val="32"/>
          <w:szCs w:val="32"/>
        </w:rPr>
        <w:t>）</w:t>
      </w:r>
    </w:p>
    <w:p w14:paraId="02521A71">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推进重点领域改革</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64</w:t>
      </w:r>
      <w:r>
        <w:rPr>
          <w:rFonts w:eastAsia="方正仿宋_GBK"/>
          <w:snapToGrid w:val="0"/>
          <w:color w:val="000000"/>
          <w:kern w:val="0"/>
          <w:sz w:val="32"/>
          <w:szCs w:val="32"/>
        </w:rPr>
        <w:t>）</w:t>
      </w:r>
    </w:p>
    <w:p w14:paraId="6D3C6D30">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持续深化营商环境综合改革</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68</w:t>
      </w:r>
      <w:r>
        <w:rPr>
          <w:rFonts w:eastAsia="方正仿宋_GBK"/>
          <w:snapToGrid w:val="0"/>
          <w:color w:val="000000"/>
          <w:kern w:val="0"/>
          <w:sz w:val="32"/>
          <w:szCs w:val="32"/>
        </w:rPr>
        <w:t>）</w:t>
      </w:r>
    </w:p>
    <w:p w14:paraId="4E78CDCF">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促进高水平对外开放</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69</w:t>
      </w:r>
      <w:r>
        <w:rPr>
          <w:rFonts w:eastAsia="方正仿宋_GBK"/>
          <w:snapToGrid w:val="0"/>
          <w:color w:val="000000"/>
          <w:kern w:val="0"/>
          <w:sz w:val="32"/>
          <w:szCs w:val="32"/>
        </w:rPr>
        <w:t>）</w:t>
      </w:r>
    </w:p>
    <w:p w14:paraId="4F6B66EC">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第七章  全面振兴乡村  促进城乡融合发展</w:t>
      </w:r>
      <w:r>
        <w:rPr>
          <w:rFonts w:hint="eastAsia" w:ascii="方正黑体_GBK" w:eastAsia="方正黑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73</w:t>
      </w:r>
      <w:r>
        <w:rPr>
          <w:rFonts w:eastAsia="方正仿宋_GBK"/>
          <w:snapToGrid w:val="0"/>
          <w:color w:val="000000"/>
          <w:kern w:val="0"/>
          <w:sz w:val="32"/>
          <w:szCs w:val="32"/>
        </w:rPr>
        <w:t>）</w:t>
      </w:r>
    </w:p>
    <w:p w14:paraId="17F37445">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做强现代农业</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73</w:t>
      </w:r>
      <w:r>
        <w:rPr>
          <w:rFonts w:eastAsia="方正仿宋_GBK"/>
          <w:snapToGrid w:val="0"/>
          <w:color w:val="000000"/>
          <w:kern w:val="0"/>
          <w:sz w:val="32"/>
          <w:szCs w:val="32"/>
        </w:rPr>
        <w:t>）</w:t>
      </w:r>
    </w:p>
    <w:p w14:paraId="28D54DE0">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建设和美乡村</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75</w:t>
      </w:r>
      <w:r>
        <w:rPr>
          <w:rFonts w:eastAsia="方正仿宋_GBK"/>
          <w:snapToGrid w:val="0"/>
          <w:color w:val="000000"/>
          <w:kern w:val="0"/>
          <w:sz w:val="32"/>
          <w:szCs w:val="32"/>
        </w:rPr>
        <w:t>）</w:t>
      </w:r>
    </w:p>
    <w:p w14:paraId="05BE6828">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推动富民强村</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75</w:t>
      </w:r>
      <w:r>
        <w:rPr>
          <w:rFonts w:eastAsia="方正仿宋_GBK"/>
          <w:snapToGrid w:val="0"/>
          <w:color w:val="000000"/>
          <w:kern w:val="0"/>
          <w:sz w:val="32"/>
          <w:szCs w:val="32"/>
        </w:rPr>
        <w:t>）</w:t>
      </w:r>
    </w:p>
    <w:p w14:paraId="0B937FE5">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第四节  促进城乡协调</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76</w:t>
      </w:r>
      <w:r>
        <w:rPr>
          <w:rFonts w:eastAsia="方正仿宋_GBK"/>
          <w:snapToGrid w:val="0"/>
          <w:color w:val="000000"/>
          <w:kern w:val="0"/>
          <w:sz w:val="32"/>
          <w:szCs w:val="32"/>
        </w:rPr>
        <w:t>）</w:t>
      </w:r>
    </w:p>
    <w:p w14:paraId="24F54096">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第八章  践行“两山”理念  加快建设美丽常州</w:t>
      </w:r>
      <w:r>
        <w:rPr>
          <w:rFonts w:hint="eastAsia" w:ascii="方正黑体_GBK" w:eastAsia="方正黑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78</w:t>
      </w:r>
      <w:r>
        <w:rPr>
          <w:rFonts w:eastAsia="方正仿宋_GBK"/>
          <w:snapToGrid w:val="0"/>
          <w:color w:val="000000"/>
          <w:kern w:val="0"/>
          <w:sz w:val="32"/>
          <w:szCs w:val="32"/>
        </w:rPr>
        <w:t>）</w:t>
      </w:r>
    </w:p>
    <w:p w14:paraId="61EA4AFD">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持续深化生态环境治理</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78</w:t>
      </w:r>
      <w:r>
        <w:rPr>
          <w:rFonts w:eastAsia="方正仿宋_GBK"/>
          <w:snapToGrid w:val="0"/>
          <w:color w:val="000000"/>
          <w:kern w:val="0"/>
          <w:sz w:val="32"/>
          <w:szCs w:val="32"/>
        </w:rPr>
        <w:t>）</w:t>
      </w:r>
    </w:p>
    <w:p w14:paraId="406DE211">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建设国家碳达峰试点城市</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80</w:t>
      </w:r>
      <w:r>
        <w:rPr>
          <w:rFonts w:eastAsia="方正仿宋_GBK"/>
          <w:snapToGrid w:val="0"/>
          <w:color w:val="000000"/>
          <w:kern w:val="0"/>
          <w:sz w:val="32"/>
          <w:szCs w:val="32"/>
        </w:rPr>
        <w:t>）</w:t>
      </w:r>
    </w:p>
    <w:p w14:paraId="1B5E5390">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构建新型能源体系</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82</w:t>
      </w:r>
      <w:r>
        <w:rPr>
          <w:rFonts w:eastAsia="方正仿宋_GBK"/>
          <w:snapToGrid w:val="0"/>
          <w:color w:val="000000"/>
          <w:kern w:val="0"/>
          <w:sz w:val="32"/>
          <w:szCs w:val="32"/>
        </w:rPr>
        <w:t>）</w:t>
      </w:r>
    </w:p>
    <w:p w14:paraId="4D0603FA">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第四节  推动绿色低碳循环发展</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86</w:t>
      </w:r>
      <w:r>
        <w:rPr>
          <w:rFonts w:eastAsia="方正仿宋_GBK"/>
          <w:snapToGrid w:val="0"/>
          <w:color w:val="000000"/>
          <w:kern w:val="0"/>
          <w:sz w:val="32"/>
          <w:szCs w:val="32"/>
        </w:rPr>
        <w:t>）</w:t>
      </w:r>
    </w:p>
    <w:p w14:paraId="4F68C8E6">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第九章  彰显文化特色  打造人文经济样本地</w:t>
      </w:r>
      <w:r>
        <w:rPr>
          <w:rFonts w:hint="eastAsia" w:ascii="方正黑体_GBK" w:eastAsia="方正黑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88</w:t>
      </w:r>
      <w:r>
        <w:rPr>
          <w:rFonts w:eastAsia="方正仿宋_GBK"/>
          <w:snapToGrid w:val="0"/>
          <w:color w:val="000000"/>
          <w:kern w:val="0"/>
          <w:sz w:val="32"/>
          <w:szCs w:val="32"/>
        </w:rPr>
        <w:t>）</w:t>
      </w:r>
    </w:p>
    <w:p w14:paraId="124A24C9">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提升社会文明程度</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88</w:t>
      </w:r>
      <w:r>
        <w:rPr>
          <w:rFonts w:eastAsia="方正仿宋_GBK"/>
          <w:snapToGrid w:val="0"/>
          <w:color w:val="000000"/>
          <w:kern w:val="0"/>
          <w:sz w:val="32"/>
          <w:szCs w:val="32"/>
        </w:rPr>
        <w:t>）</w:t>
      </w:r>
    </w:p>
    <w:p w14:paraId="5D25E498">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繁荣发展文化事业</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89</w:t>
      </w:r>
      <w:r>
        <w:rPr>
          <w:rFonts w:eastAsia="方正仿宋_GBK"/>
          <w:snapToGrid w:val="0"/>
          <w:color w:val="000000"/>
          <w:kern w:val="0"/>
          <w:sz w:val="32"/>
          <w:szCs w:val="32"/>
        </w:rPr>
        <w:t>）</w:t>
      </w:r>
    </w:p>
    <w:p w14:paraId="39344AA5">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促进文商旅体融合发展</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91</w:t>
      </w:r>
      <w:r>
        <w:rPr>
          <w:rFonts w:eastAsia="方正仿宋_GBK"/>
          <w:snapToGrid w:val="0"/>
          <w:color w:val="000000"/>
          <w:kern w:val="0"/>
          <w:sz w:val="32"/>
          <w:szCs w:val="32"/>
        </w:rPr>
        <w:t>）</w:t>
      </w:r>
    </w:p>
    <w:p w14:paraId="4FDB8E02">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第四节  加强历史文化保护</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92</w:t>
      </w:r>
      <w:r>
        <w:rPr>
          <w:rFonts w:eastAsia="方正仿宋_GBK"/>
          <w:snapToGrid w:val="0"/>
          <w:color w:val="000000"/>
          <w:kern w:val="0"/>
          <w:sz w:val="32"/>
          <w:szCs w:val="32"/>
        </w:rPr>
        <w:t>）</w:t>
      </w:r>
    </w:p>
    <w:p w14:paraId="2E5C3979">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第十章  坚持共建共享  全面促进共同富裕</w:t>
      </w:r>
      <w:r>
        <w:rPr>
          <w:rFonts w:hint="eastAsia" w:ascii="方正黑体_GBK" w:eastAsia="方正黑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94</w:t>
      </w:r>
      <w:r>
        <w:rPr>
          <w:rFonts w:eastAsia="方正仿宋_GBK"/>
          <w:snapToGrid w:val="0"/>
          <w:color w:val="000000"/>
          <w:kern w:val="0"/>
          <w:sz w:val="32"/>
          <w:szCs w:val="32"/>
        </w:rPr>
        <w:t>）</w:t>
      </w:r>
    </w:p>
    <w:p w14:paraId="359C3D4D">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促进人口高质量发展</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94</w:t>
      </w:r>
      <w:r>
        <w:rPr>
          <w:rFonts w:eastAsia="方正仿宋_GBK"/>
          <w:snapToGrid w:val="0"/>
          <w:color w:val="000000"/>
          <w:kern w:val="0"/>
          <w:sz w:val="32"/>
          <w:szCs w:val="32"/>
        </w:rPr>
        <w:t>）</w:t>
      </w:r>
    </w:p>
    <w:p w14:paraId="06EFC0CF">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着力扩大就业促进增收</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96</w:t>
      </w:r>
      <w:r>
        <w:rPr>
          <w:rFonts w:eastAsia="方正仿宋_GBK"/>
          <w:snapToGrid w:val="0"/>
          <w:color w:val="000000"/>
          <w:kern w:val="0"/>
          <w:sz w:val="32"/>
          <w:szCs w:val="32"/>
        </w:rPr>
        <w:t>）</w:t>
      </w:r>
    </w:p>
    <w:p w14:paraId="50883D9B">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加快建设现代化教育强市</w:t>
      </w:r>
      <w:r>
        <w:rPr>
          <w:rFonts w:hint="eastAsia" w:eastAsia="方正楷体_GBK"/>
          <w:snapToGrid w:val="0"/>
          <w:color w:val="000000"/>
          <w:kern w:val="0"/>
          <w:sz w:val="32"/>
          <w:szCs w:val="32"/>
        </w:rPr>
        <w:t xml:space="preserve"> </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98</w:t>
      </w:r>
      <w:r>
        <w:rPr>
          <w:rFonts w:eastAsia="方正仿宋_GBK"/>
          <w:snapToGrid w:val="0"/>
          <w:color w:val="000000"/>
          <w:kern w:val="0"/>
          <w:sz w:val="32"/>
          <w:szCs w:val="32"/>
        </w:rPr>
        <w:t>）</w:t>
      </w:r>
    </w:p>
    <w:p w14:paraId="076C7725">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第四节  全面推进健康常州建设</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100</w:t>
      </w:r>
      <w:r>
        <w:rPr>
          <w:rFonts w:eastAsia="方正仿宋_GBK"/>
          <w:snapToGrid w:val="0"/>
          <w:color w:val="000000"/>
          <w:kern w:val="0"/>
          <w:sz w:val="32"/>
          <w:szCs w:val="32"/>
        </w:rPr>
        <w:t>）</w:t>
      </w:r>
    </w:p>
    <w:p w14:paraId="5AEC4CA1">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第五节  健全多层次社会保障体系</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103</w:t>
      </w:r>
      <w:r>
        <w:rPr>
          <w:rFonts w:eastAsia="方正仿宋_GBK"/>
          <w:snapToGrid w:val="0"/>
          <w:color w:val="000000"/>
          <w:kern w:val="0"/>
          <w:sz w:val="32"/>
          <w:szCs w:val="32"/>
        </w:rPr>
        <w:t>）</w:t>
      </w:r>
    </w:p>
    <w:p w14:paraId="45D8C608">
      <w:pPr>
        <w:overflowPunct w:val="0"/>
        <w:autoSpaceDE w:val="0"/>
        <w:autoSpaceDN w:val="0"/>
        <w:adjustRightInd w:val="0"/>
        <w:snapToGrid w:val="0"/>
        <w:spacing w:line="570" w:lineRule="exact"/>
        <w:rPr>
          <w:rFonts w:ascii="方正黑体_GBK" w:eastAsia="方正黑体_GBK"/>
          <w:snapToGrid w:val="0"/>
          <w:color w:val="000000"/>
          <w:kern w:val="0"/>
          <w:sz w:val="32"/>
          <w:szCs w:val="32"/>
        </w:rPr>
      </w:pPr>
      <w:r>
        <w:rPr>
          <w:rFonts w:ascii="方正黑体_GBK" w:eastAsia="方正黑体_GBK"/>
          <w:snapToGrid w:val="0"/>
          <w:color w:val="000000"/>
          <w:kern w:val="0"/>
          <w:sz w:val="32"/>
          <w:szCs w:val="32"/>
        </w:rPr>
        <w:t>第十一章  统筹发展和安全  建设更高水平的平安常州</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105</w:t>
      </w:r>
      <w:r>
        <w:rPr>
          <w:rFonts w:eastAsia="方正仿宋_GBK"/>
          <w:snapToGrid w:val="0"/>
          <w:color w:val="000000"/>
          <w:kern w:val="0"/>
          <w:sz w:val="32"/>
          <w:szCs w:val="32"/>
        </w:rPr>
        <w:t>）</w:t>
      </w:r>
    </w:p>
    <w:p w14:paraId="0EEE22EA">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构建联动高效新安全格局</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105</w:t>
      </w:r>
      <w:r>
        <w:rPr>
          <w:rFonts w:eastAsia="方正仿宋_GBK"/>
          <w:snapToGrid w:val="0"/>
          <w:color w:val="000000"/>
          <w:kern w:val="0"/>
          <w:sz w:val="32"/>
          <w:szCs w:val="32"/>
        </w:rPr>
        <w:t>）</w:t>
      </w:r>
    </w:p>
    <w:p w14:paraId="5C547405">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有效防范化解重点领域风险</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106</w:t>
      </w:r>
      <w:r>
        <w:rPr>
          <w:rFonts w:eastAsia="方正仿宋_GBK"/>
          <w:snapToGrid w:val="0"/>
          <w:color w:val="000000"/>
          <w:kern w:val="0"/>
          <w:sz w:val="32"/>
          <w:szCs w:val="32"/>
        </w:rPr>
        <w:t>）</w:t>
      </w:r>
    </w:p>
    <w:p w14:paraId="036B83ED">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持续提升应急管理水平</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107</w:t>
      </w:r>
      <w:r>
        <w:rPr>
          <w:rFonts w:eastAsia="方正仿宋_GBK"/>
          <w:snapToGrid w:val="0"/>
          <w:color w:val="000000"/>
          <w:kern w:val="0"/>
          <w:sz w:val="32"/>
          <w:szCs w:val="32"/>
        </w:rPr>
        <w:t>）</w:t>
      </w:r>
    </w:p>
    <w:p w14:paraId="02618A6E">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第四节  深入推进法治常州建设</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109</w:t>
      </w:r>
      <w:r>
        <w:rPr>
          <w:rFonts w:eastAsia="方正仿宋_GBK"/>
          <w:snapToGrid w:val="0"/>
          <w:color w:val="000000"/>
          <w:kern w:val="0"/>
          <w:sz w:val="32"/>
          <w:szCs w:val="32"/>
        </w:rPr>
        <w:t>）</w:t>
      </w:r>
    </w:p>
    <w:p w14:paraId="67B4624F">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第五节  创新完善社会治理体系</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111</w:t>
      </w:r>
      <w:r>
        <w:rPr>
          <w:rFonts w:eastAsia="方正仿宋_GBK"/>
          <w:snapToGrid w:val="0"/>
          <w:color w:val="000000"/>
          <w:kern w:val="0"/>
          <w:sz w:val="32"/>
          <w:szCs w:val="32"/>
        </w:rPr>
        <w:t>）</w:t>
      </w:r>
    </w:p>
    <w:p w14:paraId="1F555C03">
      <w:pPr>
        <w:overflowPunct w:val="0"/>
        <w:autoSpaceDE w:val="0"/>
        <w:autoSpaceDN w:val="0"/>
        <w:adjustRightInd w:val="0"/>
        <w:snapToGrid w:val="0"/>
        <w:spacing w:line="570" w:lineRule="exact"/>
        <w:rPr>
          <w:rFonts w:hint="eastAsia" w:ascii="方正黑体_GBK" w:eastAsia="方正黑体_GBK"/>
          <w:snapToGrid w:val="0"/>
          <w:color w:val="000000"/>
          <w:kern w:val="0"/>
          <w:sz w:val="32"/>
          <w:szCs w:val="32"/>
        </w:rPr>
      </w:pPr>
      <w:r>
        <w:rPr>
          <w:rFonts w:hint="eastAsia" w:ascii="方正黑体_GBK" w:eastAsia="方正黑体_GBK"/>
          <w:snapToGrid w:val="0"/>
          <w:color w:val="000000"/>
          <w:kern w:val="0"/>
          <w:sz w:val="32"/>
          <w:szCs w:val="32"/>
        </w:rPr>
        <w:t>第十二章  加强组织实施  奋力完成规划目标</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113</w:t>
      </w:r>
      <w:r>
        <w:rPr>
          <w:rFonts w:eastAsia="方正仿宋_GBK"/>
          <w:snapToGrid w:val="0"/>
          <w:color w:val="000000"/>
          <w:kern w:val="0"/>
          <w:sz w:val="32"/>
          <w:szCs w:val="32"/>
        </w:rPr>
        <w:t>）</w:t>
      </w:r>
    </w:p>
    <w:p w14:paraId="2C3B5E89">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第一节  坚持党的全面领导</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113</w:t>
      </w:r>
      <w:r>
        <w:rPr>
          <w:rFonts w:eastAsia="方正仿宋_GBK"/>
          <w:snapToGrid w:val="0"/>
          <w:color w:val="000000"/>
          <w:kern w:val="0"/>
          <w:sz w:val="32"/>
          <w:szCs w:val="32"/>
        </w:rPr>
        <w:t>）</w:t>
      </w:r>
    </w:p>
    <w:p w14:paraId="405C2628">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第二节  健全规划实施机制</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114</w:t>
      </w:r>
      <w:r>
        <w:rPr>
          <w:rFonts w:eastAsia="方正仿宋_GBK"/>
          <w:snapToGrid w:val="0"/>
          <w:color w:val="000000"/>
          <w:kern w:val="0"/>
          <w:sz w:val="32"/>
          <w:szCs w:val="32"/>
        </w:rPr>
        <w:t>）</w:t>
      </w:r>
    </w:p>
    <w:p w14:paraId="6ECD8A78">
      <w:pPr>
        <w:overflowPunct w:val="0"/>
        <w:autoSpaceDE w:val="0"/>
        <w:autoSpaceDN w:val="0"/>
        <w:adjustRightInd w:val="0"/>
        <w:snapToGrid w:val="0"/>
        <w:spacing w:line="570" w:lineRule="exact"/>
        <w:rPr>
          <w:rFonts w:eastAsia="方正楷体_GBK"/>
          <w:snapToGrid w:val="0"/>
          <w:color w:val="000000"/>
          <w:kern w:val="0"/>
          <w:sz w:val="32"/>
          <w:szCs w:val="32"/>
        </w:rPr>
      </w:pPr>
      <w:r>
        <w:rPr>
          <w:rFonts w:eastAsia="方正楷体_GBK"/>
          <w:snapToGrid w:val="0"/>
          <w:color w:val="000000"/>
          <w:kern w:val="0"/>
          <w:sz w:val="32"/>
          <w:szCs w:val="32"/>
        </w:rPr>
        <w:t>第三节  广泛凝聚社会合力</w:t>
      </w:r>
      <w:r>
        <w:rPr>
          <w:rFonts w:ascii="宋体" w:hAnsi="宋体"/>
          <w:snapToGrid w:val="0"/>
          <w:color w:val="000000"/>
          <w:kern w:val="0"/>
          <w:sz w:val="32"/>
          <w:szCs w:val="32"/>
        </w:rPr>
        <w:t>…………………………………</w:t>
      </w:r>
      <w:r>
        <w:rPr>
          <w:rFonts w:eastAsia="方正仿宋_GBK"/>
          <w:snapToGrid w:val="0"/>
          <w:color w:val="000000"/>
          <w:kern w:val="0"/>
          <w:sz w:val="32"/>
          <w:szCs w:val="32"/>
        </w:rPr>
        <w:t>（</w:t>
      </w:r>
      <w:r>
        <w:rPr>
          <w:rFonts w:hint="eastAsia" w:eastAsia="方正仿宋_GBK"/>
          <w:snapToGrid w:val="0"/>
          <w:color w:val="000000"/>
          <w:kern w:val="0"/>
          <w:sz w:val="32"/>
          <w:szCs w:val="32"/>
        </w:rPr>
        <w:t>115</w:t>
      </w:r>
      <w:r>
        <w:rPr>
          <w:rFonts w:eastAsia="方正仿宋_GBK"/>
          <w:snapToGrid w:val="0"/>
          <w:color w:val="000000"/>
          <w:kern w:val="0"/>
          <w:sz w:val="32"/>
          <w:szCs w:val="32"/>
        </w:rPr>
        <w:t>）</w:t>
      </w:r>
    </w:p>
    <w:p w14:paraId="21EC7456">
      <w:pPr>
        <w:adjustRightInd w:val="0"/>
        <w:snapToGrid w:val="0"/>
        <w:spacing w:line="570" w:lineRule="exact"/>
        <w:jc w:val="center"/>
        <w:rPr>
          <w:rFonts w:hint="eastAsia" w:ascii="方正小标宋_GBK" w:eastAsia="方正小标宋_GBK"/>
          <w:color w:val="000000"/>
          <w:sz w:val="44"/>
          <w:szCs w:val="44"/>
        </w:rPr>
      </w:pPr>
      <w:r>
        <w:rPr>
          <w:rFonts w:eastAsia="方正仿宋_GBK"/>
          <w:snapToGrid w:val="0"/>
          <w:color w:val="000000"/>
          <w:kern w:val="0"/>
          <w:sz w:val="32"/>
          <w:szCs w:val="32"/>
        </w:rPr>
        <w:br w:type="page"/>
      </w:r>
    </w:p>
    <w:p w14:paraId="2F39BFD8">
      <w:pPr>
        <w:adjustRightInd w:val="0"/>
        <w:snapToGrid w:val="0"/>
        <w:spacing w:line="570" w:lineRule="exact"/>
        <w:jc w:val="center"/>
        <w:rPr>
          <w:rFonts w:ascii="方正小标宋_GBK" w:eastAsia="方正小标宋_GBK"/>
          <w:color w:val="000000"/>
          <w:sz w:val="44"/>
          <w:szCs w:val="44"/>
        </w:rPr>
      </w:pPr>
      <w:r>
        <w:rPr>
          <w:rFonts w:ascii="方正小标宋_GBK" w:eastAsia="方正小标宋_GBK"/>
          <w:color w:val="000000"/>
          <w:sz w:val="44"/>
          <w:szCs w:val="44"/>
        </w:rPr>
        <w:t>序</w:t>
      </w:r>
      <w:r>
        <w:rPr>
          <w:rFonts w:hint="eastAsia" w:ascii="方正小标宋_GBK" w:eastAsia="方正小标宋_GBK"/>
          <w:color w:val="000000"/>
          <w:sz w:val="44"/>
          <w:szCs w:val="44"/>
        </w:rPr>
        <w:t xml:space="preserve">  </w:t>
      </w:r>
      <w:r>
        <w:rPr>
          <w:rFonts w:ascii="方正小标宋_GBK" w:eastAsia="方正小标宋_GBK"/>
          <w:color w:val="000000"/>
          <w:sz w:val="44"/>
          <w:szCs w:val="44"/>
        </w:rPr>
        <w:t xml:space="preserve">  言</w:t>
      </w:r>
    </w:p>
    <w:p w14:paraId="01ED8195">
      <w:pPr>
        <w:adjustRightInd w:val="0"/>
        <w:snapToGrid w:val="0"/>
        <w:spacing w:line="570" w:lineRule="exact"/>
        <w:jc w:val="center"/>
        <w:rPr>
          <w:rFonts w:ascii="方正小标宋_GBK" w:eastAsia="方正小标宋_GBK"/>
          <w:color w:val="000000"/>
          <w:sz w:val="44"/>
          <w:szCs w:val="44"/>
        </w:rPr>
      </w:pPr>
    </w:p>
    <w:p w14:paraId="7291ACA0">
      <w:pPr>
        <w:overflowPunct w:val="0"/>
        <w:autoSpaceDE w:val="0"/>
        <w:autoSpaceDN w:val="0"/>
        <w:adjustRightInd w:val="0"/>
        <w:snapToGrid w:val="0"/>
        <w:spacing w:line="570" w:lineRule="exact"/>
        <w:ind w:firstLine="641"/>
        <w:rPr>
          <w:rFonts w:eastAsia="方正仿宋_GBK"/>
          <w:snapToGrid w:val="0"/>
          <w:color w:val="000000"/>
          <w:spacing w:val="-2"/>
          <w:kern w:val="0"/>
          <w:sz w:val="32"/>
          <w:szCs w:val="32"/>
        </w:rPr>
      </w:pPr>
      <w:r>
        <w:rPr>
          <w:rFonts w:eastAsia="方正仿宋_GBK"/>
          <w:snapToGrid w:val="0"/>
          <w:color w:val="000000"/>
          <w:spacing w:val="-2"/>
          <w:kern w:val="0"/>
          <w:sz w:val="32"/>
          <w:szCs w:val="32"/>
        </w:rPr>
        <w:t>“十五五”时期是我国基本实现社会主义现代化夯实基础、全面发力的关键时期，是我市深入贯彻党的二十大和二十届历次全会精神、全面落实习近平新时代中国特色社会主义思想特别是习近平总书记对江苏工作重要讲话精神，坚决扛起经济大市挑大梁责任担当的重要时期，是着力打造“国际化智造名城、长三角创新高地”，奋力书写好中国式现代化常州答卷的关键阶段。根据《中共中央关于制定国民经济和社会发展第十五个五年规划的建议》《中共江苏省委关于制定江苏省国民经济和社会发展第十五个五年规划的建议》《中共常州市委关于制定常州市国民经济和社会发展第十五个五年规划的建议》，依据《江苏省发展规划条例》，编制《常州市国民经济和社会发展第十五个五年规划纲要》，主要阐明“十五五”时期发展思路、发展战略、主要目标、重点任务和政策举措，是政府履行职责的重要依据，是今后五年常州经济社会发展的宏伟蓝图，是全市人民共同奋斗的行动纲领。</w:t>
      </w:r>
    </w:p>
    <w:p w14:paraId="2672FD42">
      <w:pPr>
        <w:overflowPunct w:val="0"/>
        <w:autoSpaceDE w:val="0"/>
        <w:autoSpaceDN w:val="0"/>
        <w:adjustRightInd w:val="0"/>
        <w:snapToGrid w:val="0"/>
        <w:spacing w:line="570" w:lineRule="exact"/>
        <w:ind w:firstLine="641"/>
        <w:rPr>
          <w:rFonts w:eastAsia="方正仿宋_GBK"/>
          <w:snapToGrid w:val="0"/>
          <w:color w:val="000000"/>
          <w:kern w:val="0"/>
          <w:sz w:val="32"/>
          <w:szCs w:val="32"/>
        </w:rPr>
      </w:pPr>
    </w:p>
    <w:p w14:paraId="1A4BBD2A">
      <w:pPr>
        <w:overflowPunct w:val="0"/>
        <w:autoSpaceDE w:val="0"/>
        <w:autoSpaceDN w:val="0"/>
        <w:adjustRightInd w:val="0"/>
        <w:snapToGrid w:val="0"/>
        <w:spacing w:before="120" w:line="450" w:lineRule="exact"/>
        <w:ind w:firstLine="640" w:firstLineChars="200"/>
        <w:rPr>
          <w:rFonts w:hint="eastAsia" w:eastAsia="方正仿宋_GBK"/>
          <w:snapToGrid w:val="0"/>
          <w:color w:val="000000"/>
          <w:kern w:val="0"/>
          <w:sz w:val="32"/>
          <w:szCs w:val="32"/>
        </w:rPr>
      </w:pPr>
    </w:p>
    <w:p w14:paraId="0552B6C4">
      <w:pPr>
        <w:overflowPunct w:val="0"/>
        <w:autoSpaceDE w:val="0"/>
        <w:autoSpaceDN w:val="0"/>
        <w:adjustRightInd w:val="0"/>
        <w:snapToGrid w:val="0"/>
        <w:spacing w:before="240" w:line="570" w:lineRule="exact"/>
        <w:jc w:val="center"/>
        <w:outlineLvl w:val="0"/>
        <w:rPr>
          <w:rFonts w:hint="eastAsia" w:ascii="方正黑体_GBK" w:eastAsia="方正黑体_GBK"/>
          <w:snapToGrid w:val="0"/>
          <w:kern w:val="0"/>
          <w:sz w:val="32"/>
          <w:szCs w:val="32"/>
        </w:rPr>
      </w:pPr>
      <w:r>
        <w:rPr>
          <w:rFonts w:eastAsia="方正仿宋_GBK"/>
          <w:snapToGrid w:val="0"/>
          <w:color w:val="000000"/>
          <w:kern w:val="0"/>
          <w:sz w:val="32"/>
          <w:szCs w:val="32"/>
        </w:rPr>
        <w:br w:type="page"/>
      </w:r>
      <w:r>
        <w:rPr>
          <w:rFonts w:hint="eastAsia" w:ascii="方正黑体_GBK" w:eastAsia="方正黑体_GBK"/>
          <w:snapToGrid w:val="0"/>
          <w:kern w:val="0"/>
          <w:sz w:val="32"/>
          <w:szCs w:val="32"/>
        </w:rPr>
        <w:t>第一章  全面发力新征程  奋力谱写新篇章</w:t>
      </w:r>
    </w:p>
    <w:p w14:paraId="0AC9B8EB">
      <w:pPr>
        <w:overflowPunct w:val="0"/>
        <w:autoSpaceDE w:val="0"/>
        <w:autoSpaceDN w:val="0"/>
        <w:adjustRightInd w:val="0"/>
        <w:snapToGrid w:val="0"/>
        <w:spacing w:before="120" w:after="240" w:line="570" w:lineRule="exact"/>
        <w:jc w:val="center"/>
        <w:outlineLvl w:val="1"/>
        <w:rPr>
          <w:rFonts w:hint="eastAsia" w:ascii="方正楷体_GBK" w:eastAsia="方正楷体_GBK"/>
          <w:snapToGrid w:val="0"/>
          <w:kern w:val="0"/>
          <w:sz w:val="32"/>
          <w:szCs w:val="32"/>
        </w:rPr>
      </w:pPr>
      <w:bookmarkStart w:id="0" w:name="_Toc3587"/>
      <w:r>
        <w:rPr>
          <w:rFonts w:hint="eastAsia" w:ascii="方正楷体_GBK" w:eastAsia="方正楷体_GBK"/>
          <w:snapToGrid w:val="0"/>
          <w:kern w:val="0"/>
          <w:sz w:val="32"/>
          <w:szCs w:val="32"/>
        </w:rPr>
        <w:t>第一节  发展基础</w:t>
      </w:r>
      <w:bookmarkEnd w:id="0"/>
    </w:p>
    <w:p w14:paraId="1BCDFD24">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十四五”时期，面对复杂严峻的外部环境和艰巨繁重的改革发展稳定任务，全市上下坚持以习近平新时代中国特色社会主义思想为指导，认真落实习近平总书记对江苏工作重要讲话精神，全面落实党中央、国务院和省委、省政府工作要求，攻坚克难、砥砺奋进，全力推动高质量发展取得一系列新进展新成效，中国式现代化常州新实践实现良好开局。</w:t>
      </w:r>
    </w:p>
    <w:p w14:paraId="3343F59A">
      <w:pPr>
        <w:overflowPunct w:val="0"/>
        <w:autoSpaceDE w:val="0"/>
        <w:autoSpaceDN w:val="0"/>
        <w:adjustRightInd w:val="0"/>
        <w:snapToGrid w:val="0"/>
        <w:spacing w:line="570" w:lineRule="exact"/>
        <w:ind w:firstLine="641"/>
        <w:rPr>
          <w:rFonts w:eastAsia="方正仿宋_GBK"/>
          <w:snapToGrid w:val="0"/>
          <w:color w:val="000000"/>
          <w:kern w:val="0"/>
          <w:sz w:val="32"/>
          <w:szCs w:val="32"/>
        </w:rPr>
      </w:pPr>
      <w:bookmarkStart w:id="1" w:name="_Toc17221"/>
      <w:r>
        <w:rPr>
          <w:rFonts w:eastAsia="方正仿宋_GBK"/>
          <w:bCs/>
          <w:snapToGrid w:val="0"/>
          <w:kern w:val="0"/>
          <w:sz w:val="32"/>
          <w:szCs w:val="32"/>
        </w:rPr>
        <w:t>万亿之城提前迈进，综合实力实现新跨越</w:t>
      </w:r>
      <w:bookmarkEnd w:id="1"/>
      <w:r>
        <w:rPr>
          <w:rFonts w:eastAsia="方正仿宋_GBK"/>
          <w:bCs/>
          <w:snapToGrid w:val="0"/>
          <w:kern w:val="0"/>
          <w:sz w:val="32"/>
          <w:szCs w:val="32"/>
        </w:rPr>
        <w:t>。</w:t>
      </w:r>
      <w:r>
        <w:rPr>
          <w:rFonts w:eastAsia="方正仿宋_GBK"/>
          <w:snapToGrid w:val="0"/>
          <w:kern w:val="0"/>
          <w:sz w:val="32"/>
          <w:szCs w:val="32"/>
        </w:rPr>
        <w:t>地区生产总值（GDP）较规划目标提前两年迈上万亿台阶，2025年达到11158.7亿元；人均GDP突破20万元。财税收入量质齐升，一般公共预算收入完成715.5亿元，年均增长达3%，超全省平均增长率0.5个百分点，税占比自2023年起稳居全省第一。综合实力位居全国同类城市前列，实现了综合竞争力、资源集聚力、区域辐射力、发展影响力的大幅跃升。项目招引提质增效，累计新增入库市重大项目706个，其中总投资超100亿元或10亿美元项目13个，安赛乐米塔尔新能源软磁项目、常州时代超级拉线工艺动力电池、星宇智能汽车电子及视觉系统中心项目等一批优质大项目落户。社会消费扩容升级，实施汽车、家电、家居家装、电动自行车等重点领域以旧换新政策，大力发展“赛事+”“演出+”“宠物+”“文博+”等融合业态，构建“苏超”全链条消费场景，2021—2025年社会消费品零售总额年均增长4.7%。创成国家级旅游休闲街区2个、夜间文旅消费集聚区3个。外资外贸稳中提质，积极开拓多元化市场，“新三样”出口动能强劲，五年累计实际使用外资107.3亿美元、实现进出口1.64万亿元，新增合同外资超3000万美元项目223个左右、总投资超亿美元项目95个左右。</w:t>
      </w:r>
      <w:bookmarkStart w:id="2" w:name="_Toc1507"/>
      <w:r>
        <w:rPr>
          <w:rFonts w:eastAsia="方正仿宋_GBK"/>
          <w:snapToGrid w:val="0"/>
          <w:color w:val="000000"/>
          <w:kern w:val="0"/>
          <w:sz w:val="32"/>
          <w:szCs w:val="32"/>
        </w:rPr>
        <w:t>上市公司90家，新增上市公司34家。</w:t>
      </w:r>
    </w:p>
    <w:p w14:paraId="0BB9CD13">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优势产业聚链成群，以新促质实现新突破</w:t>
      </w:r>
      <w:bookmarkEnd w:id="2"/>
      <w:r>
        <w:rPr>
          <w:rFonts w:eastAsia="方正仿宋_GBK"/>
          <w:bCs/>
          <w:snapToGrid w:val="0"/>
          <w:kern w:val="0"/>
          <w:sz w:val="32"/>
          <w:szCs w:val="32"/>
        </w:rPr>
        <w:t>。</w:t>
      </w:r>
      <w:r>
        <w:rPr>
          <w:rFonts w:eastAsia="方正仿宋_GBK"/>
          <w:snapToGrid w:val="0"/>
          <w:kern w:val="0"/>
          <w:sz w:val="32"/>
          <w:szCs w:val="32"/>
        </w:rPr>
        <w:t>“1028”产业体系加快构建，产业结构不断优化，三次产业结构比例调整为1.6:46.2:52.2。2025年工业规模总量达2.22万亿元，较“十三五”期末增长65.3%，获评全国制造业高质量发展十强市，位列全国先进制造业城市第17位。拥有智能制造装备国家战略性新兴产业集群，新型碳材料、大飞机、光伏、特钢材料等4个牵头和参与建设的产业入围全国先进制造业集群，溧阳动力电池、新北新能源汽车电气设备、金坛能源电子、武进工业协作机器人入选国家级中小企业特色产业集群。常州高新区碳纤维及复合材料特色产业基地、溧阳动力电池特色产业基地入选科技部国家火炬特色产业基地名单。新增国家级检验检测中心4个。在全国率先构建全链条新能源产业生态圈，获授“中国新能源之都”产业名片，2025年新能源产业规模突破万亿；新能源整车产量超80万辆；动力电池产业链完整度达97%、全国第一，产量占全国14%左右。新质生产力加快培育，近七成经济增长与科技创新因素有关，中车戚墅堰机车研究所参与项目获国家科技进步奖特等奖，光伏科学与技术全国重点实验室2023年重组成功，长三角碳纤维及复合材料技术创新中心、长三角物理研究中心、江苏省合成生物技术创新中心先后获批省级技术创新中心，高新技术产业产值占比超60%，全社会研发经费占比达3.62%，每万人拥有发明专利数量增长160%，每万名劳动者中高技能人才数连续11年全省第一，引进各类人才超50万人，常州“95后”人才吸引力位列全国第18位。获评全国创新驱动示范市、国家知识产权强市建设试点城市，位列国家创新型城市第18位、中国城市科技创新发展指数第19位。</w:t>
      </w:r>
    </w:p>
    <w:p w14:paraId="6B071A39">
      <w:pPr>
        <w:overflowPunct w:val="0"/>
        <w:autoSpaceDE w:val="0"/>
        <w:autoSpaceDN w:val="0"/>
        <w:adjustRightInd w:val="0"/>
        <w:snapToGrid w:val="0"/>
        <w:spacing w:line="570" w:lineRule="exact"/>
        <w:ind w:firstLine="641"/>
        <w:rPr>
          <w:rFonts w:eastAsia="方正仿宋_GBK"/>
          <w:snapToGrid w:val="0"/>
          <w:kern w:val="0"/>
          <w:sz w:val="32"/>
          <w:szCs w:val="32"/>
        </w:rPr>
      </w:pPr>
      <w:bookmarkStart w:id="3" w:name="_Toc26088"/>
      <w:r>
        <w:rPr>
          <w:rFonts w:eastAsia="方正仿宋_GBK"/>
          <w:bCs/>
          <w:snapToGrid w:val="0"/>
          <w:kern w:val="0"/>
          <w:sz w:val="32"/>
          <w:szCs w:val="32"/>
        </w:rPr>
        <w:t>城乡区域协调发展，城市能级实现新跃升</w:t>
      </w:r>
      <w:bookmarkEnd w:id="3"/>
      <w:r>
        <w:rPr>
          <w:rFonts w:eastAsia="方正仿宋_GBK"/>
          <w:bCs/>
          <w:snapToGrid w:val="0"/>
          <w:kern w:val="0"/>
          <w:sz w:val="32"/>
          <w:szCs w:val="32"/>
        </w:rPr>
        <w:t>。</w:t>
      </w:r>
      <w:r>
        <w:rPr>
          <w:rFonts w:eastAsia="方正仿宋_GBK"/>
          <w:snapToGrid w:val="0"/>
          <w:kern w:val="0"/>
          <w:sz w:val="32"/>
          <w:szCs w:val="32"/>
        </w:rPr>
        <w:t>国土空间规划获国务院批复，全面融入长江经济带和长三角一体化发展，城市空间格局全面提升。常金同城化、常溧一体化进程加快，国家城乡融合发展试验区建设圆满收官；武进区环滆湖片区品质跃升、科创长廊“产学研用”有效贯通；常州高新区高铁新城形态日益明晰，创新动能全面激活；天宁区、钟楼区老城厢加速焕新，“东扩西进”实现蝶变；常州经开区推进“产城人”深度融合发展，东部副中心初具形态。地铁1、2号线便利交汇、5号线顺利推进，常泰长江大桥建成通车。“两纵三横多联”的高速路网和“三纵四横”的高铁网不断完善，沪宁城铁、沪宁沿江高铁、京沪高铁和沪宁、宁杭、扬溧、沿江、沪武、江宜高速等覆盖全境，公路网面积密度全省第一。普通国省道网结构不断优化，多条快速路加快推进。多式联运服务不断创新，率先开展长三角“新三样”货物水水中转“一箱制”试点。获评国家物流枢纽承载城市、国家公交都市示范城市，交通健康指数连续七年保持全国主要城市第一方阵。农业农村现代化扎实推进，粮食生产连年丰收，富民强村成果不断巩固，农村生活污水治理率增幅全省第一。溧阳入选全国首批美丽乡村先行区、全省唯一，“实施‘农村公路+’融合发展，建设宜居宜业和美乡村”做法获国务院通报表扬。文商旅体融合发展深度推进，连续三年名列全国音乐节城市票房第一，成功举办中国羽毛球公开赛、中国女排超级联赛、中国网球公开赛等精品赛事，打造国内“全域马拉松”品牌、西太湖半程马拉松路跑赛事。全力推进人居环境提升，开展城乡环境大整治行动，获评中国十大“美好宜居”城市。青果巷历史文化街区相关做法入选住建部历史文化街区保护利用可复制经验做法清单。</w:t>
      </w:r>
    </w:p>
    <w:p w14:paraId="58C70F6D">
      <w:pPr>
        <w:overflowPunct w:val="0"/>
        <w:autoSpaceDE w:val="0"/>
        <w:autoSpaceDN w:val="0"/>
        <w:adjustRightInd w:val="0"/>
        <w:snapToGrid w:val="0"/>
        <w:spacing w:line="570" w:lineRule="exact"/>
        <w:ind w:firstLine="641"/>
        <w:rPr>
          <w:rFonts w:eastAsia="方正仿宋_GBK"/>
          <w:snapToGrid w:val="0"/>
          <w:kern w:val="0"/>
          <w:sz w:val="32"/>
          <w:szCs w:val="32"/>
        </w:rPr>
      </w:pPr>
      <w:bookmarkStart w:id="4" w:name="_Toc6637"/>
      <w:r>
        <w:rPr>
          <w:rFonts w:eastAsia="方正仿宋_GBK"/>
          <w:bCs/>
          <w:snapToGrid w:val="0"/>
          <w:kern w:val="0"/>
          <w:sz w:val="32"/>
          <w:szCs w:val="32"/>
        </w:rPr>
        <w:t>绿色发展“碳”索先行，美丽常州实现新蝶变</w:t>
      </w:r>
      <w:bookmarkEnd w:id="4"/>
      <w:r>
        <w:rPr>
          <w:rFonts w:eastAsia="方正仿宋_GBK"/>
          <w:bCs/>
          <w:snapToGrid w:val="0"/>
          <w:kern w:val="0"/>
          <w:sz w:val="32"/>
          <w:szCs w:val="32"/>
        </w:rPr>
        <w:t>。</w:t>
      </w:r>
      <w:r>
        <w:rPr>
          <w:rFonts w:eastAsia="方正仿宋_GBK"/>
          <w:snapToGrid w:val="0"/>
          <w:kern w:val="0"/>
          <w:sz w:val="32"/>
          <w:szCs w:val="32"/>
        </w:rPr>
        <w:t>全市生态环境质量总体达到有监测记录以来最优水平，在全省深入打好污染防治攻坚战成效考核中连续3年获得优秀等级。纵深推进新一轮太湖综合治理攻坚行动，太湖水质突破性达Ⅲ类，太湖常州水域对全湖总磷改善幅度贡献率位列环湖城市第一，长荡湖水质跃升至Ⅲ类，滆湖水质稳定保持IV类，洮滆片区获批全国流域水环境综合治理与可持续发展试点、创成“两山”实践创新基地。着力破解“化工围江”，长江常州段生态岸线占比达80.6%、全省第一，长江干流常州段水质连续9年保持Ⅱ类。PM</w:t>
      </w:r>
      <w:r>
        <w:rPr>
          <w:rFonts w:eastAsia="方正仿宋_GBK"/>
          <w:snapToGrid w:val="0"/>
          <w:kern w:val="0"/>
          <w:sz w:val="32"/>
          <w:szCs w:val="32"/>
          <w:vertAlign w:val="subscript"/>
        </w:rPr>
        <w:t>2.5</w:t>
      </w:r>
      <w:r>
        <w:rPr>
          <w:rFonts w:eastAsia="方正仿宋_GBK"/>
          <w:snapToGrid w:val="0"/>
          <w:kern w:val="0"/>
          <w:sz w:val="32"/>
          <w:szCs w:val="32"/>
        </w:rPr>
        <w:t>浓度从“十三五”期末40微克/立方米降到31微克/立方米，连续4年达国家二级标准。持续推进生态绿城建设，累计增核36600亩、扩绿11300亩、连网229公里。截至2025年，预计全市单位GDP能耗较“十三五”期末累计下降27%。投放全国首艘120标箱新能源混合动力河海直达船，获评国家绿色出行创建达标城市、国家生态文明建设示范区，入选国家碳达峰试点城市、国家车网互动规模化应用试点城市、国家新型电力系统建设能力提升试点城市、国家公共领域车辆电动化先行区试点城市。</w:t>
      </w:r>
    </w:p>
    <w:p w14:paraId="1050E6AB">
      <w:pPr>
        <w:overflowPunct w:val="0"/>
        <w:autoSpaceDE w:val="0"/>
        <w:autoSpaceDN w:val="0"/>
        <w:adjustRightInd w:val="0"/>
        <w:snapToGrid w:val="0"/>
        <w:spacing w:line="570" w:lineRule="exact"/>
        <w:ind w:firstLine="641"/>
        <w:rPr>
          <w:rFonts w:eastAsia="方正仿宋_GBK"/>
          <w:snapToGrid w:val="0"/>
          <w:kern w:val="0"/>
          <w:sz w:val="32"/>
          <w:szCs w:val="32"/>
        </w:rPr>
      </w:pPr>
      <w:bookmarkStart w:id="5" w:name="_Toc24215"/>
      <w:r>
        <w:rPr>
          <w:rFonts w:eastAsia="方正仿宋_GBK"/>
          <w:bCs/>
          <w:snapToGrid w:val="0"/>
          <w:kern w:val="0"/>
          <w:sz w:val="32"/>
          <w:szCs w:val="32"/>
        </w:rPr>
        <w:t>改革开放纵深推进，营商环境实现新提升</w:t>
      </w:r>
      <w:bookmarkEnd w:id="5"/>
      <w:r>
        <w:rPr>
          <w:rFonts w:eastAsia="方正仿宋_GBK"/>
          <w:bCs/>
          <w:snapToGrid w:val="0"/>
          <w:kern w:val="0"/>
          <w:sz w:val="32"/>
          <w:szCs w:val="32"/>
        </w:rPr>
        <w:t>。</w:t>
      </w:r>
      <w:r>
        <w:rPr>
          <w:rFonts w:eastAsia="方正仿宋_GBK"/>
          <w:snapToGrid w:val="0"/>
          <w:kern w:val="0"/>
          <w:sz w:val="32"/>
          <w:szCs w:val="32"/>
        </w:rPr>
        <w:t>分层分类推进175项国家和省级改革试点，要素市场化配置改革持续深化，入选全国首批、全省唯一国家产教融合试点城市、全国首批低效用地再开发试点城市、全国首批灵活就业人员参加住房公积金制度试点城市等，“用地清单制”改革、深化生态产品价值实现机制等经验入选全国案例，完成全国首例新型地下空间（盐穴）建设用地使用权出让。打造“常享办”营商环境品牌，2021年获评国家营商环境标杆城市、全国社会信用体系建设示范区，2024年获评城市营商环境“权益保护健全”类创新城市。2025年全市9家民营企业入围“中国民营企业500强”，11家入围“中国制造业民营企业500强”。持续扩大对外开放，全市省级国际合作园区达6家，数量全省第一。中以常州创新园被习近平总书记肯定为中以创新合作的“标志性项目”。全省率先建设常州跨境电商大数据中心，拥有省级跨国公司地区总部和功能性机构34家、外资研发中心35家、跨境电商企业近6000家。700多家企业累计境外投资项目超1100个，中方协议投资总额突破120亿美元，覆盖全球80多个国家和地区。</w:t>
      </w:r>
    </w:p>
    <w:p w14:paraId="7D7BC520">
      <w:pPr>
        <w:overflowPunct w:val="0"/>
        <w:autoSpaceDE w:val="0"/>
        <w:autoSpaceDN w:val="0"/>
        <w:adjustRightInd w:val="0"/>
        <w:snapToGrid w:val="0"/>
        <w:spacing w:line="570" w:lineRule="exact"/>
        <w:ind w:firstLine="641"/>
        <w:rPr>
          <w:rFonts w:eastAsia="方正仿宋_GBK"/>
          <w:snapToGrid w:val="0"/>
          <w:kern w:val="0"/>
          <w:sz w:val="32"/>
          <w:szCs w:val="32"/>
        </w:rPr>
      </w:pPr>
      <w:bookmarkStart w:id="6" w:name="_Toc6047"/>
      <w:r>
        <w:rPr>
          <w:rFonts w:eastAsia="方正仿宋_GBK"/>
          <w:bCs/>
          <w:snapToGrid w:val="0"/>
          <w:kern w:val="0"/>
          <w:sz w:val="32"/>
          <w:szCs w:val="32"/>
        </w:rPr>
        <w:t>民生事业多维增进，幸福指数实现新增长</w:t>
      </w:r>
      <w:bookmarkEnd w:id="6"/>
      <w:r>
        <w:rPr>
          <w:rFonts w:eastAsia="方正仿宋_GBK"/>
          <w:bCs/>
          <w:snapToGrid w:val="0"/>
          <w:kern w:val="0"/>
          <w:sz w:val="32"/>
          <w:szCs w:val="32"/>
        </w:rPr>
        <w:t>。</w:t>
      </w:r>
      <w:r>
        <w:rPr>
          <w:rFonts w:eastAsia="方正仿宋_GBK"/>
          <w:snapToGrid w:val="0"/>
          <w:kern w:val="0"/>
          <w:sz w:val="32"/>
          <w:szCs w:val="32"/>
        </w:rPr>
        <w:t>在促进全体人民共同富裕上积极探索经验，居民人均可支配收入超6.8万元，城乡居民人均收入比从2020年的1.87:1缩小至2025年的1.74:1。优质教育资源持续扩容，新增学位14.64万个，义务教育优质均衡比例全省第一，学前教育、义务教育集团化办学覆盖率均达95%。打造苏锡常都市圈职业教育高质量发展样板城市，连续三年获评省职教改革发展成效明显设区市。养老服务水平显著提升，入选全国居家和社区基本养老服务提升试点，全市15.8万高龄和特殊困难老年人享受到居家养老上门服务，面向有需要的常住老年人家庭开展居家适老化改造。</w:t>
      </w:r>
      <w:r>
        <w:rPr>
          <w:rFonts w:eastAsia="方正仿宋_GBK"/>
          <w:snapToGrid w:val="0"/>
          <w:color w:val="000000"/>
          <w:kern w:val="0"/>
          <w:sz w:val="32"/>
          <w:szCs w:val="32"/>
        </w:rPr>
        <w:t>健康常州建设全面推进，人均预期寿命达84.26岁，较“十三五”期末提高1.24岁，</w:t>
      </w:r>
      <w:r>
        <w:rPr>
          <w:rFonts w:eastAsia="方正仿宋_GBK"/>
          <w:snapToGrid w:val="0"/>
          <w:kern w:val="0"/>
          <w:sz w:val="32"/>
          <w:szCs w:val="32"/>
        </w:rPr>
        <w:t>市儿童医院等4家机构创成三级甲等医院，公共卫生服务水平全面提升，在全省率先实现就医无胶片，连续三年入选全国健康城市建设样板市。社保扩面精准推进，城乡居民基础养老金全省率先实现大市统一标准，企业退休人员过渡性养老金计发办法调整和渐进式延迟法定退休年龄改革稳步推进。居民低保标准提升至每人每月1080元，“低保扩围”在全省率先实现正增长。建立基本医保、大病保险与医疗救助三重保障体系，医疗保障待遇稳步提高，“智慧医保”工程基本建成。全面实施长期护理保险制度，累计4.37万中、重度失能参保人员享受待遇。建成四级退役军人服务保障体系，创成全国双拥模范城“八连冠”。成为全省唯一的全国残疾预防重点联系地级市，率先实现0—6岁儿童残疾早期筛查干预全覆盖。更好统筹发展和安全，连续四届荣膺全国社会治安综合治理优秀市，创成平安中国建设示范市，全省唯一连续三次捧得“长安杯”，社会文明程度指数位列全省前列。金融、房地产、政府性债务等重点经济领域风险有效控制，牢牢守住不发生区域性系统性风险的底线。深化安全生产专项治理，基层安全生产和消防安全保障能力持续提升。</w:t>
      </w:r>
    </w:p>
    <w:p w14:paraId="0E617EAC">
      <w:pPr>
        <w:autoSpaceDE w:val="0"/>
        <w:autoSpaceDN w:val="0"/>
        <w:snapToGrid w:val="0"/>
        <w:spacing w:before="240" w:after="240" w:line="640" w:lineRule="exact"/>
        <w:jc w:val="center"/>
        <w:rPr>
          <w:rFonts w:eastAsia="方正小标宋_GBK"/>
          <w:snapToGrid w:val="0"/>
          <w:sz w:val="32"/>
          <w:szCs w:val="32"/>
        </w:rPr>
      </w:pPr>
      <w:r>
        <w:rPr>
          <w:rFonts w:eastAsia="方正仿宋_GBK"/>
          <w:snapToGrid w:val="0"/>
          <w:sz w:val="32"/>
          <w:szCs w:val="32"/>
        </w:rPr>
        <w:br w:type="page"/>
      </w:r>
      <w:r>
        <w:rPr>
          <w:rFonts w:eastAsia="方正黑体_GBK"/>
          <w:snapToGrid w:val="0"/>
          <w:sz w:val="32"/>
          <w:szCs w:val="32"/>
        </w:rPr>
        <w:t xml:space="preserve">表1-1 </w:t>
      </w:r>
      <w:r>
        <w:rPr>
          <w:rFonts w:hint="eastAsia" w:eastAsia="方正黑体_GBK"/>
          <w:snapToGrid w:val="0"/>
          <w:sz w:val="32"/>
          <w:szCs w:val="32"/>
        </w:rPr>
        <w:t xml:space="preserve"> </w:t>
      </w:r>
      <w:r>
        <w:rPr>
          <w:rFonts w:eastAsia="方正黑体_GBK"/>
          <w:snapToGrid w:val="0"/>
          <w:sz w:val="32"/>
          <w:szCs w:val="32"/>
        </w:rPr>
        <w:t>市</w:t>
      </w:r>
      <w:r>
        <w:rPr>
          <w:rFonts w:hint="eastAsia" w:eastAsia="方正黑体_GBK"/>
          <w:snapToGrid w:val="0"/>
          <w:sz w:val="32"/>
          <w:szCs w:val="32"/>
        </w:rPr>
        <w:t>“</w:t>
      </w:r>
      <w:r>
        <w:rPr>
          <w:rFonts w:eastAsia="方正黑体_GBK"/>
          <w:snapToGrid w:val="0"/>
          <w:sz w:val="32"/>
          <w:szCs w:val="32"/>
        </w:rPr>
        <w:t>十四五</w:t>
      </w:r>
      <w:r>
        <w:rPr>
          <w:rFonts w:hint="eastAsia" w:eastAsia="方正黑体_GBK"/>
          <w:snapToGrid w:val="0"/>
          <w:sz w:val="32"/>
          <w:szCs w:val="32"/>
        </w:rPr>
        <w:t>”</w:t>
      </w:r>
      <w:r>
        <w:rPr>
          <w:rFonts w:eastAsia="方正黑体_GBK"/>
          <w:snapToGrid w:val="0"/>
          <w:sz w:val="32"/>
          <w:szCs w:val="32"/>
        </w:rPr>
        <w:t>经济社会发展主要指标完成情况</w:t>
      </w:r>
    </w:p>
    <w:tbl>
      <w:tblPr>
        <w:tblStyle w:val="2"/>
        <w:tblW w:w="51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86"/>
        <w:gridCol w:w="5855"/>
        <w:gridCol w:w="2304"/>
        <w:gridCol w:w="1857"/>
      </w:tblGrid>
      <w:tr w14:paraId="70557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blHeader/>
          <w:jc w:val="center"/>
        </w:trPr>
        <w:tc>
          <w:tcPr>
            <w:tcW w:w="837" w:type="dxa"/>
            <w:noWrap w:val="0"/>
            <w:vAlign w:val="center"/>
          </w:tcPr>
          <w:p w14:paraId="225F4044">
            <w:pPr>
              <w:snapToGrid w:val="0"/>
              <w:spacing w:line="360" w:lineRule="exact"/>
              <w:jc w:val="center"/>
              <w:rPr>
                <w:rFonts w:eastAsia="方正黑体_GBK"/>
                <w:snapToGrid w:val="0"/>
                <w:kern w:val="0"/>
                <w:sz w:val="28"/>
                <w:szCs w:val="28"/>
              </w:rPr>
            </w:pPr>
            <w:r>
              <w:rPr>
                <w:rFonts w:eastAsia="方正黑体_GBK"/>
                <w:snapToGrid w:val="0"/>
                <w:kern w:val="0"/>
                <w:sz w:val="28"/>
                <w:szCs w:val="28"/>
              </w:rPr>
              <w:t>分类</w:t>
            </w:r>
          </w:p>
        </w:tc>
        <w:tc>
          <w:tcPr>
            <w:tcW w:w="4966" w:type="dxa"/>
            <w:noWrap w:val="0"/>
            <w:vAlign w:val="center"/>
          </w:tcPr>
          <w:p w14:paraId="7FABF988">
            <w:pPr>
              <w:snapToGrid w:val="0"/>
              <w:spacing w:line="360" w:lineRule="exact"/>
              <w:jc w:val="center"/>
              <w:rPr>
                <w:rFonts w:eastAsia="方正黑体_GBK"/>
                <w:snapToGrid w:val="0"/>
                <w:kern w:val="0"/>
                <w:sz w:val="28"/>
                <w:szCs w:val="28"/>
              </w:rPr>
            </w:pPr>
            <w:r>
              <w:rPr>
                <w:rFonts w:eastAsia="方正黑体_GBK"/>
                <w:snapToGrid w:val="0"/>
                <w:kern w:val="0"/>
                <w:sz w:val="28"/>
                <w:szCs w:val="28"/>
              </w:rPr>
              <w:t>主要指标</w:t>
            </w:r>
          </w:p>
        </w:tc>
        <w:tc>
          <w:tcPr>
            <w:tcW w:w="1954" w:type="dxa"/>
            <w:noWrap w:val="0"/>
            <w:vAlign w:val="center"/>
          </w:tcPr>
          <w:p w14:paraId="15E62181">
            <w:pPr>
              <w:snapToGrid w:val="0"/>
              <w:spacing w:line="360" w:lineRule="exact"/>
              <w:jc w:val="center"/>
              <w:rPr>
                <w:rFonts w:eastAsia="方正黑体_GBK"/>
                <w:snapToGrid w:val="0"/>
                <w:kern w:val="0"/>
                <w:sz w:val="28"/>
                <w:szCs w:val="28"/>
              </w:rPr>
            </w:pPr>
            <w:r>
              <w:rPr>
                <w:rFonts w:eastAsia="方正黑体_GBK"/>
                <w:snapToGrid w:val="0"/>
                <w:kern w:val="0"/>
                <w:sz w:val="28"/>
                <w:szCs w:val="28"/>
              </w:rPr>
              <w:t>规划目标</w:t>
            </w:r>
          </w:p>
        </w:tc>
        <w:tc>
          <w:tcPr>
            <w:tcW w:w="1575" w:type="dxa"/>
            <w:noWrap w:val="0"/>
            <w:vAlign w:val="center"/>
          </w:tcPr>
          <w:p w14:paraId="698018BB">
            <w:pPr>
              <w:snapToGrid w:val="0"/>
              <w:spacing w:line="360" w:lineRule="exact"/>
              <w:jc w:val="center"/>
              <w:rPr>
                <w:rFonts w:eastAsia="方正黑体_GBK"/>
                <w:snapToGrid w:val="0"/>
                <w:kern w:val="0"/>
                <w:sz w:val="28"/>
                <w:szCs w:val="28"/>
              </w:rPr>
            </w:pPr>
            <w:r>
              <w:rPr>
                <w:rFonts w:eastAsia="方正黑体_GBK"/>
                <w:snapToGrid w:val="0"/>
                <w:kern w:val="0"/>
                <w:sz w:val="28"/>
                <w:szCs w:val="28"/>
              </w:rPr>
              <w:t>预计完成</w:t>
            </w:r>
          </w:p>
        </w:tc>
      </w:tr>
      <w:tr w14:paraId="69656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restart"/>
            <w:noWrap w:val="0"/>
            <w:vAlign w:val="center"/>
          </w:tcPr>
          <w:p w14:paraId="23B6FDFB">
            <w:pPr>
              <w:snapToGrid w:val="0"/>
              <w:spacing w:line="360" w:lineRule="exact"/>
              <w:jc w:val="center"/>
              <w:rPr>
                <w:rFonts w:eastAsia="方正楷体_GBK"/>
                <w:snapToGrid w:val="0"/>
                <w:kern w:val="0"/>
                <w:sz w:val="28"/>
                <w:szCs w:val="28"/>
              </w:rPr>
            </w:pPr>
            <w:r>
              <w:rPr>
                <w:rFonts w:eastAsia="方正楷体_GBK"/>
                <w:snapToGrid w:val="0"/>
                <w:kern w:val="0"/>
                <w:sz w:val="28"/>
                <w:szCs w:val="28"/>
              </w:rPr>
              <w:t>经</w:t>
            </w:r>
          </w:p>
          <w:p w14:paraId="067D70B6">
            <w:pPr>
              <w:snapToGrid w:val="0"/>
              <w:spacing w:line="360" w:lineRule="exact"/>
              <w:jc w:val="center"/>
              <w:rPr>
                <w:rFonts w:eastAsia="方正楷体_GBK"/>
                <w:snapToGrid w:val="0"/>
                <w:kern w:val="0"/>
                <w:sz w:val="28"/>
                <w:szCs w:val="28"/>
              </w:rPr>
            </w:pPr>
            <w:r>
              <w:rPr>
                <w:rFonts w:eastAsia="方正楷体_GBK"/>
                <w:snapToGrid w:val="0"/>
                <w:kern w:val="0"/>
                <w:sz w:val="28"/>
                <w:szCs w:val="28"/>
              </w:rPr>
              <w:t>济</w:t>
            </w:r>
          </w:p>
          <w:p w14:paraId="453213AB">
            <w:pPr>
              <w:snapToGrid w:val="0"/>
              <w:spacing w:line="360" w:lineRule="exact"/>
              <w:jc w:val="center"/>
              <w:rPr>
                <w:rFonts w:eastAsia="方正仿宋_GBK"/>
                <w:snapToGrid w:val="0"/>
                <w:kern w:val="0"/>
                <w:sz w:val="28"/>
                <w:szCs w:val="28"/>
              </w:rPr>
            </w:pPr>
            <w:r>
              <w:rPr>
                <w:rFonts w:eastAsia="方正楷体_GBK"/>
                <w:snapToGrid w:val="0"/>
                <w:kern w:val="0"/>
                <w:sz w:val="28"/>
                <w:szCs w:val="28"/>
              </w:rPr>
              <w:t>强</w:t>
            </w:r>
          </w:p>
        </w:tc>
        <w:tc>
          <w:tcPr>
            <w:tcW w:w="4966" w:type="dxa"/>
            <w:noWrap w:val="0"/>
            <w:vAlign w:val="center"/>
          </w:tcPr>
          <w:p w14:paraId="2D30A094">
            <w:pPr>
              <w:spacing w:line="360" w:lineRule="exact"/>
              <w:rPr>
                <w:rFonts w:eastAsia="方正仿宋_GBK"/>
                <w:snapToGrid w:val="0"/>
                <w:kern w:val="0"/>
                <w:sz w:val="28"/>
                <w:szCs w:val="28"/>
              </w:rPr>
            </w:pPr>
            <w:r>
              <w:rPr>
                <w:rFonts w:eastAsia="方正仿宋_GBK"/>
                <w:snapToGrid w:val="0"/>
                <w:kern w:val="0"/>
                <w:sz w:val="28"/>
                <w:szCs w:val="28"/>
              </w:rPr>
              <w:t>地区生产总值（亿元）</w:t>
            </w:r>
          </w:p>
        </w:tc>
        <w:tc>
          <w:tcPr>
            <w:tcW w:w="1954" w:type="dxa"/>
            <w:noWrap w:val="0"/>
            <w:vAlign w:val="center"/>
          </w:tcPr>
          <w:p w14:paraId="300C3A5E">
            <w:pPr>
              <w:spacing w:line="360" w:lineRule="exact"/>
              <w:jc w:val="center"/>
              <w:rPr>
                <w:rFonts w:eastAsia="方正仿宋_GBK"/>
                <w:snapToGrid w:val="0"/>
                <w:kern w:val="0"/>
                <w:sz w:val="28"/>
                <w:szCs w:val="28"/>
              </w:rPr>
            </w:pPr>
            <w:r>
              <w:rPr>
                <w:rFonts w:eastAsia="方正仿宋_GBK"/>
                <w:snapToGrid w:val="0"/>
                <w:kern w:val="0"/>
                <w:sz w:val="28"/>
                <w:szCs w:val="28"/>
              </w:rPr>
              <w:t>10000以上</w:t>
            </w:r>
          </w:p>
        </w:tc>
        <w:tc>
          <w:tcPr>
            <w:tcW w:w="1575" w:type="dxa"/>
            <w:noWrap w:val="0"/>
            <w:vAlign w:val="center"/>
          </w:tcPr>
          <w:p w14:paraId="26C01CF5">
            <w:pPr>
              <w:spacing w:line="360" w:lineRule="exact"/>
              <w:jc w:val="center"/>
              <w:rPr>
                <w:rFonts w:eastAsia="方正仿宋_GBK"/>
                <w:snapToGrid w:val="0"/>
                <w:kern w:val="0"/>
                <w:sz w:val="28"/>
                <w:szCs w:val="28"/>
              </w:rPr>
            </w:pPr>
            <w:r>
              <w:rPr>
                <w:rFonts w:hint="eastAsia" w:eastAsia="方正仿宋_GBK"/>
                <w:snapToGrid w:val="0"/>
                <w:kern w:val="0"/>
                <w:sz w:val="28"/>
                <w:szCs w:val="28"/>
              </w:rPr>
              <w:t>11158.7</w:t>
            </w:r>
          </w:p>
        </w:tc>
      </w:tr>
      <w:tr w14:paraId="737D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78CB46E4">
            <w:pPr>
              <w:snapToGrid w:val="0"/>
              <w:spacing w:line="360" w:lineRule="exact"/>
              <w:jc w:val="center"/>
              <w:rPr>
                <w:rFonts w:eastAsia="方正仿宋_GBK"/>
                <w:snapToGrid w:val="0"/>
                <w:kern w:val="0"/>
                <w:sz w:val="28"/>
                <w:szCs w:val="28"/>
              </w:rPr>
            </w:pPr>
          </w:p>
        </w:tc>
        <w:tc>
          <w:tcPr>
            <w:tcW w:w="4966" w:type="dxa"/>
            <w:noWrap w:val="0"/>
            <w:vAlign w:val="center"/>
          </w:tcPr>
          <w:p w14:paraId="31B2D1F3">
            <w:pPr>
              <w:spacing w:line="360" w:lineRule="exact"/>
              <w:rPr>
                <w:rFonts w:eastAsia="方正仿宋_GBK"/>
                <w:snapToGrid w:val="0"/>
                <w:kern w:val="0"/>
                <w:sz w:val="28"/>
                <w:szCs w:val="28"/>
              </w:rPr>
            </w:pPr>
            <w:r>
              <w:rPr>
                <w:rFonts w:eastAsia="方正仿宋_GBK"/>
                <w:snapToGrid w:val="0"/>
                <w:kern w:val="0"/>
                <w:sz w:val="28"/>
                <w:szCs w:val="28"/>
              </w:rPr>
              <w:t>人均地区生产总值（万元）</w:t>
            </w:r>
          </w:p>
        </w:tc>
        <w:tc>
          <w:tcPr>
            <w:tcW w:w="1954" w:type="dxa"/>
            <w:noWrap w:val="0"/>
            <w:vAlign w:val="center"/>
          </w:tcPr>
          <w:p w14:paraId="5B899780">
            <w:pPr>
              <w:spacing w:line="360" w:lineRule="exact"/>
              <w:jc w:val="center"/>
              <w:rPr>
                <w:rFonts w:eastAsia="方正仿宋_GBK"/>
                <w:snapToGrid w:val="0"/>
                <w:kern w:val="0"/>
                <w:sz w:val="28"/>
                <w:szCs w:val="28"/>
              </w:rPr>
            </w:pPr>
            <w:r>
              <w:rPr>
                <w:rFonts w:eastAsia="方正仿宋_GBK"/>
                <w:snapToGrid w:val="0"/>
                <w:kern w:val="0"/>
                <w:sz w:val="28"/>
                <w:szCs w:val="28"/>
              </w:rPr>
              <w:t>20以上</w:t>
            </w:r>
          </w:p>
        </w:tc>
        <w:tc>
          <w:tcPr>
            <w:tcW w:w="1575" w:type="dxa"/>
            <w:noWrap w:val="0"/>
            <w:vAlign w:val="center"/>
          </w:tcPr>
          <w:p w14:paraId="48C09969">
            <w:pPr>
              <w:spacing w:line="360" w:lineRule="exact"/>
              <w:jc w:val="center"/>
              <w:rPr>
                <w:rFonts w:eastAsia="方正仿宋_GBK"/>
                <w:snapToGrid w:val="0"/>
                <w:kern w:val="0"/>
                <w:sz w:val="28"/>
                <w:szCs w:val="28"/>
              </w:rPr>
            </w:pPr>
            <w:r>
              <w:rPr>
                <w:rFonts w:eastAsia="方正仿宋_GBK"/>
                <w:snapToGrid w:val="0"/>
                <w:kern w:val="0"/>
                <w:sz w:val="28"/>
                <w:szCs w:val="28"/>
              </w:rPr>
              <w:t>20以上</w:t>
            </w:r>
          </w:p>
        </w:tc>
      </w:tr>
      <w:tr w14:paraId="25BD6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76C0B65F">
            <w:pPr>
              <w:snapToGrid w:val="0"/>
              <w:spacing w:line="360" w:lineRule="exact"/>
              <w:jc w:val="center"/>
              <w:rPr>
                <w:rFonts w:eastAsia="方正仿宋_GBK"/>
                <w:snapToGrid w:val="0"/>
                <w:kern w:val="0"/>
                <w:sz w:val="28"/>
                <w:szCs w:val="28"/>
              </w:rPr>
            </w:pPr>
          </w:p>
        </w:tc>
        <w:tc>
          <w:tcPr>
            <w:tcW w:w="4966" w:type="dxa"/>
            <w:noWrap w:val="0"/>
            <w:vAlign w:val="center"/>
          </w:tcPr>
          <w:p w14:paraId="0E5E3F5C">
            <w:pPr>
              <w:spacing w:line="360" w:lineRule="exact"/>
              <w:rPr>
                <w:rFonts w:eastAsia="方正仿宋_GBK"/>
                <w:snapToGrid w:val="0"/>
                <w:kern w:val="0"/>
                <w:sz w:val="28"/>
                <w:szCs w:val="28"/>
              </w:rPr>
            </w:pPr>
            <w:r>
              <w:rPr>
                <w:rFonts w:eastAsia="方正仿宋_GBK"/>
                <w:snapToGrid w:val="0"/>
                <w:kern w:val="0"/>
                <w:sz w:val="28"/>
                <w:szCs w:val="28"/>
              </w:rPr>
              <w:t>全员劳动生产率（万元）</w:t>
            </w:r>
          </w:p>
        </w:tc>
        <w:tc>
          <w:tcPr>
            <w:tcW w:w="1954" w:type="dxa"/>
            <w:noWrap w:val="0"/>
            <w:vAlign w:val="center"/>
          </w:tcPr>
          <w:p w14:paraId="619CFE47">
            <w:pPr>
              <w:spacing w:line="360" w:lineRule="exact"/>
              <w:jc w:val="center"/>
              <w:rPr>
                <w:rFonts w:eastAsia="方正仿宋_GBK"/>
                <w:snapToGrid w:val="0"/>
                <w:kern w:val="0"/>
                <w:sz w:val="28"/>
                <w:szCs w:val="28"/>
              </w:rPr>
            </w:pPr>
            <w:r>
              <w:rPr>
                <w:rFonts w:eastAsia="方正仿宋_GBK"/>
                <w:snapToGrid w:val="0"/>
                <w:kern w:val="0"/>
                <w:sz w:val="28"/>
                <w:szCs w:val="28"/>
              </w:rPr>
              <w:t>35左右</w:t>
            </w:r>
          </w:p>
        </w:tc>
        <w:tc>
          <w:tcPr>
            <w:tcW w:w="1575" w:type="dxa"/>
            <w:noWrap w:val="0"/>
            <w:vAlign w:val="center"/>
          </w:tcPr>
          <w:p w14:paraId="683B9230">
            <w:pPr>
              <w:spacing w:line="360" w:lineRule="exact"/>
              <w:jc w:val="center"/>
              <w:rPr>
                <w:rFonts w:eastAsia="方正仿宋_GBK"/>
                <w:snapToGrid w:val="0"/>
                <w:kern w:val="0"/>
                <w:sz w:val="28"/>
                <w:szCs w:val="28"/>
              </w:rPr>
            </w:pPr>
            <w:r>
              <w:rPr>
                <w:rFonts w:eastAsia="方正仿宋_GBK"/>
                <w:snapToGrid w:val="0"/>
                <w:kern w:val="0"/>
                <w:sz w:val="28"/>
                <w:szCs w:val="28"/>
              </w:rPr>
              <w:t>35左右</w:t>
            </w:r>
          </w:p>
        </w:tc>
      </w:tr>
      <w:tr w14:paraId="2C8EB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7D945E01">
            <w:pPr>
              <w:snapToGrid w:val="0"/>
              <w:spacing w:line="360" w:lineRule="exact"/>
              <w:jc w:val="center"/>
              <w:rPr>
                <w:rFonts w:eastAsia="方正仿宋_GBK"/>
                <w:snapToGrid w:val="0"/>
                <w:kern w:val="0"/>
                <w:sz w:val="28"/>
                <w:szCs w:val="28"/>
              </w:rPr>
            </w:pPr>
          </w:p>
        </w:tc>
        <w:tc>
          <w:tcPr>
            <w:tcW w:w="4966" w:type="dxa"/>
            <w:noWrap w:val="0"/>
            <w:vAlign w:val="center"/>
          </w:tcPr>
          <w:p w14:paraId="68F54591">
            <w:pPr>
              <w:spacing w:line="360" w:lineRule="exact"/>
              <w:rPr>
                <w:rFonts w:eastAsia="方正仿宋_GBK"/>
                <w:snapToGrid w:val="0"/>
                <w:kern w:val="0"/>
                <w:sz w:val="28"/>
                <w:szCs w:val="28"/>
              </w:rPr>
            </w:pPr>
            <w:r>
              <w:rPr>
                <w:rFonts w:eastAsia="方正仿宋_GBK"/>
                <w:snapToGrid w:val="0"/>
                <w:kern w:val="0"/>
                <w:sz w:val="28"/>
                <w:szCs w:val="28"/>
              </w:rPr>
              <w:t>地方一般公共预算收入（亿元）</w:t>
            </w:r>
          </w:p>
        </w:tc>
        <w:tc>
          <w:tcPr>
            <w:tcW w:w="1954" w:type="dxa"/>
            <w:noWrap w:val="0"/>
            <w:vAlign w:val="center"/>
          </w:tcPr>
          <w:p w14:paraId="036AA228">
            <w:pPr>
              <w:spacing w:line="360" w:lineRule="exact"/>
              <w:jc w:val="center"/>
              <w:rPr>
                <w:rFonts w:eastAsia="方正仿宋_GBK"/>
                <w:snapToGrid w:val="0"/>
                <w:kern w:val="0"/>
                <w:sz w:val="28"/>
                <w:szCs w:val="28"/>
              </w:rPr>
            </w:pPr>
            <w:r>
              <w:rPr>
                <w:rFonts w:eastAsia="方正仿宋_GBK"/>
                <w:snapToGrid w:val="0"/>
                <w:kern w:val="0"/>
                <w:sz w:val="28"/>
                <w:szCs w:val="28"/>
              </w:rPr>
              <w:t>800以上</w:t>
            </w:r>
          </w:p>
        </w:tc>
        <w:tc>
          <w:tcPr>
            <w:tcW w:w="1575" w:type="dxa"/>
            <w:noWrap w:val="0"/>
            <w:vAlign w:val="center"/>
          </w:tcPr>
          <w:p w14:paraId="2EF60E99">
            <w:pPr>
              <w:spacing w:line="360" w:lineRule="exact"/>
              <w:jc w:val="center"/>
              <w:rPr>
                <w:rFonts w:eastAsia="方正仿宋_GBK"/>
                <w:snapToGrid w:val="0"/>
                <w:kern w:val="0"/>
                <w:sz w:val="28"/>
                <w:szCs w:val="28"/>
              </w:rPr>
            </w:pPr>
            <w:r>
              <w:rPr>
                <w:rFonts w:eastAsia="方正仿宋_GBK"/>
                <w:snapToGrid w:val="0"/>
                <w:kern w:val="0"/>
                <w:sz w:val="28"/>
                <w:szCs w:val="28"/>
              </w:rPr>
              <w:t>715.5</w:t>
            </w:r>
          </w:p>
        </w:tc>
      </w:tr>
      <w:tr w14:paraId="63AE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4DF3222E">
            <w:pPr>
              <w:snapToGrid w:val="0"/>
              <w:spacing w:line="360" w:lineRule="exact"/>
              <w:jc w:val="center"/>
              <w:rPr>
                <w:rFonts w:eastAsia="方正仿宋_GBK"/>
                <w:snapToGrid w:val="0"/>
                <w:kern w:val="0"/>
                <w:sz w:val="28"/>
                <w:szCs w:val="28"/>
              </w:rPr>
            </w:pPr>
          </w:p>
        </w:tc>
        <w:tc>
          <w:tcPr>
            <w:tcW w:w="4966" w:type="dxa"/>
            <w:noWrap w:val="0"/>
            <w:vAlign w:val="center"/>
          </w:tcPr>
          <w:p w14:paraId="70F307E2">
            <w:pPr>
              <w:spacing w:line="360" w:lineRule="exact"/>
              <w:rPr>
                <w:rFonts w:eastAsia="方正仿宋_GBK"/>
                <w:snapToGrid w:val="0"/>
                <w:kern w:val="0"/>
                <w:sz w:val="28"/>
                <w:szCs w:val="28"/>
              </w:rPr>
            </w:pPr>
            <w:r>
              <w:rPr>
                <w:rFonts w:eastAsia="方正仿宋_GBK"/>
                <w:snapToGrid w:val="0"/>
                <w:kern w:val="0"/>
                <w:sz w:val="28"/>
                <w:szCs w:val="28"/>
              </w:rPr>
              <w:t>研发经费支出占地区生产总值比重（%）</w:t>
            </w:r>
          </w:p>
        </w:tc>
        <w:tc>
          <w:tcPr>
            <w:tcW w:w="1954" w:type="dxa"/>
            <w:noWrap w:val="0"/>
            <w:vAlign w:val="center"/>
          </w:tcPr>
          <w:p w14:paraId="3F2F7757">
            <w:pPr>
              <w:spacing w:line="360" w:lineRule="exact"/>
              <w:jc w:val="center"/>
              <w:rPr>
                <w:rFonts w:eastAsia="方正仿宋_GBK"/>
                <w:snapToGrid w:val="0"/>
                <w:kern w:val="0"/>
                <w:sz w:val="28"/>
                <w:szCs w:val="28"/>
              </w:rPr>
            </w:pPr>
            <w:r>
              <w:rPr>
                <w:rFonts w:eastAsia="方正仿宋_GBK"/>
                <w:snapToGrid w:val="0"/>
                <w:kern w:val="0"/>
                <w:sz w:val="28"/>
                <w:szCs w:val="28"/>
              </w:rPr>
              <w:t>3.5</w:t>
            </w:r>
          </w:p>
        </w:tc>
        <w:tc>
          <w:tcPr>
            <w:tcW w:w="1575" w:type="dxa"/>
            <w:noWrap w:val="0"/>
            <w:vAlign w:val="center"/>
          </w:tcPr>
          <w:p w14:paraId="05DF378F">
            <w:pPr>
              <w:spacing w:line="360" w:lineRule="exact"/>
              <w:jc w:val="center"/>
              <w:rPr>
                <w:rFonts w:eastAsia="方正仿宋_GBK"/>
                <w:snapToGrid w:val="0"/>
                <w:kern w:val="0"/>
                <w:sz w:val="28"/>
                <w:szCs w:val="28"/>
              </w:rPr>
            </w:pPr>
            <w:r>
              <w:rPr>
                <w:rFonts w:eastAsia="方正仿宋_GBK"/>
                <w:snapToGrid w:val="0"/>
                <w:kern w:val="0"/>
                <w:sz w:val="28"/>
                <w:szCs w:val="28"/>
              </w:rPr>
              <w:t>3.62</w:t>
            </w:r>
          </w:p>
        </w:tc>
      </w:tr>
      <w:tr w14:paraId="5C395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7AA61E6A">
            <w:pPr>
              <w:snapToGrid w:val="0"/>
              <w:spacing w:line="360" w:lineRule="exact"/>
              <w:jc w:val="center"/>
              <w:rPr>
                <w:rFonts w:eastAsia="方正仿宋_GBK"/>
                <w:snapToGrid w:val="0"/>
                <w:kern w:val="0"/>
                <w:sz w:val="28"/>
                <w:szCs w:val="28"/>
              </w:rPr>
            </w:pPr>
          </w:p>
        </w:tc>
        <w:tc>
          <w:tcPr>
            <w:tcW w:w="4966" w:type="dxa"/>
            <w:noWrap w:val="0"/>
            <w:vAlign w:val="center"/>
          </w:tcPr>
          <w:p w14:paraId="13E257B2">
            <w:pPr>
              <w:spacing w:line="360" w:lineRule="exact"/>
              <w:rPr>
                <w:rFonts w:eastAsia="方正仿宋_GBK"/>
                <w:snapToGrid w:val="0"/>
                <w:kern w:val="0"/>
                <w:sz w:val="28"/>
                <w:szCs w:val="28"/>
              </w:rPr>
            </w:pPr>
            <w:r>
              <w:rPr>
                <w:rFonts w:eastAsia="方正仿宋_GBK"/>
                <w:snapToGrid w:val="0"/>
                <w:kern w:val="0"/>
                <w:sz w:val="28"/>
                <w:szCs w:val="28"/>
              </w:rPr>
              <w:t>科技进步贡献率（%）</w:t>
            </w:r>
          </w:p>
        </w:tc>
        <w:tc>
          <w:tcPr>
            <w:tcW w:w="1954" w:type="dxa"/>
            <w:noWrap w:val="0"/>
            <w:vAlign w:val="center"/>
          </w:tcPr>
          <w:p w14:paraId="63467A95">
            <w:pPr>
              <w:spacing w:line="360" w:lineRule="exact"/>
              <w:jc w:val="center"/>
              <w:rPr>
                <w:rFonts w:eastAsia="方正仿宋_GBK"/>
                <w:snapToGrid w:val="0"/>
                <w:kern w:val="0"/>
                <w:sz w:val="28"/>
                <w:szCs w:val="28"/>
              </w:rPr>
            </w:pPr>
            <w:r>
              <w:rPr>
                <w:rFonts w:eastAsia="方正仿宋_GBK"/>
                <w:snapToGrid w:val="0"/>
                <w:kern w:val="0"/>
                <w:sz w:val="28"/>
                <w:szCs w:val="28"/>
              </w:rPr>
              <w:t>70以上</w:t>
            </w:r>
          </w:p>
        </w:tc>
        <w:tc>
          <w:tcPr>
            <w:tcW w:w="1575" w:type="dxa"/>
            <w:noWrap w:val="0"/>
            <w:vAlign w:val="center"/>
          </w:tcPr>
          <w:p w14:paraId="06C31314">
            <w:pPr>
              <w:snapToGrid w:val="0"/>
              <w:spacing w:line="360" w:lineRule="exact"/>
              <w:jc w:val="center"/>
              <w:rPr>
                <w:rFonts w:eastAsia="方正仿宋_GBK"/>
                <w:snapToGrid w:val="0"/>
                <w:kern w:val="0"/>
                <w:sz w:val="28"/>
                <w:szCs w:val="28"/>
              </w:rPr>
            </w:pPr>
            <w:r>
              <w:rPr>
                <w:rFonts w:eastAsia="方正仿宋_GBK"/>
                <w:snapToGrid w:val="0"/>
                <w:kern w:val="0"/>
                <w:sz w:val="28"/>
                <w:szCs w:val="28"/>
              </w:rPr>
              <w:t>——</w:t>
            </w:r>
          </w:p>
        </w:tc>
      </w:tr>
      <w:tr w14:paraId="48AAE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3C4B652A">
            <w:pPr>
              <w:snapToGrid w:val="0"/>
              <w:spacing w:line="360" w:lineRule="exact"/>
              <w:jc w:val="center"/>
              <w:rPr>
                <w:rFonts w:eastAsia="方正仿宋_GBK"/>
                <w:snapToGrid w:val="0"/>
                <w:kern w:val="0"/>
                <w:sz w:val="28"/>
                <w:szCs w:val="28"/>
              </w:rPr>
            </w:pPr>
          </w:p>
        </w:tc>
        <w:tc>
          <w:tcPr>
            <w:tcW w:w="4966" w:type="dxa"/>
            <w:noWrap w:val="0"/>
            <w:vAlign w:val="center"/>
          </w:tcPr>
          <w:p w14:paraId="1FA96E83">
            <w:pPr>
              <w:spacing w:line="360" w:lineRule="exact"/>
              <w:rPr>
                <w:rFonts w:eastAsia="方正仿宋_GBK"/>
                <w:snapToGrid w:val="0"/>
                <w:kern w:val="0"/>
                <w:sz w:val="28"/>
                <w:szCs w:val="28"/>
              </w:rPr>
            </w:pPr>
            <w:r>
              <w:rPr>
                <w:rFonts w:eastAsia="方正仿宋_GBK"/>
                <w:snapToGrid w:val="0"/>
                <w:kern w:val="0"/>
                <w:sz w:val="28"/>
                <w:szCs w:val="28"/>
              </w:rPr>
              <w:t>每万人拥有发明专利数（件）</w:t>
            </w:r>
          </w:p>
        </w:tc>
        <w:tc>
          <w:tcPr>
            <w:tcW w:w="1954" w:type="dxa"/>
            <w:noWrap w:val="0"/>
            <w:vAlign w:val="center"/>
          </w:tcPr>
          <w:p w14:paraId="5CD3F4D3">
            <w:pPr>
              <w:spacing w:line="360" w:lineRule="exact"/>
              <w:jc w:val="center"/>
              <w:rPr>
                <w:rFonts w:eastAsia="方正仿宋_GBK"/>
                <w:snapToGrid w:val="0"/>
                <w:kern w:val="0"/>
                <w:sz w:val="28"/>
                <w:szCs w:val="28"/>
              </w:rPr>
            </w:pPr>
            <w:r>
              <w:rPr>
                <w:rFonts w:eastAsia="方正仿宋_GBK"/>
                <w:snapToGrid w:val="0"/>
                <w:kern w:val="0"/>
                <w:sz w:val="28"/>
                <w:szCs w:val="28"/>
              </w:rPr>
              <w:t>55</w:t>
            </w:r>
          </w:p>
        </w:tc>
        <w:tc>
          <w:tcPr>
            <w:tcW w:w="1575" w:type="dxa"/>
            <w:noWrap w:val="0"/>
            <w:vAlign w:val="center"/>
          </w:tcPr>
          <w:p w14:paraId="01127446">
            <w:pPr>
              <w:spacing w:line="360" w:lineRule="exact"/>
              <w:jc w:val="center"/>
              <w:rPr>
                <w:rFonts w:eastAsia="方正仿宋_GBK"/>
                <w:snapToGrid w:val="0"/>
                <w:kern w:val="0"/>
                <w:sz w:val="28"/>
                <w:szCs w:val="28"/>
              </w:rPr>
            </w:pPr>
            <w:r>
              <w:rPr>
                <w:rFonts w:eastAsia="方正仿宋_GBK"/>
                <w:snapToGrid w:val="0"/>
                <w:kern w:val="0"/>
                <w:sz w:val="28"/>
                <w:szCs w:val="28"/>
              </w:rPr>
              <w:t>95</w:t>
            </w:r>
          </w:p>
        </w:tc>
      </w:tr>
      <w:tr w14:paraId="327196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5880AA97">
            <w:pPr>
              <w:snapToGrid w:val="0"/>
              <w:spacing w:line="360" w:lineRule="exact"/>
              <w:jc w:val="center"/>
              <w:rPr>
                <w:rFonts w:eastAsia="方正仿宋_GBK"/>
                <w:snapToGrid w:val="0"/>
                <w:kern w:val="0"/>
                <w:sz w:val="28"/>
                <w:szCs w:val="28"/>
              </w:rPr>
            </w:pPr>
          </w:p>
        </w:tc>
        <w:tc>
          <w:tcPr>
            <w:tcW w:w="4966" w:type="dxa"/>
            <w:noWrap w:val="0"/>
            <w:vAlign w:val="center"/>
          </w:tcPr>
          <w:p w14:paraId="7E4EFFA9">
            <w:pPr>
              <w:spacing w:line="360" w:lineRule="exact"/>
              <w:rPr>
                <w:rFonts w:eastAsia="方正仿宋_GBK"/>
                <w:snapToGrid w:val="0"/>
                <w:kern w:val="0"/>
                <w:sz w:val="28"/>
                <w:szCs w:val="28"/>
              </w:rPr>
            </w:pPr>
            <w:r>
              <w:rPr>
                <w:rFonts w:eastAsia="方正仿宋_GBK"/>
                <w:snapToGrid w:val="0"/>
                <w:kern w:val="0"/>
                <w:sz w:val="28"/>
                <w:szCs w:val="28"/>
              </w:rPr>
              <w:t>制造业增加值占地区生产总值比重（%）</w:t>
            </w:r>
          </w:p>
        </w:tc>
        <w:tc>
          <w:tcPr>
            <w:tcW w:w="1954" w:type="dxa"/>
            <w:noWrap w:val="0"/>
            <w:vAlign w:val="center"/>
          </w:tcPr>
          <w:p w14:paraId="16982879">
            <w:pPr>
              <w:spacing w:line="360" w:lineRule="exact"/>
              <w:jc w:val="center"/>
              <w:rPr>
                <w:rFonts w:eastAsia="方正仿宋_GBK"/>
                <w:snapToGrid w:val="0"/>
                <w:kern w:val="0"/>
                <w:sz w:val="28"/>
                <w:szCs w:val="28"/>
              </w:rPr>
            </w:pPr>
            <w:r>
              <w:rPr>
                <w:rFonts w:eastAsia="方正仿宋_GBK"/>
                <w:snapToGrid w:val="0"/>
                <w:kern w:val="0"/>
                <w:sz w:val="28"/>
                <w:szCs w:val="28"/>
              </w:rPr>
              <w:t>43左右</w:t>
            </w:r>
          </w:p>
        </w:tc>
        <w:tc>
          <w:tcPr>
            <w:tcW w:w="1575" w:type="dxa"/>
            <w:noWrap w:val="0"/>
            <w:vAlign w:val="center"/>
          </w:tcPr>
          <w:p w14:paraId="34DEB192">
            <w:pPr>
              <w:spacing w:line="360" w:lineRule="exact"/>
              <w:jc w:val="center"/>
              <w:rPr>
                <w:rFonts w:eastAsia="方正仿宋_GBK"/>
                <w:snapToGrid w:val="0"/>
                <w:kern w:val="0"/>
                <w:sz w:val="28"/>
                <w:szCs w:val="28"/>
              </w:rPr>
            </w:pPr>
            <w:r>
              <w:rPr>
                <w:rFonts w:eastAsia="方正仿宋_GBK"/>
                <w:snapToGrid w:val="0"/>
                <w:kern w:val="0"/>
                <w:sz w:val="28"/>
                <w:szCs w:val="28"/>
              </w:rPr>
              <w:t>40以上</w:t>
            </w:r>
          </w:p>
        </w:tc>
      </w:tr>
      <w:tr w14:paraId="5DE97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837" w:type="dxa"/>
            <w:vMerge w:val="continue"/>
            <w:noWrap w:val="0"/>
            <w:vAlign w:val="center"/>
          </w:tcPr>
          <w:p w14:paraId="58D5C206">
            <w:pPr>
              <w:snapToGrid w:val="0"/>
              <w:spacing w:line="360" w:lineRule="exact"/>
              <w:jc w:val="center"/>
              <w:rPr>
                <w:rFonts w:eastAsia="方正仿宋_GBK"/>
                <w:snapToGrid w:val="0"/>
                <w:kern w:val="0"/>
                <w:sz w:val="28"/>
                <w:szCs w:val="28"/>
              </w:rPr>
            </w:pPr>
          </w:p>
        </w:tc>
        <w:tc>
          <w:tcPr>
            <w:tcW w:w="4966" w:type="dxa"/>
            <w:noWrap w:val="0"/>
            <w:vAlign w:val="center"/>
          </w:tcPr>
          <w:p w14:paraId="5D6CD036">
            <w:pPr>
              <w:spacing w:line="360" w:lineRule="exact"/>
              <w:rPr>
                <w:rFonts w:eastAsia="方正仿宋_GBK"/>
                <w:snapToGrid w:val="0"/>
                <w:kern w:val="0"/>
                <w:sz w:val="28"/>
                <w:szCs w:val="28"/>
              </w:rPr>
            </w:pPr>
            <w:r>
              <w:rPr>
                <w:rFonts w:eastAsia="方正仿宋_GBK"/>
                <w:snapToGrid w:val="0"/>
                <w:kern w:val="0"/>
                <w:sz w:val="28"/>
                <w:szCs w:val="28"/>
              </w:rPr>
              <w:t>高新技术产业产值占规模以上工业总产值比重（%）</w:t>
            </w:r>
          </w:p>
        </w:tc>
        <w:tc>
          <w:tcPr>
            <w:tcW w:w="1954" w:type="dxa"/>
            <w:noWrap w:val="0"/>
            <w:vAlign w:val="center"/>
          </w:tcPr>
          <w:p w14:paraId="25A131E2">
            <w:pPr>
              <w:spacing w:line="360" w:lineRule="exact"/>
              <w:jc w:val="center"/>
              <w:rPr>
                <w:rFonts w:eastAsia="方正仿宋_GBK"/>
                <w:snapToGrid w:val="0"/>
                <w:kern w:val="0"/>
                <w:sz w:val="28"/>
                <w:szCs w:val="28"/>
              </w:rPr>
            </w:pPr>
            <w:r>
              <w:rPr>
                <w:rFonts w:eastAsia="方正仿宋_GBK"/>
                <w:snapToGrid w:val="0"/>
                <w:kern w:val="0"/>
                <w:sz w:val="28"/>
                <w:szCs w:val="28"/>
              </w:rPr>
              <w:t>50左右</w:t>
            </w:r>
          </w:p>
        </w:tc>
        <w:tc>
          <w:tcPr>
            <w:tcW w:w="1575" w:type="dxa"/>
            <w:noWrap w:val="0"/>
            <w:vAlign w:val="center"/>
          </w:tcPr>
          <w:p w14:paraId="77DB4F69">
            <w:pPr>
              <w:spacing w:line="360" w:lineRule="exact"/>
              <w:jc w:val="center"/>
              <w:rPr>
                <w:rFonts w:eastAsia="方正仿宋_GBK"/>
                <w:snapToGrid w:val="0"/>
                <w:kern w:val="0"/>
                <w:sz w:val="28"/>
                <w:szCs w:val="28"/>
              </w:rPr>
            </w:pPr>
            <w:r>
              <w:rPr>
                <w:rFonts w:hint="eastAsia" w:eastAsia="方正仿宋_GBK"/>
                <w:snapToGrid w:val="0"/>
                <w:kern w:val="0"/>
                <w:sz w:val="28"/>
                <w:szCs w:val="28"/>
              </w:rPr>
              <w:t>60以上</w:t>
            </w:r>
          </w:p>
        </w:tc>
      </w:tr>
      <w:tr w14:paraId="40939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837" w:type="dxa"/>
            <w:vMerge w:val="continue"/>
            <w:noWrap w:val="0"/>
            <w:vAlign w:val="center"/>
          </w:tcPr>
          <w:p w14:paraId="3827861D">
            <w:pPr>
              <w:snapToGrid w:val="0"/>
              <w:spacing w:line="360" w:lineRule="exact"/>
              <w:jc w:val="center"/>
              <w:rPr>
                <w:rFonts w:eastAsia="方正仿宋_GBK"/>
                <w:snapToGrid w:val="0"/>
                <w:kern w:val="0"/>
                <w:sz w:val="28"/>
                <w:szCs w:val="28"/>
              </w:rPr>
            </w:pPr>
          </w:p>
        </w:tc>
        <w:tc>
          <w:tcPr>
            <w:tcW w:w="4966" w:type="dxa"/>
            <w:noWrap w:val="0"/>
            <w:vAlign w:val="center"/>
          </w:tcPr>
          <w:p w14:paraId="6CC2EBED">
            <w:pPr>
              <w:spacing w:line="360" w:lineRule="exact"/>
              <w:rPr>
                <w:rFonts w:eastAsia="方正仿宋_GBK"/>
                <w:snapToGrid w:val="0"/>
                <w:kern w:val="0"/>
                <w:sz w:val="28"/>
                <w:szCs w:val="28"/>
              </w:rPr>
            </w:pPr>
            <w:r>
              <w:rPr>
                <w:rFonts w:eastAsia="方正仿宋_GBK"/>
                <w:snapToGrid w:val="0"/>
                <w:kern w:val="0"/>
                <w:sz w:val="28"/>
                <w:szCs w:val="28"/>
              </w:rPr>
              <w:t>生产性服务业增加值占服务业增加值比重（%）</w:t>
            </w:r>
          </w:p>
        </w:tc>
        <w:tc>
          <w:tcPr>
            <w:tcW w:w="1954" w:type="dxa"/>
            <w:noWrap w:val="0"/>
            <w:vAlign w:val="center"/>
          </w:tcPr>
          <w:p w14:paraId="0FEE0441">
            <w:pPr>
              <w:spacing w:line="360" w:lineRule="exact"/>
              <w:jc w:val="center"/>
              <w:rPr>
                <w:rFonts w:eastAsia="方正仿宋_GBK"/>
                <w:snapToGrid w:val="0"/>
                <w:kern w:val="0"/>
                <w:sz w:val="28"/>
                <w:szCs w:val="28"/>
              </w:rPr>
            </w:pPr>
            <w:r>
              <w:rPr>
                <w:rFonts w:eastAsia="方正仿宋_GBK"/>
                <w:snapToGrid w:val="0"/>
                <w:kern w:val="0"/>
                <w:sz w:val="28"/>
                <w:szCs w:val="28"/>
              </w:rPr>
              <w:t>60左右</w:t>
            </w:r>
          </w:p>
        </w:tc>
        <w:tc>
          <w:tcPr>
            <w:tcW w:w="1575" w:type="dxa"/>
            <w:noWrap w:val="0"/>
            <w:vAlign w:val="center"/>
          </w:tcPr>
          <w:p w14:paraId="6BC15017">
            <w:pPr>
              <w:spacing w:line="360" w:lineRule="exact"/>
              <w:jc w:val="center"/>
              <w:rPr>
                <w:rFonts w:eastAsia="方正仿宋_GBK"/>
                <w:snapToGrid w:val="0"/>
                <w:kern w:val="0"/>
                <w:sz w:val="28"/>
                <w:szCs w:val="28"/>
              </w:rPr>
            </w:pPr>
            <w:r>
              <w:rPr>
                <w:rFonts w:eastAsia="方正仿宋_GBK"/>
                <w:snapToGrid w:val="0"/>
                <w:kern w:val="0"/>
                <w:sz w:val="28"/>
                <w:szCs w:val="28"/>
              </w:rPr>
              <w:t>60</w:t>
            </w:r>
          </w:p>
        </w:tc>
      </w:tr>
      <w:tr w14:paraId="02B4D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371558A5">
            <w:pPr>
              <w:snapToGrid w:val="0"/>
              <w:spacing w:line="360" w:lineRule="exact"/>
              <w:jc w:val="center"/>
              <w:rPr>
                <w:rFonts w:eastAsia="方正仿宋_GBK"/>
                <w:snapToGrid w:val="0"/>
                <w:kern w:val="0"/>
                <w:sz w:val="28"/>
                <w:szCs w:val="28"/>
              </w:rPr>
            </w:pPr>
          </w:p>
        </w:tc>
        <w:tc>
          <w:tcPr>
            <w:tcW w:w="4966" w:type="dxa"/>
            <w:noWrap w:val="0"/>
            <w:vAlign w:val="center"/>
          </w:tcPr>
          <w:p w14:paraId="366E0E1C">
            <w:pPr>
              <w:spacing w:line="360" w:lineRule="exact"/>
              <w:rPr>
                <w:rFonts w:eastAsia="方正仿宋_GBK"/>
                <w:snapToGrid w:val="0"/>
                <w:kern w:val="0"/>
                <w:sz w:val="28"/>
                <w:szCs w:val="28"/>
              </w:rPr>
            </w:pPr>
            <w:r>
              <w:rPr>
                <w:rFonts w:eastAsia="方正仿宋_GBK"/>
                <w:snapToGrid w:val="0"/>
                <w:kern w:val="0"/>
                <w:sz w:val="28"/>
                <w:szCs w:val="28"/>
              </w:rPr>
              <w:t>绿色优质农产品比重（%）</w:t>
            </w:r>
          </w:p>
        </w:tc>
        <w:tc>
          <w:tcPr>
            <w:tcW w:w="1954" w:type="dxa"/>
            <w:noWrap w:val="0"/>
            <w:vAlign w:val="center"/>
          </w:tcPr>
          <w:p w14:paraId="4AC7C821">
            <w:pPr>
              <w:spacing w:line="360" w:lineRule="exact"/>
              <w:jc w:val="center"/>
              <w:rPr>
                <w:rFonts w:eastAsia="方正仿宋_GBK"/>
                <w:snapToGrid w:val="0"/>
                <w:kern w:val="0"/>
                <w:sz w:val="28"/>
                <w:szCs w:val="28"/>
              </w:rPr>
            </w:pPr>
            <w:r>
              <w:rPr>
                <w:rFonts w:eastAsia="方正仿宋_GBK"/>
                <w:snapToGrid w:val="0"/>
                <w:kern w:val="0"/>
                <w:sz w:val="28"/>
                <w:szCs w:val="28"/>
              </w:rPr>
              <w:t>80</w:t>
            </w:r>
          </w:p>
        </w:tc>
        <w:tc>
          <w:tcPr>
            <w:tcW w:w="1575" w:type="dxa"/>
            <w:noWrap w:val="0"/>
            <w:vAlign w:val="center"/>
          </w:tcPr>
          <w:p w14:paraId="1AE7B7C4">
            <w:pPr>
              <w:spacing w:line="360" w:lineRule="exact"/>
              <w:jc w:val="center"/>
              <w:rPr>
                <w:rFonts w:eastAsia="方正仿宋_GBK"/>
                <w:snapToGrid w:val="0"/>
                <w:kern w:val="0"/>
                <w:sz w:val="28"/>
                <w:szCs w:val="28"/>
              </w:rPr>
            </w:pPr>
            <w:r>
              <w:rPr>
                <w:rFonts w:hint="eastAsia" w:eastAsia="方正仿宋_GBK"/>
                <w:snapToGrid w:val="0"/>
                <w:kern w:val="0"/>
                <w:sz w:val="28"/>
                <w:szCs w:val="28"/>
              </w:rPr>
              <w:t>77左右</w:t>
            </w:r>
          </w:p>
        </w:tc>
      </w:tr>
      <w:tr w14:paraId="2398D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49B4428C">
            <w:pPr>
              <w:snapToGrid w:val="0"/>
              <w:spacing w:line="360" w:lineRule="exact"/>
              <w:jc w:val="center"/>
              <w:rPr>
                <w:rFonts w:eastAsia="方正仿宋_GBK"/>
                <w:snapToGrid w:val="0"/>
                <w:kern w:val="0"/>
                <w:sz w:val="28"/>
                <w:szCs w:val="28"/>
              </w:rPr>
            </w:pPr>
          </w:p>
        </w:tc>
        <w:tc>
          <w:tcPr>
            <w:tcW w:w="4966" w:type="dxa"/>
            <w:noWrap w:val="0"/>
            <w:vAlign w:val="center"/>
          </w:tcPr>
          <w:p w14:paraId="3834211D">
            <w:pPr>
              <w:spacing w:line="360" w:lineRule="exact"/>
              <w:rPr>
                <w:rFonts w:eastAsia="方正仿宋_GBK"/>
                <w:snapToGrid w:val="0"/>
                <w:kern w:val="0"/>
                <w:sz w:val="28"/>
                <w:szCs w:val="28"/>
              </w:rPr>
            </w:pPr>
            <w:r>
              <w:rPr>
                <w:rFonts w:eastAsia="方正仿宋_GBK"/>
                <w:snapToGrid w:val="0"/>
                <w:kern w:val="0"/>
                <w:sz w:val="28"/>
                <w:szCs w:val="28"/>
              </w:rPr>
              <w:t>每万名劳动者中高技能人才数（人）</w:t>
            </w:r>
          </w:p>
        </w:tc>
        <w:tc>
          <w:tcPr>
            <w:tcW w:w="1954" w:type="dxa"/>
            <w:noWrap w:val="0"/>
            <w:vAlign w:val="center"/>
          </w:tcPr>
          <w:p w14:paraId="31995DBF">
            <w:pPr>
              <w:spacing w:line="360" w:lineRule="exact"/>
              <w:jc w:val="center"/>
              <w:rPr>
                <w:rFonts w:eastAsia="方正仿宋_GBK"/>
                <w:snapToGrid w:val="0"/>
                <w:kern w:val="0"/>
                <w:sz w:val="28"/>
                <w:szCs w:val="28"/>
              </w:rPr>
            </w:pPr>
            <w:r>
              <w:rPr>
                <w:rFonts w:eastAsia="方正仿宋_GBK"/>
                <w:snapToGrid w:val="0"/>
                <w:kern w:val="0"/>
                <w:sz w:val="28"/>
                <w:szCs w:val="28"/>
              </w:rPr>
              <w:t>1400</w:t>
            </w:r>
          </w:p>
        </w:tc>
        <w:tc>
          <w:tcPr>
            <w:tcW w:w="1575" w:type="dxa"/>
            <w:noWrap w:val="0"/>
            <w:vAlign w:val="center"/>
          </w:tcPr>
          <w:p w14:paraId="550FC5BE">
            <w:pPr>
              <w:spacing w:line="360" w:lineRule="exact"/>
              <w:jc w:val="center"/>
              <w:rPr>
                <w:rFonts w:eastAsia="方正仿宋_GBK"/>
                <w:snapToGrid w:val="0"/>
                <w:kern w:val="0"/>
                <w:sz w:val="28"/>
                <w:szCs w:val="28"/>
              </w:rPr>
            </w:pPr>
            <w:r>
              <w:rPr>
                <w:rFonts w:eastAsia="方正仿宋_GBK"/>
                <w:snapToGrid w:val="0"/>
                <w:kern w:val="0"/>
                <w:sz w:val="28"/>
                <w:szCs w:val="28"/>
              </w:rPr>
              <w:t>1530</w:t>
            </w:r>
          </w:p>
        </w:tc>
      </w:tr>
      <w:tr w14:paraId="66FE9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7A4599E2">
            <w:pPr>
              <w:snapToGrid w:val="0"/>
              <w:spacing w:line="360" w:lineRule="exact"/>
              <w:jc w:val="center"/>
              <w:rPr>
                <w:rFonts w:eastAsia="方正仿宋_GBK"/>
                <w:snapToGrid w:val="0"/>
                <w:kern w:val="0"/>
                <w:sz w:val="28"/>
                <w:szCs w:val="28"/>
              </w:rPr>
            </w:pPr>
          </w:p>
        </w:tc>
        <w:tc>
          <w:tcPr>
            <w:tcW w:w="4966" w:type="dxa"/>
            <w:noWrap w:val="0"/>
            <w:vAlign w:val="center"/>
          </w:tcPr>
          <w:p w14:paraId="2A6A18B7">
            <w:pPr>
              <w:spacing w:line="360" w:lineRule="exact"/>
              <w:rPr>
                <w:rFonts w:eastAsia="方正仿宋_GBK"/>
                <w:snapToGrid w:val="0"/>
                <w:kern w:val="0"/>
                <w:sz w:val="28"/>
                <w:szCs w:val="28"/>
              </w:rPr>
            </w:pPr>
            <w:r>
              <w:rPr>
                <w:rFonts w:eastAsia="方正仿宋_GBK"/>
                <w:snapToGrid w:val="0"/>
                <w:kern w:val="0"/>
                <w:sz w:val="28"/>
                <w:szCs w:val="28"/>
              </w:rPr>
              <w:t>营商环境指数（%）</w:t>
            </w:r>
          </w:p>
        </w:tc>
        <w:tc>
          <w:tcPr>
            <w:tcW w:w="1954" w:type="dxa"/>
            <w:noWrap w:val="0"/>
            <w:vAlign w:val="center"/>
          </w:tcPr>
          <w:p w14:paraId="3BA8425E">
            <w:pPr>
              <w:spacing w:line="360" w:lineRule="exact"/>
              <w:jc w:val="center"/>
              <w:rPr>
                <w:rFonts w:eastAsia="方正仿宋_GBK"/>
                <w:snapToGrid w:val="0"/>
                <w:kern w:val="0"/>
                <w:sz w:val="28"/>
                <w:szCs w:val="28"/>
              </w:rPr>
            </w:pPr>
            <w:r>
              <w:rPr>
                <w:rFonts w:eastAsia="方正仿宋_GBK"/>
                <w:snapToGrid w:val="0"/>
                <w:kern w:val="0"/>
                <w:sz w:val="28"/>
                <w:szCs w:val="28"/>
              </w:rPr>
              <w:t>全省第一方阵</w:t>
            </w:r>
          </w:p>
        </w:tc>
        <w:tc>
          <w:tcPr>
            <w:tcW w:w="1575" w:type="dxa"/>
            <w:noWrap w:val="0"/>
            <w:vAlign w:val="center"/>
          </w:tcPr>
          <w:p w14:paraId="7701BF14">
            <w:pPr>
              <w:spacing w:line="360" w:lineRule="exact"/>
              <w:jc w:val="center"/>
              <w:rPr>
                <w:rFonts w:eastAsia="方正仿宋_GBK"/>
                <w:snapToGrid w:val="0"/>
                <w:kern w:val="0"/>
                <w:sz w:val="28"/>
                <w:szCs w:val="28"/>
              </w:rPr>
            </w:pPr>
            <w:r>
              <w:rPr>
                <w:rFonts w:eastAsia="方正仿宋_GBK"/>
                <w:snapToGrid w:val="0"/>
                <w:kern w:val="0"/>
                <w:sz w:val="28"/>
                <w:szCs w:val="28"/>
              </w:rPr>
              <w:t>——</w:t>
            </w:r>
          </w:p>
        </w:tc>
      </w:tr>
      <w:tr w14:paraId="75F54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6AB182F0">
            <w:pPr>
              <w:snapToGrid w:val="0"/>
              <w:spacing w:line="360" w:lineRule="exact"/>
              <w:jc w:val="center"/>
              <w:rPr>
                <w:rFonts w:eastAsia="方正仿宋_GBK"/>
                <w:snapToGrid w:val="0"/>
                <w:kern w:val="0"/>
                <w:sz w:val="28"/>
                <w:szCs w:val="28"/>
              </w:rPr>
            </w:pPr>
          </w:p>
        </w:tc>
        <w:tc>
          <w:tcPr>
            <w:tcW w:w="4966" w:type="dxa"/>
            <w:noWrap w:val="0"/>
            <w:vAlign w:val="center"/>
          </w:tcPr>
          <w:p w14:paraId="6847DFD4">
            <w:pPr>
              <w:spacing w:line="360" w:lineRule="exact"/>
              <w:rPr>
                <w:rFonts w:eastAsia="方正仿宋_GBK"/>
                <w:snapToGrid w:val="0"/>
                <w:kern w:val="0"/>
                <w:sz w:val="28"/>
                <w:szCs w:val="28"/>
              </w:rPr>
            </w:pPr>
            <w:r>
              <w:rPr>
                <w:rFonts w:eastAsia="方正仿宋_GBK"/>
                <w:snapToGrid w:val="0"/>
                <w:kern w:val="0"/>
                <w:sz w:val="28"/>
                <w:szCs w:val="28"/>
              </w:rPr>
              <w:t>5G网络区域覆盖率（%）</w:t>
            </w:r>
          </w:p>
        </w:tc>
        <w:tc>
          <w:tcPr>
            <w:tcW w:w="1954" w:type="dxa"/>
            <w:noWrap w:val="0"/>
            <w:vAlign w:val="center"/>
          </w:tcPr>
          <w:p w14:paraId="7A9FCD10">
            <w:pPr>
              <w:spacing w:line="360" w:lineRule="exact"/>
              <w:jc w:val="center"/>
              <w:rPr>
                <w:rFonts w:eastAsia="方正仿宋_GBK"/>
                <w:snapToGrid w:val="0"/>
                <w:kern w:val="0"/>
                <w:sz w:val="28"/>
                <w:szCs w:val="28"/>
              </w:rPr>
            </w:pPr>
            <w:r>
              <w:rPr>
                <w:rFonts w:eastAsia="方正仿宋_GBK"/>
                <w:snapToGrid w:val="0"/>
                <w:kern w:val="0"/>
                <w:sz w:val="28"/>
                <w:szCs w:val="28"/>
              </w:rPr>
              <w:t>95以上</w:t>
            </w:r>
          </w:p>
        </w:tc>
        <w:tc>
          <w:tcPr>
            <w:tcW w:w="1575" w:type="dxa"/>
            <w:noWrap w:val="0"/>
            <w:vAlign w:val="center"/>
          </w:tcPr>
          <w:p w14:paraId="44736F59">
            <w:pPr>
              <w:spacing w:line="360" w:lineRule="exact"/>
              <w:jc w:val="center"/>
              <w:rPr>
                <w:rFonts w:eastAsia="方正仿宋_GBK"/>
                <w:snapToGrid w:val="0"/>
                <w:kern w:val="0"/>
                <w:sz w:val="28"/>
                <w:szCs w:val="28"/>
              </w:rPr>
            </w:pPr>
            <w:r>
              <w:rPr>
                <w:rFonts w:eastAsia="方正仿宋_GBK"/>
                <w:snapToGrid w:val="0"/>
                <w:kern w:val="0"/>
                <w:sz w:val="28"/>
                <w:szCs w:val="28"/>
              </w:rPr>
              <w:t>99</w:t>
            </w:r>
          </w:p>
        </w:tc>
      </w:tr>
      <w:tr w14:paraId="4B159E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742CC5AD">
            <w:pPr>
              <w:snapToGrid w:val="0"/>
              <w:spacing w:line="360" w:lineRule="exact"/>
              <w:jc w:val="center"/>
              <w:rPr>
                <w:rFonts w:eastAsia="方正仿宋_GBK"/>
                <w:snapToGrid w:val="0"/>
                <w:kern w:val="0"/>
                <w:sz w:val="28"/>
                <w:szCs w:val="28"/>
              </w:rPr>
            </w:pPr>
          </w:p>
        </w:tc>
        <w:tc>
          <w:tcPr>
            <w:tcW w:w="4966" w:type="dxa"/>
            <w:noWrap w:val="0"/>
            <w:vAlign w:val="center"/>
          </w:tcPr>
          <w:p w14:paraId="606CFD72">
            <w:pPr>
              <w:spacing w:line="360" w:lineRule="exact"/>
              <w:rPr>
                <w:rFonts w:eastAsia="方正仿宋_GBK"/>
                <w:snapToGrid w:val="0"/>
                <w:kern w:val="0"/>
                <w:sz w:val="28"/>
                <w:szCs w:val="28"/>
              </w:rPr>
            </w:pPr>
            <w:r>
              <w:rPr>
                <w:rFonts w:eastAsia="方正仿宋_GBK"/>
                <w:snapToGrid w:val="0"/>
                <w:kern w:val="0"/>
                <w:sz w:val="28"/>
                <w:szCs w:val="28"/>
              </w:rPr>
              <w:t>千兆宽带网络用户普及率（%）</w:t>
            </w:r>
          </w:p>
        </w:tc>
        <w:tc>
          <w:tcPr>
            <w:tcW w:w="1954" w:type="dxa"/>
            <w:noWrap w:val="0"/>
            <w:vAlign w:val="center"/>
          </w:tcPr>
          <w:p w14:paraId="1F87D438">
            <w:pPr>
              <w:spacing w:line="360" w:lineRule="exact"/>
              <w:jc w:val="center"/>
              <w:rPr>
                <w:rFonts w:eastAsia="方正仿宋_GBK"/>
                <w:snapToGrid w:val="0"/>
                <w:kern w:val="0"/>
                <w:sz w:val="28"/>
                <w:szCs w:val="28"/>
              </w:rPr>
            </w:pPr>
            <w:r>
              <w:rPr>
                <w:rFonts w:eastAsia="方正仿宋_GBK"/>
                <w:snapToGrid w:val="0"/>
                <w:kern w:val="0"/>
                <w:sz w:val="28"/>
                <w:szCs w:val="28"/>
              </w:rPr>
              <w:t>95以上</w:t>
            </w:r>
          </w:p>
        </w:tc>
        <w:tc>
          <w:tcPr>
            <w:tcW w:w="1575" w:type="dxa"/>
            <w:noWrap w:val="0"/>
            <w:vAlign w:val="center"/>
          </w:tcPr>
          <w:p w14:paraId="5271EF50">
            <w:pPr>
              <w:spacing w:line="360" w:lineRule="exact"/>
              <w:jc w:val="center"/>
              <w:rPr>
                <w:rFonts w:eastAsia="方正仿宋_GBK"/>
                <w:snapToGrid w:val="0"/>
                <w:kern w:val="0"/>
                <w:sz w:val="28"/>
                <w:szCs w:val="28"/>
              </w:rPr>
            </w:pPr>
            <w:r>
              <w:rPr>
                <w:rFonts w:eastAsia="方正仿宋_GBK"/>
                <w:snapToGrid w:val="0"/>
                <w:kern w:val="0"/>
                <w:sz w:val="28"/>
                <w:szCs w:val="28"/>
              </w:rPr>
              <w:t>95.1</w:t>
            </w:r>
          </w:p>
        </w:tc>
      </w:tr>
      <w:tr w14:paraId="2C07F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1429D3E8">
            <w:pPr>
              <w:snapToGrid w:val="0"/>
              <w:spacing w:line="360" w:lineRule="exact"/>
              <w:jc w:val="center"/>
              <w:rPr>
                <w:rFonts w:eastAsia="方正仿宋_GBK"/>
                <w:snapToGrid w:val="0"/>
                <w:kern w:val="0"/>
                <w:sz w:val="28"/>
                <w:szCs w:val="28"/>
              </w:rPr>
            </w:pPr>
          </w:p>
        </w:tc>
        <w:tc>
          <w:tcPr>
            <w:tcW w:w="4966" w:type="dxa"/>
            <w:noWrap w:val="0"/>
            <w:vAlign w:val="center"/>
          </w:tcPr>
          <w:p w14:paraId="0EA29F0C">
            <w:pPr>
              <w:spacing w:line="360" w:lineRule="exact"/>
              <w:rPr>
                <w:rFonts w:eastAsia="方正仿宋_GBK"/>
                <w:snapToGrid w:val="0"/>
                <w:kern w:val="0"/>
                <w:sz w:val="28"/>
                <w:szCs w:val="28"/>
              </w:rPr>
            </w:pPr>
            <w:r>
              <w:rPr>
                <w:rFonts w:eastAsia="方正仿宋_GBK"/>
                <w:snapToGrid w:val="0"/>
                <w:kern w:val="0"/>
                <w:sz w:val="28"/>
                <w:szCs w:val="28"/>
              </w:rPr>
              <w:t>常住人口城镇化率（%）</w:t>
            </w:r>
          </w:p>
        </w:tc>
        <w:tc>
          <w:tcPr>
            <w:tcW w:w="1954" w:type="dxa"/>
            <w:noWrap w:val="0"/>
            <w:vAlign w:val="center"/>
          </w:tcPr>
          <w:p w14:paraId="63C3BAF8">
            <w:pPr>
              <w:spacing w:line="360" w:lineRule="exact"/>
              <w:jc w:val="center"/>
              <w:rPr>
                <w:rFonts w:eastAsia="方正仿宋_GBK"/>
                <w:snapToGrid w:val="0"/>
                <w:kern w:val="0"/>
                <w:sz w:val="28"/>
                <w:szCs w:val="28"/>
              </w:rPr>
            </w:pPr>
            <w:r>
              <w:rPr>
                <w:rFonts w:eastAsia="方正仿宋_GBK"/>
                <w:snapToGrid w:val="0"/>
                <w:kern w:val="0"/>
                <w:sz w:val="28"/>
                <w:szCs w:val="28"/>
              </w:rPr>
              <w:t>80左右</w:t>
            </w:r>
          </w:p>
        </w:tc>
        <w:tc>
          <w:tcPr>
            <w:tcW w:w="1575" w:type="dxa"/>
            <w:noWrap w:val="0"/>
            <w:vAlign w:val="center"/>
          </w:tcPr>
          <w:p w14:paraId="3D169E95">
            <w:pPr>
              <w:spacing w:line="360" w:lineRule="exact"/>
              <w:jc w:val="center"/>
              <w:rPr>
                <w:rFonts w:eastAsia="方正仿宋_GBK"/>
                <w:snapToGrid w:val="0"/>
                <w:kern w:val="0"/>
                <w:sz w:val="28"/>
                <w:szCs w:val="28"/>
              </w:rPr>
            </w:pPr>
            <w:r>
              <w:rPr>
                <w:rFonts w:eastAsia="方正仿宋_GBK"/>
                <w:snapToGrid w:val="0"/>
                <w:kern w:val="0"/>
                <w:sz w:val="28"/>
                <w:szCs w:val="28"/>
              </w:rPr>
              <w:t>80左右</w:t>
            </w:r>
          </w:p>
        </w:tc>
      </w:tr>
      <w:tr w14:paraId="6A440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restart"/>
            <w:noWrap w:val="0"/>
            <w:vAlign w:val="center"/>
          </w:tcPr>
          <w:p w14:paraId="74820FED">
            <w:pPr>
              <w:snapToGrid w:val="0"/>
              <w:spacing w:line="360" w:lineRule="exact"/>
              <w:jc w:val="center"/>
              <w:rPr>
                <w:rFonts w:eastAsia="方正楷体_GBK"/>
                <w:snapToGrid w:val="0"/>
                <w:kern w:val="0"/>
                <w:sz w:val="28"/>
                <w:szCs w:val="28"/>
              </w:rPr>
            </w:pPr>
            <w:r>
              <w:rPr>
                <w:rFonts w:eastAsia="方正楷体_GBK"/>
                <w:snapToGrid w:val="0"/>
                <w:kern w:val="0"/>
                <w:sz w:val="28"/>
                <w:szCs w:val="28"/>
              </w:rPr>
              <w:t>百</w:t>
            </w:r>
          </w:p>
          <w:p w14:paraId="4D28C718">
            <w:pPr>
              <w:snapToGrid w:val="0"/>
              <w:spacing w:line="360" w:lineRule="exact"/>
              <w:jc w:val="center"/>
              <w:rPr>
                <w:rFonts w:eastAsia="方正仿宋_GBK"/>
                <w:snapToGrid w:val="0"/>
                <w:kern w:val="0"/>
                <w:sz w:val="28"/>
                <w:szCs w:val="28"/>
              </w:rPr>
            </w:pPr>
            <w:r>
              <w:rPr>
                <w:rFonts w:eastAsia="方正楷体_GBK"/>
                <w:snapToGrid w:val="0"/>
                <w:kern w:val="0"/>
                <w:sz w:val="28"/>
                <w:szCs w:val="28"/>
              </w:rPr>
              <w:t>姓</w:t>
            </w:r>
          </w:p>
          <w:p w14:paraId="6F83136C">
            <w:pPr>
              <w:snapToGrid w:val="0"/>
              <w:spacing w:line="360" w:lineRule="exact"/>
              <w:jc w:val="center"/>
              <w:rPr>
                <w:rFonts w:eastAsia="方正仿宋_GBK"/>
                <w:snapToGrid w:val="0"/>
                <w:kern w:val="0"/>
                <w:sz w:val="28"/>
                <w:szCs w:val="28"/>
              </w:rPr>
            </w:pPr>
            <w:r>
              <w:rPr>
                <w:rFonts w:eastAsia="方正楷体_GBK"/>
                <w:snapToGrid w:val="0"/>
                <w:kern w:val="0"/>
                <w:sz w:val="28"/>
                <w:szCs w:val="28"/>
              </w:rPr>
              <w:t>富</w:t>
            </w:r>
          </w:p>
        </w:tc>
        <w:tc>
          <w:tcPr>
            <w:tcW w:w="4966" w:type="dxa"/>
            <w:noWrap w:val="0"/>
            <w:vAlign w:val="center"/>
          </w:tcPr>
          <w:p w14:paraId="07CC50E7">
            <w:pPr>
              <w:spacing w:line="360" w:lineRule="exact"/>
              <w:rPr>
                <w:rFonts w:eastAsia="方正仿宋_GBK"/>
                <w:snapToGrid w:val="0"/>
                <w:kern w:val="0"/>
                <w:sz w:val="28"/>
                <w:szCs w:val="28"/>
              </w:rPr>
            </w:pPr>
            <w:r>
              <w:rPr>
                <w:rFonts w:eastAsia="方正仿宋_GBK"/>
                <w:snapToGrid w:val="0"/>
                <w:kern w:val="0"/>
                <w:sz w:val="28"/>
                <w:szCs w:val="28"/>
              </w:rPr>
              <w:t>居民人均可支配收入增长率（%）</w:t>
            </w:r>
          </w:p>
        </w:tc>
        <w:tc>
          <w:tcPr>
            <w:tcW w:w="1954" w:type="dxa"/>
            <w:noWrap w:val="0"/>
            <w:vAlign w:val="center"/>
          </w:tcPr>
          <w:p w14:paraId="08977D0A">
            <w:pPr>
              <w:spacing w:line="360" w:lineRule="exact"/>
              <w:jc w:val="center"/>
              <w:rPr>
                <w:rFonts w:eastAsia="方正仿宋_GBK"/>
                <w:snapToGrid w:val="0"/>
                <w:kern w:val="0"/>
                <w:sz w:val="28"/>
                <w:szCs w:val="28"/>
              </w:rPr>
            </w:pPr>
            <w:r>
              <w:rPr>
                <w:rFonts w:eastAsia="方正仿宋_GBK"/>
                <w:snapToGrid w:val="0"/>
                <w:kern w:val="0"/>
                <w:sz w:val="28"/>
                <w:szCs w:val="28"/>
              </w:rPr>
              <w:t>高于经济增速</w:t>
            </w:r>
          </w:p>
        </w:tc>
        <w:tc>
          <w:tcPr>
            <w:tcW w:w="1575" w:type="dxa"/>
            <w:noWrap w:val="0"/>
            <w:vAlign w:val="center"/>
          </w:tcPr>
          <w:p w14:paraId="0161DACE">
            <w:pPr>
              <w:spacing w:line="360" w:lineRule="exact"/>
              <w:jc w:val="center"/>
              <w:rPr>
                <w:rFonts w:hint="eastAsia" w:eastAsia="方正仿宋_GBK"/>
                <w:snapToGrid w:val="0"/>
                <w:kern w:val="0"/>
                <w:sz w:val="28"/>
                <w:szCs w:val="28"/>
              </w:rPr>
            </w:pPr>
            <w:r>
              <w:rPr>
                <w:rFonts w:eastAsia="方正仿宋_GBK"/>
                <w:snapToGrid w:val="0"/>
                <w:kern w:val="0"/>
                <w:sz w:val="28"/>
                <w:szCs w:val="28"/>
              </w:rPr>
              <w:t>基本同步</w:t>
            </w:r>
          </w:p>
          <w:p w14:paraId="79FE84CE">
            <w:pPr>
              <w:spacing w:line="360" w:lineRule="exact"/>
              <w:jc w:val="center"/>
              <w:rPr>
                <w:rFonts w:eastAsia="方正仿宋_GBK"/>
                <w:snapToGrid w:val="0"/>
                <w:kern w:val="0"/>
                <w:sz w:val="28"/>
                <w:szCs w:val="28"/>
              </w:rPr>
            </w:pPr>
            <w:r>
              <w:rPr>
                <w:rFonts w:eastAsia="方正仿宋_GBK"/>
                <w:snapToGrid w:val="0"/>
                <w:kern w:val="0"/>
                <w:sz w:val="28"/>
                <w:szCs w:val="28"/>
              </w:rPr>
              <w:t>经济增长</w:t>
            </w:r>
          </w:p>
        </w:tc>
      </w:tr>
      <w:tr w14:paraId="00927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37E96114">
            <w:pPr>
              <w:snapToGrid w:val="0"/>
              <w:spacing w:line="360" w:lineRule="exact"/>
              <w:jc w:val="center"/>
              <w:rPr>
                <w:rFonts w:eastAsia="方正仿宋_GBK"/>
                <w:snapToGrid w:val="0"/>
                <w:kern w:val="0"/>
                <w:sz w:val="28"/>
                <w:szCs w:val="28"/>
              </w:rPr>
            </w:pPr>
          </w:p>
        </w:tc>
        <w:tc>
          <w:tcPr>
            <w:tcW w:w="4966" w:type="dxa"/>
            <w:noWrap w:val="0"/>
            <w:vAlign w:val="center"/>
          </w:tcPr>
          <w:p w14:paraId="0AC33CD6">
            <w:pPr>
              <w:spacing w:line="360" w:lineRule="exact"/>
              <w:rPr>
                <w:rFonts w:eastAsia="方正仿宋_GBK"/>
                <w:snapToGrid w:val="0"/>
                <w:kern w:val="0"/>
                <w:sz w:val="28"/>
                <w:szCs w:val="28"/>
              </w:rPr>
            </w:pPr>
            <w:r>
              <w:rPr>
                <w:rFonts w:eastAsia="方正仿宋_GBK"/>
                <w:snapToGrid w:val="0"/>
                <w:kern w:val="0"/>
                <w:sz w:val="28"/>
                <w:szCs w:val="28"/>
              </w:rPr>
              <w:t>城镇新增就业人数（万人）</w:t>
            </w:r>
          </w:p>
        </w:tc>
        <w:tc>
          <w:tcPr>
            <w:tcW w:w="1954" w:type="dxa"/>
            <w:noWrap w:val="0"/>
            <w:vAlign w:val="center"/>
          </w:tcPr>
          <w:p w14:paraId="6D71A577">
            <w:pPr>
              <w:spacing w:line="360" w:lineRule="exact"/>
              <w:jc w:val="center"/>
              <w:rPr>
                <w:rFonts w:eastAsia="方正仿宋_GBK"/>
                <w:snapToGrid w:val="0"/>
                <w:kern w:val="0"/>
                <w:sz w:val="28"/>
                <w:szCs w:val="28"/>
              </w:rPr>
            </w:pPr>
            <w:r>
              <w:rPr>
                <w:rFonts w:eastAsia="方正仿宋_GBK"/>
                <w:snapToGrid w:val="0"/>
                <w:kern w:val="0"/>
                <w:sz w:val="28"/>
                <w:szCs w:val="28"/>
              </w:rPr>
              <w:t>50以上</w:t>
            </w:r>
          </w:p>
        </w:tc>
        <w:tc>
          <w:tcPr>
            <w:tcW w:w="1575" w:type="dxa"/>
            <w:noWrap w:val="0"/>
            <w:vAlign w:val="center"/>
          </w:tcPr>
          <w:p w14:paraId="67FA8790">
            <w:pPr>
              <w:spacing w:line="360" w:lineRule="exact"/>
              <w:jc w:val="center"/>
              <w:rPr>
                <w:rFonts w:eastAsia="方正仿宋_GBK"/>
                <w:snapToGrid w:val="0"/>
                <w:kern w:val="0"/>
                <w:sz w:val="28"/>
                <w:szCs w:val="28"/>
              </w:rPr>
            </w:pPr>
            <w:r>
              <w:rPr>
                <w:rFonts w:eastAsia="方正仿宋_GBK"/>
                <w:snapToGrid w:val="0"/>
                <w:kern w:val="0"/>
                <w:sz w:val="28"/>
                <w:szCs w:val="28"/>
              </w:rPr>
              <w:t>50以上</w:t>
            </w:r>
          </w:p>
        </w:tc>
      </w:tr>
      <w:tr w14:paraId="40296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013E60B3">
            <w:pPr>
              <w:snapToGrid w:val="0"/>
              <w:spacing w:line="360" w:lineRule="exact"/>
              <w:jc w:val="center"/>
              <w:rPr>
                <w:rFonts w:eastAsia="方正仿宋_GBK"/>
                <w:snapToGrid w:val="0"/>
                <w:kern w:val="0"/>
                <w:sz w:val="28"/>
                <w:szCs w:val="28"/>
              </w:rPr>
            </w:pPr>
          </w:p>
        </w:tc>
        <w:tc>
          <w:tcPr>
            <w:tcW w:w="4966" w:type="dxa"/>
            <w:noWrap w:val="0"/>
            <w:vAlign w:val="center"/>
          </w:tcPr>
          <w:p w14:paraId="6589B8E9">
            <w:pPr>
              <w:spacing w:line="360" w:lineRule="exact"/>
              <w:rPr>
                <w:rFonts w:eastAsia="方正仿宋_GBK"/>
                <w:snapToGrid w:val="0"/>
                <w:kern w:val="0"/>
                <w:sz w:val="28"/>
                <w:szCs w:val="28"/>
              </w:rPr>
            </w:pPr>
            <w:r>
              <w:rPr>
                <w:rFonts w:eastAsia="方正仿宋_GBK"/>
                <w:snapToGrid w:val="0"/>
                <w:kern w:val="0"/>
                <w:sz w:val="28"/>
                <w:szCs w:val="28"/>
              </w:rPr>
              <w:t>城镇调查失业率（%）</w:t>
            </w:r>
          </w:p>
        </w:tc>
        <w:tc>
          <w:tcPr>
            <w:tcW w:w="1954" w:type="dxa"/>
            <w:noWrap w:val="0"/>
            <w:vAlign w:val="center"/>
          </w:tcPr>
          <w:p w14:paraId="323B920A">
            <w:pPr>
              <w:spacing w:line="360" w:lineRule="exact"/>
              <w:jc w:val="center"/>
              <w:rPr>
                <w:rFonts w:eastAsia="方正仿宋_GBK"/>
                <w:snapToGrid w:val="0"/>
                <w:kern w:val="0"/>
                <w:sz w:val="28"/>
                <w:szCs w:val="28"/>
              </w:rPr>
            </w:pPr>
            <w:r>
              <w:rPr>
                <w:rFonts w:eastAsia="方正仿宋_GBK"/>
                <w:snapToGrid w:val="0"/>
                <w:kern w:val="0"/>
                <w:sz w:val="28"/>
                <w:szCs w:val="28"/>
              </w:rPr>
              <w:t>5以下</w:t>
            </w:r>
          </w:p>
        </w:tc>
        <w:tc>
          <w:tcPr>
            <w:tcW w:w="1575" w:type="dxa"/>
            <w:noWrap w:val="0"/>
            <w:vAlign w:val="center"/>
          </w:tcPr>
          <w:p w14:paraId="20156CA9">
            <w:pPr>
              <w:spacing w:line="360" w:lineRule="exact"/>
              <w:jc w:val="center"/>
              <w:rPr>
                <w:rFonts w:eastAsia="方正仿宋_GBK"/>
                <w:snapToGrid w:val="0"/>
                <w:kern w:val="0"/>
                <w:sz w:val="28"/>
                <w:szCs w:val="28"/>
              </w:rPr>
            </w:pPr>
            <w:r>
              <w:rPr>
                <w:rFonts w:eastAsia="方正仿宋_GBK"/>
                <w:snapToGrid w:val="0"/>
                <w:kern w:val="0"/>
                <w:sz w:val="28"/>
                <w:szCs w:val="28"/>
              </w:rPr>
              <w:t>——</w:t>
            </w:r>
          </w:p>
        </w:tc>
      </w:tr>
      <w:tr w14:paraId="26EA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12990F8A">
            <w:pPr>
              <w:snapToGrid w:val="0"/>
              <w:spacing w:line="360" w:lineRule="exact"/>
              <w:jc w:val="center"/>
              <w:rPr>
                <w:rFonts w:eastAsia="方正仿宋_GBK"/>
                <w:snapToGrid w:val="0"/>
                <w:kern w:val="0"/>
                <w:sz w:val="28"/>
                <w:szCs w:val="28"/>
              </w:rPr>
            </w:pPr>
          </w:p>
        </w:tc>
        <w:tc>
          <w:tcPr>
            <w:tcW w:w="4966" w:type="dxa"/>
            <w:noWrap w:val="0"/>
            <w:vAlign w:val="center"/>
          </w:tcPr>
          <w:p w14:paraId="727149BE">
            <w:pPr>
              <w:spacing w:line="360" w:lineRule="exact"/>
              <w:rPr>
                <w:rFonts w:eastAsia="方正仿宋_GBK"/>
                <w:snapToGrid w:val="0"/>
                <w:kern w:val="0"/>
                <w:sz w:val="28"/>
                <w:szCs w:val="28"/>
              </w:rPr>
            </w:pPr>
            <w:r>
              <w:rPr>
                <w:rFonts w:eastAsia="方正仿宋_GBK"/>
                <w:snapToGrid w:val="0"/>
                <w:kern w:val="0"/>
                <w:sz w:val="28"/>
                <w:szCs w:val="28"/>
              </w:rPr>
              <w:t>劳动年龄人口平均受教育年限（年）</w:t>
            </w:r>
          </w:p>
        </w:tc>
        <w:tc>
          <w:tcPr>
            <w:tcW w:w="1954" w:type="dxa"/>
            <w:noWrap w:val="0"/>
            <w:vAlign w:val="center"/>
          </w:tcPr>
          <w:p w14:paraId="05126918">
            <w:pPr>
              <w:spacing w:line="360" w:lineRule="exact"/>
              <w:jc w:val="center"/>
              <w:rPr>
                <w:rFonts w:eastAsia="方正仿宋_GBK"/>
                <w:snapToGrid w:val="0"/>
                <w:kern w:val="0"/>
                <w:sz w:val="28"/>
                <w:szCs w:val="28"/>
              </w:rPr>
            </w:pPr>
            <w:r>
              <w:rPr>
                <w:rFonts w:eastAsia="方正仿宋_GBK"/>
                <w:snapToGrid w:val="0"/>
                <w:kern w:val="0"/>
                <w:sz w:val="28"/>
                <w:szCs w:val="28"/>
              </w:rPr>
              <w:t>完成省定目标（12.3）</w:t>
            </w:r>
          </w:p>
        </w:tc>
        <w:tc>
          <w:tcPr>
            <w:tcW w:w="1575" w:type="dxa"/>
            <w:noWrap w:val="0"/>
            <w:vAlign w:val="center"/>
          </w:tcPr>
          <w:p w14:paraId="6789D096">
            <w:pPr>
              <w:spacing w:line="360" w:lineRule="exact"/>
              <w:jc w:val="center"/>
              <w:rPr>
                <w:rFonts w:eastAsia="方正仿宋_GBK"/>
                <w:snapToGrid w:val="0"/>
                <w:kern w:val="0"/>
                <w:sz w:val="28"/>
                <w:szCs w:val="28"/>
              </w:rPr>
            </w:pPr>
            <w:r>
              <w:rPr>
                <w:rFonts w:eastAsia="方正仿宋_GBK"/>
                <w:snapToGrid w:val="0"/>
                <w:kern w:val="0"/>
                <w:sz w:val="28"/>
                <w:szCs w:val="28"/>
              </w:rPr>
              <w:t>11.94</w:t>
            </w:r>
          </w:p>
        </w:tc>
      </w:tr>
      <w:tr w14:paraId="0DE52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285C0C23">
            <w:pPr>
              <w:snapToGrid w:val="0"/>
              <w:spacing w:line="360" w:lineRule="exact"/>
              <w:jc w:val="center"/>
              <w:rPr>
                <w:rFonts w:eastAsia="方正仿宋_GBK"/>
                <w:snapToGrid w:val="0"/>
                <w:kern w:val="0"/>
                <w:sz w:val="28"/>
                <w:szCs w:val="28"/>
              </w:rPr>
            </w:pPr>
          </w:p>
        </w:tc>
        <w:tc>
          <w:tcPr>
            <w:tcW w:w="4966" w:type="dxa"/>
            <w:noWrap w:val="0"/>
            <w:vAlign w:val="center"/>
          </w:tcPr>
          <w:p w14:paraId="01E352D7">
            <w:pPr>
              <w:spacing w:line="360" w:lineRule="exact"/>
              <w:rPr>
                <w:rFonts w:eastAsia="方正仿宋_GBK"/>
                <w:snapToGrid w:val="0"/>
                <w:kern w:val="0"/>
                <w:sz w:val="28"/>
                <w:szCs w:val="28"/>
              </w:rPr>
            </w:pPr>
            <w:r>
              <w:rPr>
                <w:rFonts w:eastAsia="方正仿宋_GBK"/>
                <w:snapToGrid w:val="0"/>
                <w:kern w:val="0"/>
                <w:sz w:val="28"/>
                <w:szCs w:val="28"/>
              </w:rPr>
              <w:t>学前教育资源配置率（个/万人）</w:t>
            </w:r>
          </w:p>
        </w:tc>
        <w:tc>
          <w:tcPr>
            <w:tcW w:w="1954" w:type="dxa"/>
            <w:noWrap w:val="0"/>
            <w:vAlign w:val="center"/>
          </w:tcPr>
          <w:p w14:paraId="103ADD15">
            <w:pPr>
              <w:spacing w:line="360" w:lineRule="exact"/>
              <w:jc w:val="center"/>
              <w:rPr>
                <w:rFonts w:eastAsia="方正仿宋_GBK"/>
                <w:snapToGrid w:val="0"/>
                <w:kern w:val="0"/>
                <w:sz w:val="28"/>
                <w:szCs w:val="28"/>
              </w:rPr>
            </w:pPr>
            <w:r>
              <w:rPr>
                <w:rFonts w:eastAsia="方正仿宋_GBK"/>
                <w:snapToGrid w:val="0"/>
                <w:kern w:val="0"/>
                <w:sz w:val="28"/>
                <w:szCs w:val="28"/>
              </w:rPr>
              <w:t>0.82</w:t>
            </w:r>
          </w:p>
        </w:tc>
        <w:tc>
          <w:tcPr>
            <w:tcW w:w="1575" w:type="dxa"/>
            <w:noWrap w:val="0"/>
            <w:vAlign w:val="center"/>
          </w:tcPr>
          <w:p w14:paraId="3CAD99EB">
            <w:pPr>
              <w:spacing w:line="360" w:lineRule="exact"/>
              <w:jc w:val="center"/>
              <w:rPr>
                <w:rFonts w:eastAsia="仿宋_GB2312"/>
                <w:snapToGrid w:val="0"/>
                <w:kern w:val="0"/>
                <w:sz w:val="28"/>
                <w:szCs w:val="28"/>
              </w:rPr>
            </w:pPr>
            <w:r>
              <w:rPr>
                <w:rFonts w:eastAsia="仿宋_GB2312"/>
                <w:snapToGrid w:val="0"/>
                <w:kern w:val="0"/>
                <w:sz w:val="28"/>
                <w:szCs w:val="28"/>
              </w:rPr>
              <w:t>0.81</w:t>
            </w:r>
          </w:p>
        </w:tc>
      </w:tr>
      <w:tr w14:paraId="6A1DD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2DF5CA20">
            <w:pPr>
              <w:snapToGrid w:val="0"/>
              <w:spacing w:line="360" w:lineRule="exact"/>
              <w:jc w:val="center"/>
              <w:rPr>
                <w:rFonts w:eastAsia="方正仿宋_GBK"/>
                <w:snapToGrid w:val="0"/>
                <w:kern w:val="0"/>
                <w:sz w:val="28"/>
                <w:szCs w:val="28"/>
              </w:rPr>
            </w:pPr>
          </w:p>
        </w:tc>
        <w:tc>
          <w:tcPr>
            <w:tcW w:w="4966" w:type="dxa"/>
            <w:noWrap w:val="0"/>
            <w:vAlign w:val="center"/>
          </w:tcPr>
          <w:p w14:paraId="154CDAD3">
            <w:pPr>
              <w:spacing w:line="360" w:lineRule="exact"/>
              <w:rPr>
                <w:rFonts w:eastAsia="方正仿宋_GBK"/>
                <w:snapToGrid w:val="0"/>
                <w:kern w:val="0"/>
                <w:sz w:val="28"/>
                <w:szCs w:val="28"/>
              </w:rPr>
            </w:pPr>
            <w:r>
              <w:rPr>
                <w:rFonts w:eastAsia="方正仿宋_GBK"/>
                <w:snapToGrid w:val="0"/>
                <w:kern w:val="0"/>
                <w:sz w:val="28"/>
                <w:szCs w:val="28"/>
              </w:rPr>
              <w:t>义务教育优质均衡比例（%）</w:t>
            </w:r>
          </w:p>
        </w:tc>
        <w:tc>
          <w:tcPr>
            <w:tcW w:w="1954" w:type="dxa"/>
            <w:noWrap w:val="0"/>
            <w:vAlign w:val="center"/>
          </w:tcPr>
          <w:p w14:paraId="41093B2F">
            <w:pPr>
              <w:spacing w:line="360" w:lineRule="exact"/>
              <w:jc w:val="center"/>
              <w:rPr>
                <w:rFonts w:eastAsia="方正仿宋_GBK"/>
                <w:snapToGrid w:val="0"/>
                <w:kern w:val="0"/>
                <w:sz w:val="28"/>
                <w:szCs w:val="28"/>
              </w:rPr>
            </w:pPr>
            <w:r>
              <w:rPr>
                <w:rFonts w:eastAsia="方正仿宋_GBK"/>
                <w:snapToGrid w:val="0"/>
                <w:kern w:val="0"/>
                <w:sz w:val="28"/>
                <w:szCs w:val="28"/>
              </w:rPr>
              <w:t>85以上</w:t>
            </w:r>
          </w:p>
        </w:tc>
        <w:tc>
          <w:tcPr>
            <w:tcW w:w="1575" w:type="dxa"/>
            <w:noWrap w:val="0"/>
            <w:vAlign w:val="center"/>
          </w:tcPr>
          <w:p w14:paraId="78C00634">
            <w:pPr>
              <w:spacing w:line="360" w:lineRule="exact"/>
              <w:jc w:val="center"/>
              <w:rPr>
                <w:rFonts w:eastAsia="仿宋_GB2312"/>
                <w:snapToGrid w:val="0"/>
                <w:kern w:val="0"/>
                <w:sz w:val="28"/>
                <w:szCs w:val="28"/>
              </w:rPr>
            </w:pPr>
            <w:r>
              <w:rPr>
                <w:rFonts w:eastAsia="仿宋_GB2312"/>
                <w:snapToGrid w:val="0"/>
                <w:kern w:val="0"/>
                <w:sz w:val="28"/>
                <w:szCs w:val="28"/>
              </w:rPr>
              <w:t>100</w:t>
            </w:r>
          </w:p>
        </w:tc>
      </w:tr>
      <w:tr w14:paraId="0CE81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141F1968">
            <w:pPr>
              <w:snapToGrid w:val="0"/>
              <w:spacing w:line="360" w:lineRule="exact"/>
              <w:jc w:val="center"/>
              <w:rPr>
                <w:rFonts w:eastAsia="方正仿宋_GBK"/>
                <w:snapToGrid w:val="0"/>
                <w:kern w:val="0"/>
                <w:sz w:val="28"/>
                <w:szCs w:val="28"/>
              </w:rPr>
            </w:pPr>
          </w:p>
        </w:tc>
        <w:tc>
          <w:tcPr>
            <w:tcW w:w="4966" w:type="dxa"/>
            <w:noWrap w:val="0"/>
            <w:vAlign w:val="center"/>
          </w:tcPr>
          <w:p w14:paraId="61B94AF4">
            <w:pPr>
              <w:spacing w:line="360" w:lineRule="exact"/>
              <w:rPr>
                <w:rFonts w:eastAsia="方正仿宋_GBK"/>
                <w:snapToGrid w:val="0"/>
                <w:kern w:val="0"/>
                <w:sz w:val="28"/>
                <w:szCs w:val="28"/>
              </w:rPr>
            </w:pPr>
            <w:r>
              <w:rPr>
                <w:rFonts w:eastAsia="方正仿宋_GBK"/>
                <w:snapToGrid w:val="0"/>
                <w:kern w:val="0"/>
                <w:sz w:val="28"/>
                <w:szCs w:val="28"/>
              </w:rPr>
              <w:t>人均预期寿命（岁）</w:t>
            </w:r>
          </w:p>
        </w:tc>
        <w:tc>
          <w:tcPr>
            <w:tcW w:w="1954" w:type="dxa"/>
            <w:noWrap w:val="0"/>
            <w:vAlign w:val="center"/>
          </w:tcPr>
          <w:p w14:paraId="51800E0D">
            <w:pPr>
              <w:spacing w:line="360" w:lineRule="exact"/>
              <w:jc w:val="center"/>
              <w:rPr>
                <w:rFonts w:eastAsia="方正仿宋_GBK"/>
                <w:snapToGrid w:val="0"/>
                <w:kern w:val="0"/>
                <w:sz w:val="28"/>
                <w:szCs w:val="28"/>
              </w:rPr>
            </w:pPr>
            <w:r>
              <w:rPr>
                <w:rFonts w:eastAsia="方正仿宋_GBK"/>
                <w:snapToGrid w:val="0"/>
                <w:kern w:val="0"/>
                <w:sz w:val="28"/>
                <w:szCs w:val="28"/>
              </w:rPr>
              <w:t>82以上</w:t>
            </w:r>
          </w:p>
        </w:tc>
        <w:tc>
          <w:tcPr>
            <w:tcW w:w="1575" w:type="dxa"/>
            <w:noWrap w:val="0"/>
            <w:vAlign w:val="center"/>
          </w:tcPr>
          <w:p w14:paraId="0DA768A9">
            <w:pPr>
              <w:spacing w:line="360" w:lineRule="exact"/>
              <w:jc w:val="center"/>
              <w:rPr>
                <w:rFonts w:eastAsia="仿宋_GB2312"/>
                <w:snapToGrid w:val="0"/>
                <w:kern w:val="0"/>
                <w:sz w:val="28"/>
                <w:szCs w:val="28"/>
              </w:rPr>
            </w:pPr>
            <w:r>
              <w:rPr>
                <w:rFonts w:eastAsia="仿宋_GB2312"/>
                <w:snapToGrid w:val="0"/>
                <w:kern w:val="0"/>
                <w:sz w:val="28"/>
                <w:szCs w:val="28"/>
              </w:rPr>
              <w:t>84.26</w:t>
            </w:r>
          </w:p>
        </w:tc>
      </w:tr>
      <w:tr w14:paraId="5BFA5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330A09B4">
            <w:pPr>
              <w:snapToGrid w:val="0"/>
              <w:spacing w:line="360" w:lineRule="exact"/>
              <w:jc w:val="center"/>
              <w:rPr>
                <w:rFonts w:eastAsia="方正仿宋_GBK"/>
                <w:snapToGrid w:val="0"/>
                <w:kern w:val="0"/>
                <w:sz w:val="28"/>
                <w:szCs w:val="28"/>
              </w:rPr>
            </w:pPr>
          </w:p>
        </w:tc>
        <w:tc>
          <w:tcPr>
            <w:tcW w:w="4966" w:type="dxa"/>
            <w:noWrap w:val="0"/>
            <w:vAlign w:val="center"/>
          </w:tcPr>
          <w:p w14:paraId="2144DB00">
            <w:pPr>
              <w:spacing w:line="360" w:lineRule="exact"/>
              <w:rPr>
                <w:rFonts w:eastAsia="方正仿宋_GBK"/>
                <w:snapToGrid w:val="0"/>
                <w:kern w:val="0"/>
                <w:sz w:val="28"/>
                <w:szCs w:val="28"/>
              </w:rPr>
            </w:pPr>
            <w:r>
              <w:rPr>
                <w:rFonts w:eastAsia="方正仿宋_GBK"/>
                <w:snapToGrid w:val="0"/>
                <w:kern w:val="0"/>
                <w:sz w:val="28"/>
                <w:szCs w:val="28"/>
              </w:rPr>
              <w:t>每千人口拥有执业（助理）医师数（人）</w:t>
            </w:r>
          </w:p>
        </w:tc>
        <w:tc>
          <w:tcPr>
            <w:tcW w:w="1954" w:type="dxa"/>
            <w:noWrap w:val="0"/>
            <w:vAlign w:val="center"/>
          </w:tcPr>
          <w:p w14:paraId="0593A872">
            <w:pPr>
              <w:spacing w:line="360" w:lineRule="exact"/>
              <w:jc w:val="center"/>
              <w:rPr>
                <w:rFonts w:eastAsia="方正仿宋_GBK"/>
                <w:snapToGrid w:val="0"/>
                <w:kern w:val="0"/>
                <w:sz w:val="28"/>
                <w:szCs w:val="28"/>
              </w:rPr>
            </w:pPr>
            <w:r>
              <w:rPr>
                <w:rFonts w:eastAsia="方正仿宋_GBK"/>
                <w:snapToGrid w:val="0"/>
                <w:kern w:val="0"/>
                <w:sz w:val="28"/>
                <w:szCs w:val="28"/>
              </w:rPr>
              <w:t>3.6以上</w:t>
            </w:r>
          </w:p>
        </w:tc>
        <w:tc>
          <w:tcPr>
            <w:tcW w:w="1575" w:type="dxa"/>
            <w:noWrap w:val="0"/>
            <w:vAlign w:val="center"/>
          </w:tcPr>
          <w:p w14:paraId="44D8B792">
            <w:pPr>
              <w:spacing w:line="360" w:lineRule="exact"/>
              <w:jc w:val="center"/>
              <w:rPr>
                <w:rFonts w:eastAsia="方正仿宋_GBK"/>
                <w:snapToGrid w:val="0"/>
                <w:kern w:val="0"/>
                <w:sz w:val="28"/>
                <w:szCs w:val="28"/>
              </w:rPr>
            </w:pPr>
            <w:r>
              <w:rPr>
                <w:rFonts w:eastAsia="方正仿宋_GBK"/>
                <w:snapToGrid w:val="0"/>
                <w:kern w:val="0"/>
                <w:sz w:val="28"/>
                <w:szCs w:val="28"/>
              </w:rPr>
              <w:t>3.6</w:t>
            </w:r>
          </w:p>
        </w:tc>
      </w:tr>
      <w:tr w14:paraId="22C0A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4A847414">
            <w:pPr>
              <w:snapToGrid w:val="0"/>
              <w:spacing w:line="360" w:lineRule="exact"/>
              <w:jc w:val="center"/>
              <w:rPr>
                <w:rFonts w:eastAsia="方正仿宋_GBK"/>
                <w:snapToGrid w:val="0"/>
                <w:kern w:val="0"/>
                <w:sz w:val="28"/>
                <w:szCs w:val="28"/>
              </w:rPr>
            </w:pPr>
          </w:p>
        </w:tc>
        <w:tc>
          <w:tcPr>
            <w:tcW w:w="4966" w:type="dxa"/>
            <w:noWrap w:val="0"/>
            <w:vAlign w:val="center"/>
          </w:tcPr>
          <w:p w14:paraId="07E2B96F">
            <w:pPr>
              <w:spacing w:line="360" w:lineRule="exact"/>
              <w:rPr>
                <w:rFonts w:eastAsia="方正仿宋_GBK"/>
                <w:snapToGrid w:val="0"/>
                <w:kern w:val="0"/>
                <w:sz w:val="28"/>
                <w:szCs w:val="28"/>
              </w:rPr>
            </w:pPr>
            <w:r>
              <w:rPr>
                <w:rFonts w:eastAsia="方正仿宋_GBK"/>
                <w:snapToGrid w:val="0"/>
                <w:kern w:val="0"/>
                <w:sz w:val="28"/>
                <w:szCs w:val="28"/>
              </w:rPr>
              <w:t>每千人拥有0</w:t>
            </w:r>
            <w:r>
              <w:rPr>
                <w:rFonts w:hint="eastAsia" w:eastAsia="方正仿宋_GBK"/>
                <w:snapToGrid w:val="0"/>
                <w:kern w:val="0"/>
                <w:sz w:val="28"/>
                <w:szCs w:val="28"/>
              </w:rPr>
              <w:t>—</w:t>
            </w:r>
            <w:r>
              <w:rPr>
                <w:rFonts w:eastAsia="方正仿宋_GBK"/>
                <w:snapToGrid w:val="0"/>
                <w:kern w:val="0"/>
                <w:sz w:val="28"/>
                <w:szCs w:val="28"/>
              </w:rPr>
              <w:t>3岁婴幼儿托位数（个）</w:t>
            </w:r>
          </w:p>
        </w:tc>
        <w:tc>
          <w:tcPr>
            <w:tcW w:w="1954" w:type="dxa"/>
            <w:noWrap w:val="0"/>
            <w:vAlign w:val="center"/>
          </w:tcPr>
          <w:p w14:paraId="2046C687">
            <w:pPr>
              <w:spacing w:line="360" w:lineRule="exact"/>
              <w:jc w:val="center"/>
              <w:rPr>
                <w:rFonts w:eastAsia="方正仿宋_GBK"/>
                <w:snapToGrid w:val="0"/>
                <w:kern w:val="0"/>
                <w:sz w:val="28"/>
                <w:szCs w:val="28"/>
              </w:rPr>
            </w:pPr>
            <w:r>
              <w:rPr>
                <w:rFonts w:eastAsia="方正仿宋_GBK"/>
                <w:snapToGrid w:val="0"/>
                <w:kern w:val="0"/>
                <w:sz w:val="28"/>
                <w:szCs w:val="28"/>
              </w:rPr>
              <w:t>4.5</w:t>
            </w:r>
          </w:p>
        </w:tc>
        <w:tc>
          <w:tcPr>
            <w:tcW w:w="1575" w:type="dxa"/>
            <w:noWrap w:val="0"/>
            <w:vAlign w:val="center"/>
          </w:tcPr>
          <w:p w14:paraId="3306D5FA">
            <w:pPr>
              <w:spacing w:line="360" w:lineRule="exact"/>
              <w:jc w:val="center"/>
              <w:rPr>
                <w:rFonts w:eastAsia="方正仿宋_GBK"/>
                <w:snapToGrid w:val="0"/>
                <w:kern w:val="0"/>
                <w:sz w:val="28"/>
                <w:szCs w:val="28"/>
              </w:rPr>
            </w:pPr>
            <w:r>
              <w:rPr>
                <w:rFonts w:eastAsia="方正仿宋_GBK"/>
                <w:snapToGrid w:val="0"/>
                <w:kern w:val="0"/>
                <w:sz w:val="28"/>
                <w:szCs w:val="28"/>
              </w:rPr>
              <w:t>4.8</w:t>
            </w:r>
          </w:p>
        </w:tc>
      </w:tr>
      <w:tr w14:paraId="404A6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45AF72B0">
            <w:pPr>
              <w:snapToGrid w:val="0"/>
              <w:spacing w:line="360" w:lineRule="exact"/>
              <w:jc w:val="center"/>
              <w:rPr>
                <w:rFonts w:eastAsia="方正仿宋_GBK"/>
                <w:snapToGrid w:val="0"/>
                <w:kern w:val="0"/>
                <w:sz w:val="28"/>
                <w:szCs w:val="28"/>
              </w:rPr>
            </w:pPr>
          </w:p>
        </w:tc>
        <w:tc>
          <w:tcPr>
            <w:tcW w:w="4966" w:type="dxa"/>
            <w:noWrap w:val="0"/>
            <w:vAlign w:val="center"/>
          </w:tcPr>
          <w:p w14:paraId="4F50EA1B">
            <w:pPr>
              <w:spacing w:line="360" w:lineRule="exact"/>
              <w:rPr>
                <w:rFonts w:eastAsia="方正仿宋_GBK"/>
                <w:snapToGrid w:val="0"/>
                <w:kern w:val="0"/>
                <w:sz w:val="28"/>
                <w:szCs w:val="28"/>
              </w:rPr>
            </w:pPr>
            <w:r>
              <w:rPr>
                <w:rFonts w:eastAsia="方正仿宋_GBK"/>
                <w:snapToGrid w:val="0"/>
                <w:kern w:val="0"/>
                <w:sz w:val="28"/>
                <w:szCs w:val="28"/>
              </w:rPr>
              <w:t>护理型床位占养老机构床位数比例（%）</w:t>
            </w:r>
          </w:p>
        </w:tc>
        <w:tc>
          <w:tcPr>
            <w:tcW w:w="1954" w:type="dxa"/>
            <w:noWrap w:val="0"/>
            <w:vAlign w:val="center"/>
          </w:tcPr>
          <w:p w14:paraId="5DD42692">
            <w:pPr>
              <w:spacing w:line="360" w:lineRule="exact"/>
              <w:jc w:val="center"/>
              <w:rPr>
                <w:rFonts w:eastAsia="方正仿宋_GBK"/>
                <w:snapToGrid w:val="0"/>
                <w:kern w:val="0"/>
                <w:sz w:val="28"/>
                <w:szCs w:val="28"/>
              </w:rPr>
            </w:pPr>
            <w:r>
              <w:rPr>
                <w:rFonts w:eastAsia="方正仿宋_GBK"/>
                <w:snapToGrid w:val="0"/>
                <w:kern w:val="0"/>
                <w:sz w:val="28"/>
                <w:szCs w:val="28"/>
              </w:rPr>
              <w:t>80</w:t>
            </w:r>
          </w:p>
        </w:tc>
        <w:tc>
          <w:tcPr>
            <w:tcW w:w="1575" w:type="dxa"/>
            <w:noWrap w:val="0"/>
            <w:vAlign w:val="center"/>
          </w:tcPr>
          <w:p w14:paraId="40C6D81E">
            <w:pPr>
              <w:spacing w:line="360" w:lineRule="exact"/>
              <w:jc w:val="center"/>
              <w:rPr>
                <w:rFonts w:eastAsia="方正仿宋_GBK"/>
                <w:snapToGrid w:val="0"/>
                <w:kern w:val="0"/>
                <w:sz w:val="28"/>
                <w:szCs w:val="28"/>
              </w:rPr>
            </w:pPr>
            <w:r>
              <w:rPr>
                <w:rFonts w:eastAsia="方正仿宋_GBK"/>
                <w:snapToGrid w:val="0"/>
                <w:kern w:val="0"/>
                <w:sz w:val="28"/>
                <w:szCs w:val="28"/>
              </w:rPr>
              <w:t>81</w:t>
            </w:r>
          </w:p>
        </w:tc>
      </w:tr>
      <w:tr w14:paraId="540CF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6F3D1915">
            <w:pPr>
              <w:snapToGrid w:val="0"/>
              <w:spacing w:line="360" w:lineRule="exact"/>
              <w:jc w:val="center"/>
              <w:rPr>
                <w:rFonts w:eastAsia="方正仿宋_GBK"/>
                <w:snapToGrid w:val="0"/>
                <w:kern w:val="0"/>
                <w:sz w:val="28"/>
                <w:szCs w:val="28"/>
              </w:rPr>
            </w:pPr>
          </w:p>
        </w:tc>
        <w:tc>
          <w:tcPr>
            <w:tcW w:w="4966" w:type="dxa"/>
            <w:noWrap w:val="0"/>
            <w:vAlign w:val="center"/>
          </w:tcPr>
          <w:p w14:paraId="1EF2D559">
            <w:pPr>
              <w:spacing w:line="360" w:lineRule="exact"/>
              <w:rPr>
                <w:rFonts w:eastAsia="方正仿宋_GBK"/>
                <w:snapToGrid w:val="0"/>
                <w:kern w:val="0"/>
                <w:sz w:val="28"/>
                <w:szCs w:val="28"/>
              </w:rPr>
            </w:pPr>
            <w:r>
              <w:rPr>
                <w:rFonts w:eastAsia="方正仿宋_GBK"/>
                <w:snapToGrid w:val="0"/>
                <w:kern w:val="0"/>
                <w:sz w:val="28"/>
                <w:szCs w:val="28"/>
              </w:rPr>
              <w:t>城乡基本养老保险参保缴费率（%）</w:t>
            </w:r>
          </w:p>
        </w:tc>
        <w:tc>
          <w:tcPr>
            <w:tcW w:w="1954" w:type="dxa"/>
            <w:noWrap w:val="0"/>
            <w:vAlign w:val="center"/>
          </w:tcPr>
          <w:p w14:paraId="3189F69B">
            <w:pPr>
              <w:spacing w:line="360" w:lineRule="exact"/>
              <w:jc w:val="center"/>
              <w:rPr>
                <w:rFonts w:eastAsia="方正仿宋_GBK"/>
                <w:snapToGrid w:val="0"/>
                <w:kern w:val="0"/>
                <w:sz w:val="28"/>
                <w:szCs w:val="28"/>
              </w:rPr>
            </w:pPr>
            <w:r>
              <w:rPr>
                <w:rFonts w:eastAsia="方正仿宋_GBK"/>
                <w:snapToGrid w:val="0"/>
                <w:kern w:val="0"/>
                <w:sz w:val="28"/>
                <w:szCs w:val="28"/>
              </w:rPr>
              <w:t>90以上</w:t>
            </w:r>
          </w:p>
        </w:tc>
        <w:tc>
          <w:tcPr>
            <w:tcW w:w="1575" w:type="dxa"/>
            <w:noWrap w:val="0"/>
            <w:vAlign w:val="center"/>
          </w:tcPr>
          <w:p w14:paraId="127491E4">
            <w:pPr>
              <w:spacing w:line="360" w:lineRule="exact"/>
              <w:jc w:val="center"/>
              <w:rPr>
                <w:rFonts w:eastAsia="方正仿宋_GBK"/>
                <w:snapToGrid w:val="0"/>
                <w:kern w:val="0"/>
                <w:sz w:val="28"/>
                <w:szCs w:val="28"/>
              </w:rPr>
            </w:pPr>
            <w:r>
              <w:rPr>
                <w:rFonts w:eastAsia="方正仿宋_GBK"/>
                <w:snapToGrid w:val="0"/>
                <w:kern w:val="0"/>
                <w:sz w:val="28"/>
                <w:szCs w:val="28"/>
              </w:rPr>
              <w:t>90以上</w:t>
            </w:r>
          </w:p>
        </w:tc>
      </w:tr>
      <w:tr w14:paraId="59146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625FBB8F">
            <w:pPr>
              <w:snapToGrid w:val="0"/>
              <w:spacing w:line="360" w:lineRule="exact"/>
              <w:jc w:val="center"/>
              <w:rPr>
                <w:rFonts w:eastAsia="方正仿宋_GBK"/>
                <w:snapToGrid w:val="0"/>
                <w:kern w:val="0"/>
                <w:sz w:val="28"/>
                <w:szCs w:val="28"/>
              </w:rPr>
            </w:pPr>
          </w:p>
        </w:tc>
        <w:tc>
          <w:tcPr>
            <w:tcW w:w="4966" w:type="dxa"/>
            <w:noWrap w:val="0"/>
            <w:vAlign w:val="center"/>
          </w:tcPr>
          <w:p w14:paraId="3B1CE108">
            <w:pPr>
              <w:spacing w:line="360" w:lineRule="exact"/>
              <w:rPr>
                <w:rFonts w:eastAsia="方正仿宋_GBK"/>
                <w:snapToGrid w:val="0"/>
                <w:kern w:val="0"/>
                <w:sz w:val="28"/>
                <w:szCs w:val="28"/>
              </w:rPr>
            </w:pPr>
            <w:r>
              <w:rPr>
                <w:rFonts w:eastAsia="方正仿宋_GBK"/>
                <w:snapToGrid w:val="0"/>
                <w:kern w:val="0"/>
                <w:sz w:val="28"/>
                <w:szCs w:val="28"/>
              </w:rPr>
              <w:t>城镇常住人口保障性住房覆盖率（%）</w:t>
            </w:r>
          </w:p>
        </w:tc>
        <w:tc>
          <w:tcPr>
            <w:tcW w:w="1954" w:type="dxa"/>
            <w:noWrap w:val="0"/>
            <w:vAlign w:val="center"/>
          </w:tcPr>
          <w:p w14:paraId="476414A6">
            <w:pPr>
              <w:spacing w:line="360" w:lineRule="exact"/>
              <w:jc w:val="center"/>
              <w:rPr>
                <w:rFonts w:eastAsia="方正仿宋_GBK"/>
                <w:snapToGrid w:val="0"/>
                <w:kern w:val="0"/>
                <w:sz w:val="28"/>
                <w:szCs w:val="28"/>
              </w:rPr>
            </w:pPr>
            <w:r>
              <w:rPr>
                <w:rFonts w:eastAsia="方正仿宋_GBK"/>
                <w:snapToGrid w:val="0"/>
                <w:kern w:val="0"/>
                <w:sz w:val="28"/>
                <w:szCs w:val="28"/>
              </w:rPr>
              <w:t>34</w:t>
            </w:r>
          </w:p>
        </w:tc>
        <w:tc>
          <w:tcPr>
            <w:tcW w:w="1575" w:type="dxa"/>
            <w:noWrap w:val="0"/>
            <w:vAlign w:val="center"/>
          </w:tcPr>
          <w:p w14:paraId="6EF7BA98">
            <w:pPr>
              <w:spacing w:line="360" w:lineRule="exact"/>
              <w:jc w:val="center"/>
              <w:rPr>
                <w:rFonts w:eastAsia="方正仿宋_GBK"/>
                <w:snapToGrid w:val="0"/>
                <w:kern w:val="0"/>
                <w:sz w:val="28"/>
                <w:szCs w:val="28"/>
              </w:rPr>
            </w:pPr>
            <w:r>
              <w:rPr>
                <w:rFonts w:eastAsia="方正仿宋_GBK"/>
                <w:snapToGrid w:val="0"/>
                <w:kern w:val="0"/>
                <w:sz w:val="28"/>
                <w:szCs w:val="28"/>
              </w:rPr>
              <w:t>34</w:t>
            </w:r>
          </w:p>
        </w:tc>
      </w:tr>
      <w:tr w14:paraId="2623F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restart"/>
            <w:noWrap w:val="0"/>
            <w:vAlign w:val="center"/>
          </w:tcPr>
          <w:p w14:paraId="37090130">
            <w:pPr>
              <w:snapToGrid w:val="0"/>
              <w:spacing w:line="360" w:lineRule="exact"/>
              <w:jc w:val="center"/>
              <w:rPr>
                <w:rFonts w:eastAsia="方正楷体_GBK"/>
                <w:snapToGrid w:val="0"/>
                <w:kern w:val="0"/>
                <w:sz w:val="28"/>
                <w:szCs w:val="28"/>
              </w:rPr>
            </w:pPr>
            <w:r>
              <w:rPr>
                <w:rFonts w:eastAsia="方正楷体_GBK"/>
                <w:snapToGrid w:val="0"/>
                <w:kern w:val="0"/>
                <w:sz w:val="28"/>
                <w:szCs w:val="28"/>
              </w:rPr>
              <w:t>环</w:t>
            </w:r>
          </w:p>
          <w:p w14:paraId="6755F472">
            <w:pPr>
              <w:snapToGrid w:val="0"/>
              <w:spacing w:line="360" w:lineRule="exact"/>
              <w:jc w:val="center"/>
              <w:rPr>
                <w:rFonts w:eastAsia="方正楷体_GBK"/>
                <w:snapToGrid w:val="0"/>
                <w:kern w:val="0"/>
                <w:sz w:val="28"/>
                <w:szCs w:val="28"/>
              </w:rPr>
            </w:pPr>
            <w:r>
              <w:rPr>
                <w:rFonts w:eastAsia="方正楷体_GBK"/>
                <w:snapToGrid w:val="0"/>
                <w:kern w:val="0"/>
                <w:sz w:val="28"/>
                <w:szCs w:val="28"/>
              </w:rPr>
              <w:t>境</w:t>
            </w:r>
          </w:p>
          <w:p w14:paraId="3506C8D2">
            <w:pPr>
              <w:snapToGrid w:val="0"/>
              <w:spacing w:line="360" w:lineRule="exact"/>
              <w:jc w:val="center"/>
              <w:rPr>
                <w:rFonts w:eastAsia="方正仿宋_GBK"/>
                <w:snapToGrid w:val="0"/>
                <w:kern w:val="0"/>
                <w:sz w:val="28"/>
                <w:szCs w:val="28"/>
              </w:rPr>
            </w:pPr>
            <w:r>
              <w:rPr>
                <w:rFonts w:eastAsia="方正楷体_GBK"/>
                <w:snapToGrid w:val="0"/>
                <w:kern w:val="0"/>
                <w:sz w:val="28"/>
                <w:szCs w:val="28"/>
              </w:rPr>
              <w:t>美</w:t>
            </w:r>
          </w:p>
        </w:tc>
        <w:tc>
          <w:tcPr>
            <w:tcW w:w="4966" w:type="dxa"/>
            <w:noWrap w:val="0"/>
            <w:vAlign w:val="center"/>
          </w:tcPr>
          <w:p w14:paraId="71590500">
            <w:pPr>
              <w:spacing w:line="360" w:lineRule="exact"/>
              <w:rPr>
                <w:rFonts w:eastAsia="方正仿宋_GBK"/>
                <w:snapToGrid w:val="0"/>
                <w:kern w:val="0"/>
                <w:sz w:val="28"/>
                <w:szCs w:val="28"/>
              </w:rPr>
            </w:pPr>
            <w:r>
              <w:rPr>
                <w:rFonts w:eastAsia="方正仿宋_GBK"/>
                <w:snapToGrid w:val="0"/>
                <w:kern w:val="0"/>
                <w:sz w:val="28"/>
                <w:szCs w:val="28"/>
              </w:rPr>
              <w:t>生态保护红线占国土面积比重（%）</w:t>
            </w:r>
          </w:p>
        </w:tc>
        <w:tc>
          <w:tcPr>
            <w:tcW w:w="1954" w:type="dxa"/>
            <w:noWrap w:val="0"/>
            <w:vAlign w:val="center"/>
          </w:tcPr>
          <w:p w14:paraId="33B1A8B0">
            <w:pPr>
              <w:spacing w:line="360" w:lineRule="exact"/>
              <w:jc w:val="center"/>
              <w:rPr>
                <w:rFonts w:eastAsia="方正仿宋_GBK"/>
                <w:snapToGrid w:val="0"/>
                <w:kern w:val="0"/>
                <w:sz w:val="28"/>
                <w:szCs w:val="28"/>
              </w:rPr>
            </w:pPr>
            <w:r>
              <w:rPr>
                <w:rFonts w:eastAsia="方正仿宋_GBK"/>
                <w:snapToGrid w:val="0"/>
                <w:kern w:val="0"/>
                <w:sz w:val="28"/>
                <w:szCs w:val="28"/>
              </w:rPr>
              <w:t>7.89</w:t>
            </w:r>
          </w:p>
        </w:tc>
        <w:tc>
          <w:tcPr>
            <w:tcW w:w="1575" w:type="dxa"/>
            <w:noWrap w:val="0"/>
            <w:vAlign w:val="center"/>
          </w:tcPr>
          <w:p w14:paraId="00FAF334">
            <w:pPr>
              <w:spacing w:line="360" w:lineRule="exact"/>
              <w:jc w:val="center"/>
              <w:rPr>
                <w:rFonts w:eastAsia="方正仿宋_GBK"/>
                <w:snapToGrid w:val="0"/>
                <w:kern w:val="0"/>
                <w:sz w:val="28"/>
                <w:szCs w:val="28"/>
              </w:rPr>
            </w:pPr>
            <w:r>
              <w:rPr>
                <w:rFonts w:eastAsia="方正仿宋_GBK"/>
                <w:snapToGrid w:val="0"/>
                <w:kern w:val="0"/>
                <w:sz w:val="28"/>
                <w:szCs w:val="28"/>
              </w:rPr>
              <w:t>7.92</w:t>
            </w:r>
          </w:p>
        </w:tc>
      </w:tr>
      <w:tr w14:paraId="2D951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3B3190CB">
            <w:pPr>
              <w:snapToGrid w:val="0"/>
              <w:spacing w:line="360" w:lineRule="exact"/>
              <w:jc w:val="center"/>
              <w:rPr>
                <w:rFonts w:eastAsia="方正仿宋_GBK"/>
                <w:snapToGrid w:val="0"/>
                <w:kern w:val="0"/>
                <w:sz w:val="28"/>
                <w:szCs w:val="28"/>
              </w:rPr>
            </w:pPr>
          </w:p>
        </w:tc>
        <w:tc>
          <w:tcPr>
            <w:tcW w:w="4966" w:type="dxa"/>
            <w:noWrap w:val="0"/>
            <w:vAlign w:val="center"/>
          </w:tcPr>
          <w:p w14:paraId="22B39208">
            <w:pPr>
              <w:spacing w:line="360" w:lineRule="exact"/>
              <w:rPr>
                <w:rFonts w:eastAsia="方正仿宋_GBK"/>
                <w:snapToGrid w:val="0"/>
                <w:kern w:val="0"/>
                <w:sz w:val="28"/>
                <w:szCs w:val="28"/>
              </w:rPr>
            </w:pPr>
            <w:r>
              <w:rPr>
                <w:rFonts w:eastAsia="方正仿宋_GBK"/>
                <w:snapToGrid w:val="0"/>
                <w:kern w:val="0"/>
                <w:sz w:val="28"/>
                <w:szCs w:val="28"/>
              </w:rPr>
              <w:t>单位地区生产总值能源消耗降低（%）</w:t>
            </w:r>
          </w:p>
        </w:tc>
        <w:tc>
          <w:tcPr>
            <w:tcW w:w="1954" w:type="dxa"/>
            <w:noWrap w:val="0"/>
            <w:vAlign w:val="center"/>
          </w:tcPr>
          <w:p w14:paraId="6B0B01E7">
            <w:pPr>
              <w:spacing w:line="380" w:lineRule="exact"/>
              <w:jc w:val="center"/>
              <w:rPr>
                <w:rFonts w:eastAsia="方正仿宋_GBK"/>
                <w:snapToGrid w:val="0"/>
                <w:kern w:val="0"/>
                <w:sz w:val="28"/>
                <w:szCs w:val="28"/>
              </w:rPr>
            </w:pPr>
            <w:r>
              <w:rPr>
                <w:rFonts w:eastAsia="方正仿宋_GBK"/>
                <w:snapToGrid w:val="0"/>
                <w:kern w:val="0"/>
                <w:sz w:val="28"/>
                <w:szCs w:val="28"/>
              </w:rPr>
              <w:t>根据国家、省定目标任务另行制定（15）</w:t>
            </w:r>
          </w:p>
        </w:tc>
        <w:tc>
          <w:tcPr>
            <w:tcW w:w="1575" w:type="dxa"/>
            <w:noWrap w:val="0"/>
            <w:vAlign w:val="center"/>
          </w:tcPr>
          <w:p w14:paraId="6F8FD93C">
            <w:pPr>
              <w:spacing w:line="360" w:lineRule="exact"/>
              <w:jc w:val="center"/>
              <w:rPr>
                <w:rFonts w:eastAsia="方正仿宋_GBK"/>
                <w:snapToGrid w:val="0"/>
                <w:kern w:val="0"/>
                <w:sz w:val="28"/>
                <w:szCs w:val="28"/>
              </w:rPr>
            </w:pPr>
            <w:r>
              <w:rPr>
                <w:rFonts w:eastAsia="方正仿宋_GBK"/>
                <w:snapToGrid w:val="0"/>
                <w:kern w:val="0"/>
                <w:sz w:val="28"/>
                <w:szCs w:val="28"/>
              </w:rPr>
              <w:t>27.03</w:t>
            </w:r>
          </w:p>
        </w:tc>
      </w:tr>
      <w:tr w14:paraId="1CCF8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1C0C5B6D">
            <w:pPr>
              <w:snapToGrid w:val="0"/>
              <w:spacing w:line="360" w:lineRule="exact"/>
              <w:jc w:val="center"/>
              <w:rPr>
                <w:rFonts w:eastAsia="方正仿宋_GBK"/>
                <w:snapToGrid w:val="0"/>
                <w:kern w:val="0"/>
                <w:sz w:val="28"/>
                <w:szCs w:val="28"/>
              </w:rPr>
            </w:pPr>
          </w:p>
        </w:tc>
        <w:tc>
          <w:tcPr>
            <w:tcW w:w="4966" w:type="dxa"/>
            <w:noWrap w:val="0"/>
            <w:vAlign w:val="center"/>
          </w:tcPr>
          <w:p w14:paraId="62DAEE21">
            <w:pPr>
              <w:spacing w:line="360" w:lineRule="exact"/>
              <w:rPr>
                <w:rFonts w:eastAsia="方正仿宋_GBK"/>
                <w:snapToGrid w:val="0"/>
                <w:kern w:val="0"/>
                <w:sz w:val="28"/>
                <w:szCs w:val="28"/>
              </w:rPr>
            </w:pPr>
            <w:r>
              <w:rPr>
                <w:rFonts w:eastAsia="方正仿宋_GBK"/>
                <w:snapToGrid w:val="0"/>
                <w:kern w:val="0"/>
                <w:sz w:val="28"/>
                <w:szCs w:val="28"/>
              </w:rPr>
              <w:t>单位地区生产总值二氧化碳降低（%）</w:t>
            </w:r>
          </w:p>
        </w:tc>
        <w:tc>
          <w:tcPr>
            <w:tcW w:w="1954" w:type="dxa"/>
            <w:noWrap w:val="0"/>
            <w:vAlign w:val="center"/>
          </w:tcPr>
          <w:p w14:paraId="467A4713">
            <w:pPr>
              <w:spacing w:line="380" w:lineRule="exact"/>
              <w:ind w:left="-57" w:right="-57"/>
              <w:jc w:val="center"/>
              <w:rPr>
                <w:rFonts w:eastAsia="方正仿宋_GBK"/>
                <w:snapToGrid w:val="0"/>
                <w:kern w:val="0"/>
                <w:sz w:val="28"/>
                <w:szCs w:val="28"/>
              </w:rPr>
            </w:pPr>
            <w:r>
              <w:rPr>
                <w:rFonts w:eastAsia="方正仿宋_GBK"/>
                <w:snapToGrid w:val="0"/>
                <w:kern w:val="0"/>
                <w:sz w:val="28"/>
                <w:szCs w:val="28"/>
              </w:rPr>
              <w:t>根据国家、省定目标任务另行制定（未下达）</w:t>
            </w:r>
          </w:p>
        </w:tc>
        <w:tc>
          <w:tcPr>
            <w:tcW w:w="1575" w:type="dxa"/>
            <w:noWrap w:val="0"/>
            <w:vAlign w:val="center"/>
          </w:tcPr>
          <w:p w14:paraId="449B87C2">
            <w:pPr>
              <w:spacing w:line="360" w:lineRule="exact"/>
              <w:jc w:val="center"/>
              <w:rPr>
                <w:rFonts w:eastAsia="方正仿宋_GBK"/>
                <w:snapToGrid w:val="0"/>
                <w:kern w:val="0"/>
                <w:sz w:val="28"/>
                <w:szCs w:val="28"/>
              </w:rPr>
            </w:pPr>
            <w:r>
              <w:rPr>
                <w:rFonts w:eastAsia="方正仿宋_GBK"/>
                <w:snapToGrid w:val="0"/>
                <w:kern w:val="0"/>
                <w:sz w:val="28"/>
                <w:szCs w:val="28"/>
              </w:rPr>
              <w:t>——</w:t>
            </w:r>
          </w:p>
        </w:tc>
      </w:tr>
      <w:tr w14:paraId="12FDB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Merge w:val="continue"/>
            <w:noWrap w:val="0"/>
            <w:vAlign w:val="center"/>
          </w:tcPr>
          <w:p w14:paraId="1B9AC3DF">
            <w:pPr>
              <w:snapToGrid w:val="0"/>
              <w:spacing w:line="360" w:lineRule="exact"/>
              <w:jc w:val="center"/>
              <w:rPr>
                <w:rFonts w:eastAsia="方正仿宋_GBK"/>
                <w:snapToGrid w:val="0"/>
                <w:kern w:val="0"/>
                <w:sz w:val="28"/>
                <w:szCs w:val="28"/>
              </w:rPr>
            </w:pPr>
          </w:p>
        </w:tc>
        <w:tc>
          <w:tcPr>
            <w:tcW w:w="4966" w:type="dxa"/>
            <w:noWrap w:val="0"/>
            <w:vAlign w:val="center"/>
          </w:tcPr>
          <w:p w14:paraId="73E964B6">
            <w:pPr>
              <w:spacing w:line="360" w:lineRule="exact"/>
              <w:rPr>
                <w:rFonts w:eastAsia="方正仿宋_GBK"/>
                <w:snapToGrid w:val="0"/>
                <w:kern w:val="0"/>
                <w:sz w:val="28"/>
                <w:szCs w:val="28"/>
              </w:rPr>
            </w:pPr>
            <w:r>
              <w:rPr>
                <w:rFonts w:eastAsia="方正仿宋_GBK"/>
                <w:snapToGrid w:val="0"/>
                <w:kern w:val="0"/>
                <w:sz w:val="28"/>
                <w:szCs w:val="28"/>
              </w:rPr>
              <w:t>非化石能源占一次能源消费比重</w:t>
            </w:r>
          </w:p>
        </w:tc>
        <w:tc>
          <w:tcPr>
            <w:tcW w:w="1954" w:type="dxa"/>
            <w:noWrap w:val="0"/>
            <w:vAlign w:val="center"/>
          </w:tcPr>
          <w:p w14:paraId="7355AAA1">
            <w:pPr>
              <w:spacing w:line="380" w:lineRule="exact"/>
              <w:jc w:val="center"/>
              <w:rPr>
                <w:rFonts w:eastAsia="方正仿宋_GBK"/>
                <w:snapToGrid w:val="0"/>
                <w:kern w:val="0"/>
                <w:sz w:val="28"/>
                <w:szCs w:val="28"/>
              </w:rPr>
            </w:pPr>
            <w:r>
              <w:rPr>
                <w:rFonts w:eastAsia="方正仿宋_GBK"/>
                <w:snapToGrid w:val="0"/>
                <w:kern w:val="0"/>
                <w:sz w:val="28"/>
                <w:szCs w:val="28"/>
              </w:rPr>
              <w:t>完成省定目标（未下达）</w:t>
            </w:r>
          </w:p>
        </w:tc>
        <w:tc>
          <w:tcPr>
            <w:tcW w:w="1575" w:type="dxa"/>
            <w:noWrap w:val="0"/>
            <w:vAlign w:val="center"/>
          </w:tcPr>
          <w:p w14:paraId="17B2F17A">
            <w:pPr>
              <w:spacing w:line="360" w:lineRule="exact"/>
              <w:jc w:val="center"/>
              <w:rPr>
                <w:rFonts w:eastAsia="方正仿宋_GBK"/>
                <w:snapToGrid w:val="0"/>
                <w:kern w:val="0"/>
                <w:sz w:val="28"/>
                <w:szCs w:val="28"/>
              </w:rPr>
            </w:pPr>
            <w:r>
              <w:rPr>
                <w:rFonts w:eastAsia="方正仿宋_GBK"/>
                <w:snapToGrid w:val="0"/>
                <w:kern w:val="0"/>
                <w:sz w:val="28"/>
                <w:szCs w:val="28"/>
              </w:rPr>
              <w:t>——</w:t>
            </w:r>
          </w:p>
        </w:tc>
      </w:tr>
      <w:tr w14:paraId="1E86E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837" w:type="dxa"/>
            <w:vMerge w:val="continue"/>
            <w:noWrap w:val="0"/>
            <w:vAlign w:val="center"/>
          </w:tcPr>
          <w:p w14:paraId="5D2CBE40">
            <w:pPr>
              <w:snapToGrid w:val="0"/>
              <w:spacing w:line="360" w:lineRule="exact"/>
              <w:jc w:val="center"/>
              <w:rPr>
                <w:rFonts w:eastAsia="方正仿宋_GBK"/>
                <w:snapToGrid w:val="0"/>
                <w:kern w:val="0"/>
                <w:sz w:val="28"/>
                <w:szCs w:val="28"/>
              </w:rPr>
            </w:pPr>
          </w:p>
        </w:tc>
        <w:tc>
          <w:tcPr>
            <w:tcW w:w="4966" w:type="dxa"/>
            <w:noWrap w:val="0"/>
            <w:vAlign w:val="center"/>
          </w:tcPr>
          <w:p w14:paraId="49D4D33E">
            <w:pPr>
              <w:spacing w:line="360" w:lineRule="exact"/>
              <w:rPr>
                <w:rFonts w:eastAsia="方正仿宋_GBK"/>
                <w:snapToGrid w:val="0"/>
                <w:kern w:val="0"/>
                <w:sz w:val="28"/>
                <w:szCs w:val="28"/>
              </w:rPr>
            </w:pPr>
            <w:r>
              <w:rPr>
                <w:rFonts w:eastAsia="方正仿宋_GBK"/>
                <w:snapToGrid w:val="0"/>
                <w:kern w:val="0"/>
                <w:sz w:val="28"/>
                <w:szCs w:val="28"/>
              </w:rPr>
              <w:t>单位地区生产总值建设用地占用面积下降率（%）</w:t>
            </w:r>
          </w:p>
        </w:tc>
        <w:tc>
          <w:tcPr>
            <w:tcW w:w="1954" w:type="dxa"/>
            <w:noWrap w:val="0"/>
            <w:vAlign w:val="center"/>
          </w:tcPr>
          <w:p w14:paraId="578DFD46">
            <w:pPr>
              <w:spacing w:line="380" w:lineRule="exact"/>
              <w:jc w:val="center"/>
              <w:rPr>
                <w:rFonts w:eastAsia="方正仿宋_GBK"/>
                <w:snapToGrid w:val="0"/>
                <w:kern w:val="0"/>
                <w:sz w:val="28"/>
                <w:szCs w:val="28"/>
              </w:rPr>
            </w:pPr>
            <w:r>
              <w:rPr>
                <w:rFonts w:eastAsia="方正仿宋_GBK"/>
                <w:snapToGrid w:val="0"/>
                <w:kern w:val="0"/>
                <w:sz w:val="28"/>
                <w:szCs w:val="28"/>
              </w:rPr>
              <w:t>高于省定目标（未下达）</w:t>
            </w:r>
          </w:p>
        </w:tc>
        <w:tc>
          <w:tcPr>
            <w:tcW w:w="1575" w:type="dxa"/>
            <w:noWrap w:val="0"/>
            <w:vAlign w:val="center"/>
          </w:tcPr>
          <w:p w14:paraId="7F22B97D">
            <w:pPr>
              <w:spacing w:line="360" w:lineRule="exact"/>
              <w:jc w:val="center"/>
              <w:rPr>
                <w:rFonts w:eastAsia="方正仿宋_GBK"/>
                <w:snapToGrid w:val="0"/>
                <w:kern w:val="0"/>
                <w:sz w:val="28"/>
                <w:szCs w:val="28"/>
              </w:rPr>
            </w:pPr>
            <w:r>
              <w:rPr>
                <w:rFonts w:eastAsia="方正仿宋_GBK"/>
                <w:snapToGrid w:val="0"/>
                <w:kern w:val="0"/>
                <w:sz w:val="28"/>
                <w:szCs w:val="28"/>
              </w:rPr>
              <w:t>——</w:t>
            </w:r>
          </w:p>
        </w:tc>
      </w:tr>
      <w:tr w14:paraId="2B44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restart"/>
            <w:noWrap w:val="0"/>
            <w:vAlign w:val="center"/>
          </w:tcPr>
          <w:p w14:paraId="75387520">
            <w:pPr>
              <w:snapToGrid w:val="0"/>
              <w:spacing w:line="360" w:lineRule="exact"/>
              <w:jc w:val="center"/>
              <w:rPr>
                <w:rFonts w:eastAsia="方正楷体_GBK"/>
                <w:snapToGrid w:val="0"/>
                <w:kern w:val="0"/>
                <w:sz w:val="28"/>
                <w:szCs w:val="28"/>
              </w:rPr>
            </w:pPr>
            <w:r>
              <w:rPr>
                <w:rFonts w:eastAsia="方正楷体_GBK"/>
                <w:snapToGrid w:val="0"/>
                <w:kern w:val="0"/>
                <w:sz w:val="28"/>
                <w:szCs w:val="28"/>
              </w:rPr>
              <w:t>环</w:t>
            </w:r>
          </w:p>
          <w:p w14:paraId="733D42CE">
            <w:pPr>
              <w:snapToGrid w:val="0"/>
              <w:spacing w:line="360" w:lineRule="exact"/>
              <w:jc w:val="center"/>
              <w:rPr>
                <w:rFonts w:eastAsia="方正楷体_GBK"/>
                <w:snapToGrid w:val="0"/>
                <w:kern w:val="0"/>
                <w:sz w:val="28"/>
                <w:szCs w:val="28"/>
              </w:rPr>
            </w:pPr>
            <w:r>
              <w:rPr>
                <w:rFonts w:eastAsia="方正楷体_GBK"/>
                <w:snapToGrid w:val="0"/>
                <w:kern w:val="0"/>
                <w:sz w:val="28"/>
                <w:szCs w:val="28"/>
              </w:rPr>
              <w:t>境</w:t>
            </w:r>
          </w:p>
          <w:p w14:paraId="2A7C4C06">
            <w:pPr>
              <w:snapToGrid w:val="0"/>
              <w:spacing w:line="360" w:lineRule="exact"/>
              <w:jc w:val="center"/>
              <w:rPr>
                <w:rFonts w:eastAsia="方正仿宋_GBK"/>
                <w:snapToGrid w:val="0"/>
                <w:kern w:val="0"/>
                <w:sz w:val="28"/>
                <w:szCs w:val="28"/>
              </w:rPr>
            </w:pPr>
            <w:r>
              <w:rPr>
                <w:rFonts w:eastAsia="方正楷体_GBK"/>
                <w:snapToGrid w:val="0"/>
                <w:kern w:val="0"/>
                <w:sz w:val="28"/>
                <w:szCs w:val="28"/>
              </w:rPr>
              <w:t>美</w:t>
            </w:r>
          </w:p>
        </w:tc>
        <w:tc>
          <w:tcPr>
            <w:tcW w:w="4966" w:type="dxa"/>
            <w:noWrap w:val="0"/>
            <w:vAlign w:val="center"/>
          </w:tcPr>
          <w:p w14:paraId="59C048FD">
            <w:pPr>
              <w:spacing w:line="360" w:lineRule="exact"/>
              <w:rPr>
                <w:rFonts w:eastAsia="方正仿宋_GBK"/>
                <w:snapToGrid w:val="0"/>
                <w:kern w:val="0"/>
                <w:sz w:val="28"/>
                <w:szCs w:val="28"/>
              </w:rPr>
            </w:pPr>
            <w:r>
              <w:rPr>
                <w:rFonts w:eastAsia="方正仿宋_GBK"/>
                <w:snapToGrid w:val="0"/>
                <w:kern w:val="0"/>
                <w:sz w:val="28"/>
                <w:szCs w:val="28"/>
              </w:rPr>
              <w:t>细颗粒物（PM</w:t>
            </w:r>
            <w:r>
              <w:rPr>
                <w:rFonts w:eastAsia="方正仿宋_GBK"/>
                <w:snapToGrid w:val="0"/>
                <w:kern w:val="0"/>
                <w:sz w:val="28"/>
                <w:szCs w:val="28"/>
                <w:vertAlign w:val="subscript"/>
              </w:rPr>
              <w:t>2.5</w:t>
            </w:r>
            <w:r>
              <w:rPr>
                <w:rFonts w:eastAsia="方正仿宋_GBK"/>
                <w:snapToGrid w:val="0"/>
                <w:kern w:val="0"/>
                <w:sz w:val="28"/>
                <w:szCs w:val="28"/>
              </w:rPr>
              <w:t>）浓度（微克/立方米）</w:t>
            </w:r>
          </w:p>
        </w:tc>
        <w:tc>
          <w:tcPr>
            <w:tcW w:w="1954" w:type="dxa"/>
            <w:noWrap w:val="0"/>
            <w:vAlign w:val="center"/>
          </w:tcPr>
          <w:p w14:paraId="4F504DF5">
            <w:pPr>
              <w:spacing w:line="360" w:lineRule="exact"/>
              <w:jc w:val="center"/>
              <w:rPr>
                <w:rFonts w:eastAsia="方正仿宋_GBK"/>
                <w:snapToGrid w:val="0"/>
                <w:kern w:val="0"/>
                <w:sz w:val="28"/>
                <w:szCs w:val="28"/>
              </w:rPr>
            </w:pPr>
            <w:r>
              <w:rPr>
                <w:rFonts w:eastAsia="方正仿宋_GBK"/>
                <w:snapToGrid w:val="0"/>
                <w:kern w:val="0"/>
                <w:sz w:val="28"/>
                <w:szCs w:val="28"/>
              </w:rPr>
              <w:t>38</w:t>
            </w:r>
          </w:p>
        </w:tc>
        <w:tc>
          <w:tcPr>
            <w:tcW w:w="1575" w:type="dxa"/>
            <w:noWrap w:val="0"/>
            <w:vAlign w:val="center"/>
          </w:tcPr>
          <w:p w14:paraId="7C347110">
            <w:pPr>
              <w:spacing w:line="360" w:lineRule="exact"/>
              <w:jc w:val="center"/>
              <w:rPr>
                <w:rFonts w:eastAsia="方正仿宋_GBK"/>
                <w:snapToGrid w:val="0"/>
                <w:kern w:val="0"/>
                <w:sz w:val="28"/>
                <w:szCs w:val="28"/>
              </w:rPr>
            </w:pPr>
            <w:r>
              <w:rPr>
                <w:rFonts w:eastAsia="方正仿宋_GBK"/>
                <w:snapToGrid w:val="0"/>
                <w:kern w:val="0"/>
                <w:sz w:val="28"/>
                <w:szCs w:val="28"/>
              </w:rPr>
              <w:t>31</w:t>
            </w:r>
          </w:p>
        </w:tc>
      </w:tr>
      <w:tr w14:paraId="0E500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0CD277E8">
            <w:pPr>
              <w:snapToGrid w:val="0"/>
              <w:spacing w:line="360" w:lineRule="exact"/>
              <w:jc w:val="center"/>
              <w:rPr>
                <w:rFonts w:eastAsia="方正仿宋_GBK"/>
                <w:snapToGrid w:val="0"/>
                <w:kern w:val="0"/>
                <w:sz w:val="28"/>
                <w:szCs w:val="28"/>
              </w:rPr>
            </w:pPr>
          </w:p>
        </w:tc>
        <w:tc>
          <w:tcPr>
            <w:tcW w:w="4966" w:type="dxa"/>
            <w:noWrap w:val="0"/>
            <w:vAlign w:val="center"/>
          </w:tcPr>
          <w:p w14:paraId="7D3CEA1B">
            <w:pPr>
              <w:spacing w:line="360" w:lineRule="exact"/>
              <w:rPr>
                <w:rFonts w:eastAsia="方正仿宋_GBK"/>
                <w:snapToGrid w:val="0"/>
                <w:kern w:val="0"/>
                <w:sz w:val="28"/>
                <w:szCs w:val="28"/>
              </w:rPr>
            </w:pPr>
            <w:r>
              <w:rPr>
                <w:rFonts w:eastAsia="方正仿宋_GBK"/>
                <w:snapToGrid w:val="0"/>
                <w:kern w:val="0"/>
                <w:sz w:val="28"/>
                <w:szCs w:val="28"/>
              </w:rPr>
              <w:t>空气质量优良天数比例（%）</w:t>
            </w:r>
          </w:p>
        </w:tc>
        <w:tc>
          <w:tcPr>
            <w:tcW w:w="1954" w:type="dxa"/>
            <w:noWrap w:val="0"/>
            <w:vAlign w:val="center"/>
          </w:tcPr>
          <w:p w14:paraId="67713E84">
            <w:pPr>
              <w:spacing w:line="360" w:lineRule="exact"/>
              <w:jc w:val="center"/>
              <w:rPr>
                <w:rFonts w:eastAsia="方正仿宋_GBK"/>
                <w:snapToGrid w:val="0"/>
                <w:kern w:val="0"/>
                <w:sz w:val="28"/>
                <w:szCs w:val="28"/>
              </w:rPr>
            </w:pPr>
            <w:r>
              <w:rPr>
                <w:rFonts w:eastAsia="方正仿宋_GBK"/>
                <w:snapToGrid w:val="0"/>
                <w:kern w:val="0"/>
                <w:sz w:val="28"/>
                <w:szCs w:val="28"/>
              </w:rPr>
              <w:t>78</w:t>
            </w:r>
          </w:p>
        </w:tc>
        <w:tc>
          <w:tcPr>
            <w:tcW w:w="1575" w:type="dxa"/>
            <w:noWrap w:val="0"/>
            <w:vAlign w:val="center"/>
          </w:tcPr>
          <w:p w14:paraId="2239F67D">
            <w:pPr>
              <w:spacing w:line="360" w:lineRule="exact"/>
              <w:jc w:val="center"/>
              <w:rPr>
                <w:rFonts w:eastAsia="仿宋_GB2312"/>
                <w:snapToGrid w:val="0"/>
                <w:kern w:val="0"/>
                <w:sz w:val="28"/>
                <w:szCs w:val="28"/>
              </w:rPr>
            </w:pPr>
            <w:r>
              <w:rPr>
                <w:rFonts w:eastAsia="仿宋_GB2312"/>
                <w:snapToGrid w:val="0"/>
                <w:kern w:val="0"/>
                <w:sz w:val="28"/>
                <w:szCs w:val="28"/>
              </w:rPr>
              <w:t>79.5</w:t>
            </w:r>
          </w:p>
        </w:tc>
      </w:tr>
      <w:tr w14:paraId="70BB8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837" w:type="dxa"/>
            <w:vMerge w:val="continue"/>
            <w:noWrap w:val="0"/>
            <w:vAlign w:val="center"/>
          </w:tcPr>
          <w:p w14:paraId="3B6B6530">
            <w:pPr>
              <w:snapToGrid w:val="0"/>
              <w:spacing w:line="360" w:lineRule="exact"/>
              <w:jc w:val="center"/>
              <w:rPr>
                <w:rFonts w:eastAsia="方正仿宋_GBK"/>
                <w:snapToGrid w:val="0"/>
                <w:kern w:val="0"/>
                <w:sz w:val="28"/>
                <w:szCs w:val="28"/>
              </w:rPr>
            </w:pPr>
          </w:p>
        </w:tc>
        <w:tc>
          <w:tcPr>
            <w:tcW w:w="4966" w:type="dxa"/>
            <w:noWrap w:val="0"/>
            <w:vAlign w:val="center"/>
          </w:tcPr>
          <w:p w14:paraId="796F3F3D">
            <w:pPr>
              <w:spacing w:line="360" w:lineRule="exact"/>
              <w:rPr>
                <w:rFonts w:eastAsia="方正仿宋_GBK"/>
                <w:snapToGrid w:val="0"/>
                <w:kern w:val="0"/>
                <w:sz w:val="28"/>
                <w:szCs w:val="28"/>
              </w:rPr>
            </w:pPr>
            <w:r>
              <w:rPr>
                <w:rFonts w:eastAsia="方正仿宋_GBK"/>
                <w:snapToGrid w:val="0"/>
                <w:kern w:val="0"/>
                <w:sz w:val="28"/>
                <w:szCs w:val="28"/>
              </w:rPr>
              <w:t>地表水国考、省考断面水质达到或优于</w:t>
            </w:r>
            <w:r>
              <w:rPr>
                <w:rFonts w:hint="eastAsia" w:ascii="宋体" w:hAnsi="宋体" w:cs="宋体"/>
                <w:snapToGrid w:val="0"/>
                <w:kern w:val="0"/>
                <w:sz w:val="28"/>
                <w:szCs w:val="28"/>
              </w:rPr>
              <w:t>Ⅲ</w:t>
            </w:r>
            <w:r>
              <w:rPr>
                <w:rFonts w:eastAsia="方正仿宋_GBK"/>
                <w:snapToGrid w:val="0"/>
                <w:kern w:val="0"/>
                <w:sz w:val="28"/>
                <w:szCs w:val="28"/>
              </w:rPr>
              <w:t>类比例（%）</w:t>
            </w:r>
          </w:p>
        </w:tc>
        <w:tc>
          <w:tcPr>
            <w:tcW w:w="1954" w:type="dxa"/>
            <w:noWrap w:val="0"/>
            <w:vAlign w:val="center"/>
          </w:tcPr>
          <w:p w14:paraId="66906B12">
            <w:pPr>
              <w:spacing w:line="360" w:lineRule="exact"/>
              <w:jc w:val="center"/>
              <w:rPr>
                <w:rFonts w:eastAsia="方正仿宋_GBK"/>
                <w:snapToGrid w:val="0"/>
                <w:kern w:val="0"/>
                <w:sz w:val="28"/>
                <w:szCs w:val="28"/>
              </w:rPr>
            </w:pPr>
            <w:r>
              <w:rPr>
                <w:rFonts w:eastAsia="方正仿宋_GBK"/>
                <w:snapToGrid w:val="0"/>
                <w:kern w:val="0"/>
                <w:sz w:val="28"/>
                <w:szCs w:val="28"/>
              </w:rPr>
              <w:t>达到考核要求</w:t>
            </w:r>
          </w:p>
        </w:tc>
        <w:tc>
          <w:tcPr>
            <w:tcW w:w="1575" w:type="dxa"/>
            <w:noWrap w:val="0"/>
            <w:vAlign w:val="center"/>
          </w:tcPr>
          <w:p w14:paraId="4FC5E7D5">
            <w:pPr>
              <w:spacing w:line="360" w:lineRule="exact"/>
              <w:jc w:val="center"/>
              <w:rPr>
                <w:rFonts w:eastAsia="方正仿宋_GBK"/>
                <w:snapToGrid w:val="0"/>
                <w:kern w:val="0"/>
                <w:sz w:val="28"/>
                <w:szCs w:val="28"/>
              </w:rPr>
            </w:pPr>
            <w:r>
              <w:rPr>
                <w:rFonts w:eastAsia="方正仿宋_GBK"/>
                <w:snapToGrid w:val="0"/>
                <w:kern w:val="0"/>
                <w:sz w:val="28"/>
                <w:szCs w:val="28"/>
              </w:rPr>
              <w:t>国考</w:t>
            </w:r>
            <w:r>
              <w:rPr>
                <w:rFonts w:hint="eastAsia" w:eastAsia="方正仿宋_GBK"/>
                <w:snapToGrid w:val="0"/>
                <w:kern w:val="0"/>
                <w:sz w:val="28"/>
                <w:szCs w:val="28"/>
              </w:rPr>
              <w:t>90</w:t>
            </w:r>
            <w:r>
              <w:rPr>
                <w:rFonts w:eastAsia="方正仿宋_GBK"/>
                <w:snapToGrid w:val="0"/>
                <w:kern w:val="0"/>
                <w:sz w:val="28"/>
                <w:szCs w:val="28"/>
              </w:rPr>
              <w:t>%</w:t>
            </w:r>
          </w:p>
          <w:p w14:paraId="74ACD600">
            <w:pPr>
              <w:spacing w:line="360" w:lineRule="exact"/>
              <w:jc w:val="center"/>
              <w:rPr>
                <w:rFonts w:eastAsia="方正仿宋_GBK"/>
                <w:snapToGrid w:val="0"/>
                <w:kern w:val="0"/>
                <w:sz w:val="28"/>
                <w:szCs w:val="28"/>
              </w:rPr>
            </w:pPr>
            <w:r>
              <w:rPr>
                <w:rFonts w:eastAsia="方正仿宋_GBK"/>
                <w:snapToGrid w:val="0"/>
                <w:kern w:val="0"/>
                <w:sz w:val="28"/>
                <w:szCs w:val="28"/>
              </w:rPr>
              <w:t>省考9</w:t>
            </w:r>
            <w:r>
              <w:rPr>
                <w:rFonts w:hint="eastAsia" w:eastAsia="方正仿宋_GBK"/>
                <w:snapToGrid w:val="0"/>
                <w:kern w:val="0"/>
                <w:sz w:val="28"/>
                <w:szCs w:val="28"/>
              </w:rPr>
              <w:t>6</w:t>
            </w:r>
            <w:r>
              <w:rPr>
                <w:rFonts w:eastAsia="方正仿宋_GBK"/>
                <w:snapToGrid w:val="0"/>
                <w:kern w:val="0"/>
                <w:sz w:val="28"/>
                <w:szCs w:val="28"/>
              </w:rPr>
              <w:t>.1%</w:t>
            </w:r>
          </w:p>
        </w:tc>
      </w:tr>
      <w:tr w14:paraId="1C8C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5D63B6AC">
            <w:pPr>
              <w:snapToGrid w:val="0"/>
              <w:spacing w:line="360" w:lineRule="exact"/>
              <w:jc w:val="center"/>
              <w:rPr>
                <w:rFonts w:eastAsia="方正仿宋_GBK"/>
                <w:snapToGrid w:val="0"/>
                <w:kern w:val="0"/>
                <w:sz w:val="28"/>
                <w:szCs w:val="28"/>
              </w:rPr>
            </w:pPr>
          </w:p>
        </w:tc>
        <w:tc>
          <w:tcPr>
            <w:tcW w:w="4966" w:type="dxa"/>
            <w:noWrap w:val="0"/>
            <w:vAlign w:val="center"/>
          </w:tcPr>
          <w:p w14:paraId="08F18F2F">
            <w:pPr>
              <w:spacing w:line="360" w:lineRule="exact"/>
              <w:rPr>
                <w:rFonts w:eastAsia="方正仿宋_GBK"/>
                <w:snapToGrid w:val="0"/>
                <w:kern w:val="0"/>
                <w:sz w:val="28"/>
                <w:szCs w:val="28"/>
              </w:rPr>
            </w:pPr>
            <w:r>
              <w:rPr>
                <w:rFonts w:eastAsia="方正仿宋_GBK"/>
                <w:snapToGrid w:val="0"/>
                <w:kern w:val="0"/>
                <w:sz w:val="28"/>
                <w:szCs w:val="28"/>
              </w:rPr>
              <w:t>林木覆盖率（%）</w:t>
            </w:r>
          </w:p>
        </w:tc>
        <w:tc>
          <w:tcPr>
            <w:tcW w:w="1954" w:type="dxa"/>
            <w:noWrap w:val="0"/>
            <w:vAlign w:val="center"/>
          </w:tcPr>
          <w:p w14:paraId="2B078533">
            <w:pPr>
              <w:spacing w:line="360" w:lineRule="exact"/>
              <w:jc w:val="center"/>
              <w:rPr>
                <w:rFonts w:eastAsia="方正仿宋_GBK"/>
                <w:snapToGrid w:val="0"/>
                <w:kern w:val="0"/>
                <w:sz w:val="28"/>
                <w:szCs w:val="28"/>
              </w:rPr>
            </w:pPr>
            <w:r>
              <w:rPr>
                <w:rFonts w:eastAsia="方正仿宋_GBK"/>
                <w:snapToGrid w:val="0"/>
                <w:kern w:val="0"/>
                <w:sz w:val="28"/>
                <w:szCs w:val="28"/>
              </w:rPr>
              <w:t>高于省定目标</w:t>
            </w:r>
            <w:r>
              <w:rPr>
                <w:rFonts w:hint="eastAsia" w:eastAsia="方正仿宋_GBK"/>
                <w:snapToGrid w:val="0"/>
                <w:kern w:val="0"/>
                <w:sz w:val="28"/>
                <w:szCs w:val="28"/>
              </w:rPr>
              <w:t>（未下达）</w:t>
            </w:r>
          </w:p>
        </w:tc>
        <w:tc>
          <w:tcPr>
            <w:tcW w:w="1575" w:type="dxa"/>
            <w:noWrap w:val="0"/>
            <w:vAlign w:val="center"/>
          </w:tcPr>
          <w:p w14:paraId="54D2BA30">
            <w:pPr>
              <w:spacing w:line="360" w:lineRule="exact"/>
              <w:jc w:val="center"/>
              <w:rPr>
                <w:rFonts w:eastAsia="仿宋_GB2312"/>
                <w:snapToGrid w:val="0"/>
                <w:kern w:val="0"/>
                <w:sz w:val="28"/>
                <w:szCs w:val="28"/>
              </w:rPr>
            </w:pPr>
            <w:r>
              <w:rPr>
                <w:rFonts w:hint="eastAsia" w:eastAsia="方正仿宋_GBK"/>
                <w:snapToGrid w:val="0"/>
                <w:kern w:val="0"/>
                <w:sz w:val="28"/>
                <w:szCs w:val="28"/>
              </w:rPr>
              <w:t>26.86</w:t>
            </w:r>
          </w:p>
        </w:tc>
      </w:tr>
      <w:tr w14:paraId="702D0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restart"/>
            <w:noWrap w:val="0"/>
            <w:vAlign w:val="center"/>
          </w:tcPr>
          <w:p w14:paraId="0C4ECA55">
            <w:pPr>
              <w:snapToGrid w:val="0"/>
              <w:spacing w:line="360" w:lineRule="exact"/>
              <w:jc w:val="center"/>
              <w:rPr>
                <w:rFonts w:eastAsia="方正楷体_GBK"/>
                <w:snapToGrid w:val="0"/>
                <w:kern w:val="0"/>
                <w:sz w:val="28"/>
                <w:szCs w:val="28"/>
              </w:rPr>
            </w:pPr>
            <w:r>
              <w:rPr>
                <w:rFonts w:eastAsia="方正楷体_GBK"/>
                <w:snapToGrid w:val="0"/>
                <w:kern w:val="0"/>
                <w:sz w:val="28"/>
                <w:szCs w:val="28"/>
              </w:rPr>
              <w:t>社会</w:t>
            </w:r>
          </w:p>
          <w:p w14:paraId="2D386AD5">
            <w:pPr>
              <w:snapToGrid w:val="0"/>
              <w:spacing w:line="360" w:lineRule="exact"/>
              <w:jc w:val="center"/>
              <w:rPr>
                <w:rFonts w:eastAsia="方正楷体_GBK"/>
                <w:snapToGrid w:val="0"/>
                <w:kern w:val="0"/>
                <w:sz w:val="28"/>
                <w:szCs w:val="28"/>
              </w:rPr>
            </w:pPr>
            <w:r>
              <w:rPr>
                <w:rFonts w:eastAsia="方正楷体_GBK"/>
                <w:snapToGrid w:val="0"/>
                <w:kern w:val="0"/>
                <w:sz w:val="28"/>
                <w:szCs w:val="28"/>
              </w:rPr>
              <w:t>文明</w:t>
            </w:r>
          </w:p>
          <w:p w14:paraId="10135091">
            <w:pPr>
              <w:snapToGrid w:val="0"/>
              <w:spacing w:line="360" w:lineRule="exact"/>
              <w:jc w:val="center"/>
              <w:rPr>
                <w:rFonts w:eastAsia="方正仿宋_GBK"/>
                <w:snapToGrid w:val="0"/>
                <w:kern w:val="0"/>
                <w:sz w:val="28"/>
                <w:szCs w:val="28"/>
              </w:rPr>
            </w:pPr>
            <w:r>
              <w:rPr>
                <w:rFonts w:eastAsia="方正楷体_GBK"/>
                <w:snapToGrid w:val="0"/>
                <w:kern w:val="0"/>
                <w:sz w:val="28"/>
                <w:szCs w:val="28"/>
              </w:rPr>
              <w:t>程度高</w:t>
            </w:r>
          </w:p>
        </w:tc>
        <w:tc>
          <w:tcPr>
            <w:tcW w:w="4966" w:type="dxa"/>
            <w:noWrap w:val="0"/>
            <w:vAlign w:val="center"/>
          </w:tcPr>
          <w:p w14:paraId="6899C8CD">
            <w:pPr>
              <w:spacing w:line="360" w:lineRule="exact"/>
              <w:rPr>
                <w:rFonts w:eastAsia="方正仿宋_GBK"/>
                <w:snapToGrid w:val="0"/>
                <w:kern w:val="0"/>
                <w:sz w:val="28"/>
                <w:szCs w:val="28"/>
              </w:rPr>
            </w:pPr>
            <w:r>
              <w:rPr>
                <w:rFonts w:eastAsia="方正仿宋_GBK"/>
                <w:snapToGrid w:val="0"/>
                <w:kern w:val="0"/>
                <w:sz w:val="28"/>
                <w:szCs w:val="28"/>
              </w:rPr>
              <w:t>法治建设满意度（%）</w:t>
            </w:r>
          </w:p>
        </w:tc>
        <w:tc>
          <w:tcPr>
            <w:tcW w:w="1954" w:type="dxa"/>
            <w:noWrap w:val="0"/>
            <w:vAlign w:val="center"/>
          </w:tcPr>
          <w:p w14:paraId="39EADF24">
            <w:pPr>
              <w:spacing w:line="360" w:lineRule="exact"/>
              <w:jc w:val="center"/>
              <w:rPr>
                <w:rFonts w:eastAsia="方正仿宋_GBK"/>
                <w:snapToGrid w:val="0"/>
                <w:kern w:val="0"/>
                <w:sz w:val="28"/>
                <w:szCs w:val="28"/>
              </w:rPr>
            </w:pPr>
            <w:r>
              <w:rPr>
                <w:rFonts w:eastAsia="方正仿宋_GBK"/>
                <w:snapToGrid w:val="0"/>
                <w:kern w:val="0"/>
                <w:sz w:val="28"/>
                <w:szCs w:val="28"/>
              </w:rPr>
              <w:t>90以上</w:t>
            </w:r>
          </w:p>
        </w:tc>
        <w:tc>
          <w:tcPr>
            <w:tcW w:w="1575" w:type="dxa"/>
            <w:noWrap w:val="0"/>
            <w:vAlign w:val="center"/>
          </w:tcPr>
          <w:p w14:paraId="722C3D63">
            <w:pPr>
              <w:spacing w:line="360" w:lineRule="exact"/>
              <w:jc w:val="center"/>
              <w:rPr>
                <w:rFonts w:eastAsia="方正仿宋_GBK"/>
                <w:snapToGrid w:val="0"/>
                <w:kern w:val="0"/>
                <w:sz w:val="28"/>
                <w:szCs w:val="28"/>
              </w:rPr>
            </w:pPr>
            <w:r>
              <w:rPr>
                <w:rFonts w:hint="eastAsia" w:eastAsia="方正仿宋_GBK"/>
                <w:snapToGrid w:val="0"/>
                <w:kern w:val="0"/>
                <w:sz w:val="28"/>
                <w:szCs w:val="28"/>
              </w:rPr>
              <w:t>93.15</w:t>
            </w:r>
          </w:p>
        </w:tc>
      </w:tr>
      <w:tr w14:paraId="339A9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23725AE1">
            <w:pPr>
              <w:snapToGrid w:val="0"/>
              <w:spacing w:line="360" w:lineRule="exact"/>
              <w:jc w:val="center"/>
              <w:rPr>
                <w:rFonts w:eastAsia="方正仿宋_GBK"/>
                <w:snapToGrid w:val="0"/>
                <w:kern w:val="0"/>
                <w:sz w:val="28"/>
                <w:szCs w:val="28"/>
              </w:rPr>
            </w:pPr>
          </w:p>
        </w:tc>
        <w:tc>
          <w:tcPr>
            <w:tcW w:w="4966" w:type="dxa"/>
            <w:noWrap w:val="0"/>
            <w:vAlign w:val="center"/>
          </w:tcPr>
          <w:p w14:paraId="52214DFF">
            <w:pPr>
              <w:spacing w:line="360" w:lineRule="exact"/>
              <w:rPr>
                <w:rFonts w:eastAsia="方正仿宋_GBK"/>
                <w:snapToGrid w:val="0"/>
                <w:kern w:val="0"/>
                <w:sz w:val="28"/>
                <w:szCs w:val="28"/>
              </w:rPr>
            </w:pPr>
            <w:r>
              <w:rPr>
                <w:rFonts w:eastAsia="方正仿宋_GBK"/>
                <w:snapToGrid w:val="0"/>
                <w:kern w:val="0"/>
                <w:sz w:val="28"/>
                <w:szCs w:val="28"/>
              </w:rPr>
              <w:t>美丽社区建设达标率（%）</w:t>
            </w:r>
          </w:p>
        </w:tc>
        <w:tc>
          <w:tcPr>
            <w:tcW w:w="1954" w:type="dxa"/>
            <w:noWrap w:val="0"/>
            <w:vAlign w:val="center"/>
          </w:tcPr>
          <w:p w14:paraId="4B3C902F">
            <w:pPr>
              <w:spacing w:line="360" w:lineRule="exact"/>
              <w:jc w:val="center"/>
              <w:rPr>
                <w:rFonts w:eastAsia="方正仿宋_GBK"/>
                <w:snapToGrid w:val="0"/>
                <w:kern w:val="0"/>
                <w:sz w:val="28"/>
                <w:szCs w:val="28"/>
              </w:rPr>
            </w:pPr>
            <w:r>
              <w:rPr>
                <w:rFonts w:eastAsia="方正仿宋_GBK"/>
                <w:snapToGrid w:val="0"/>
                <w:kern w:val="0"/>
                <w:sz w:val="28"/>
                <w:szCs w:val="28"/>
              </w:rPr>
              <w:t>90以上</w:t>
            </w:r>
          </w:p>
        </w:tc>
        <w:tc>
          <w:tcPr>
            <w:tcW w:w="1575" w:type="dxa"/>
            <w:noWrap w:val="0"/>
            <w:vAlign w:val="center"/>
          </w:tcPr>
          <w:p w14:paraId="0CC066D9">
            <w:pPr>
              <w:spacing w:line="360" w:lineRule="exact"/>
              <w:jc w:val="center"/>
              <w:rPr>
                <w:rFonts w:eastAsia="方正仿宋_GBK"/>
                <w:snapToGrid w:val="0"/>
                <w:kern w:val="0"/>
                <w:sz w:val="28"/>
                <w:szCs w:val="28"/>
              </w:rPr>
            </w:pPr>
            <w:r>
              <w:rPr>
                <w:rFonts w:eastAsia="方正仿宋_GBK"/>
                <w:snapToGrid w:val="0"/>
                <w:kern w:val="0"/>
                <w:sz w:val="28"/>
                <w:szCs w:val="28"/>
              </w:rPr>
              <w:t>——</w:t>
            </w:r>
          </w:p>
        </w:tc>
      </w:tr>
      <w:tr w14:paraId="4683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1466D90F">
            <w:pPr>
              <w:snapToGrid w:val="0"/>
              <w:spacing w:line="360" w:lineRule="exact"/>
              <w:jc w:val="center"/>
              <w:rPr>
                <w:rFonts w:eastAsia="方正仿宋_GBK"/>
                <w:snapToGrid w:val="0"/>
                <w:kern w:val="0"/>
                <w:sz w:val="28"/>
                <w:szCs w:val="28"/>
              </w:rPr>
            </w:pPr>
          </w:p>
        </w:tc>
        <w:tc>
          <w:tcPr>
            <w:tcW w:w="4966" w:type="dxa"/>
            <w:noWrap w:val="0"/>
            <w:vAlign w:val="center"/>
          </w:tcPr>
          <w:p w14:paraId="09EAD58B">
            <w:pPr>
              <w:spacing w:line="360" w:lineRule="exact"/>
              <w:rPr>
                <w:rFonts w:eastAsia="方正仿宋_GBK"/>
                <w:snapToGrid w:val="0"/>
                <w:kern w:val="0"/>
                <w:sz w:val="28"/>
                <w:szCs w:val="28"/>
              </w:rPr>
            </w:pPr>
            <w:r>
              <w:rPr>
                <w:rFonts w:eastAsia="方正仿宋_GBK"/>
                <w:snapToGrid w:val="0"/>
                <w:kern w:val="0"/>
                <w:sz w:val="28"/>
                <w:szCs w:val="28"/>
              </w:rPr>
              <w:t>全民阅读指数（%）</w:t>
            </w:r>
          </w:p>
        </w:tc>
        <w:tc>
          <w:tcPr>
            <w:tcW w:w="1954" w:type="dxa"/>
            <w:noWrap w:val="0"/>
            <w:vAlign w:val="center"/>
          </w:tcPr>
          <w:p w14:paraId="59B2172A">
            <w:pPr>
              <w:spacing w:line="360" w:lineRule="exact"/>
              <w:jc w:val="center"/>
              <w:rPr>
                <w:rFonts w:eastAsia="方正仿宋_GBK"/>
                <w:snapToGrid w:val="0"/>
                <w:kern w:val="0"/>
                <w:sz w:val="28"/>
                <w:szCs w:val="28"/>
              </w:rPr>
            </w:pPr>
            <w:r>
              <w:rPr>
                <w:rFonts w:eastAsia="方正仿宋_GBK"/>
                <w:snapToGrid w:val="0"/>
                <w:kern w:val="0"/>
                <w:sz w:val="28"/>
                <w:szCs w:val="28"/>
              </w:rPr>
              <w:t>80以上</w:t>
            </w:r>
          </w:p>
        </w:tc>
        <w:tc>
          <w:tcPr>
            <w:tcW w:w="1575" w:type="dxa"/>
            <w:noWrap w:val="0"/>
            <w:vAlign w:val="center"/>
          </w:tcPr>
          <w:p w14:paraId="100DDF81">
            <w:pPr>
              <w:spacing w:line="360" w:lineRule="exact"/>
              <w:jc w:val="center"/>
              <w:rPr>
                <w:rFonts w:eastAsia="方正仿宋_GBK"/>
                <w:snapToGrid w:val="0"/>
                <w:kern w:val="0"/>
                <w:sz w:val="28"/>
                <w:szCs w:val="28"/>
              </w:rPr>
            </w:pPr>
            <w:r>
              <w:rPr>
                <w:rFonts w:eastAsia="方正仿宋_GBK"/>
                <w:snapToGrid w:val="0"/>
                <w:kern w:val="0"/>
                <w:sz w:val="28"/>
                <w:szCs w:val="28"/>
              </w:rPr>
              <w:t>80以上</w:t>
            </w:r>
          </w:p>
        </w:tc>
      </w:tr>
      <w:tr w14:paraId="437CD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restart"/>
            <w:noWrap w:val="0"/>
            <w:vAlign w:val="center"/>
          </w:tcPr>
          <w:p w14:paraId="2B0808E6">
            <w:pPr>
              <w:snapToGrid w:val="0"/>
              <w:spacing w:line="360" w:lineRule="exact"/>
              <w:jc w:val="center"/>
              <w:rPr>
                <w:rFonts w:eastAsia="方正楷体_GBK"/>
                <w:snapToGrid w:val="0"/>
                <w:kern w:val="0"/>
                <w:sz w:val="28"/>
                <w:szCs w:val="28"/>
              </w:rPr>
            </w:pPr>
            <w:r>
              <w:rPr>
                <w:rFonts w:eastAsia="方正楷体_GBK"/>
                <w:snapToGrid w:val="0"/>
                <w:kern w:val="0"/>
                <w:sz w:val="28"/>
                <w:szCs w:val="28"/>
              </w:rPr>
              <w:t>保</w:t>
            </w:r>
          </w:p>
          <w:p w14:paraId="75BC4DC7">
            <w:pPr>
              <w:snapToGrid w:val="0"/>
              <w:spacing w:line="360" w:lineRule="exact"/>
              <w:jc w:val="center"/>
              <w:rPr>
                <w:rFonts w:eastAsia="方正楷体_GBK"/>
                <w:snapToGrid w:val="0"/>
                <w:kern w:val="0"/>
                <w:sz w:val="28"/>
                <w:szCs w:val="28"/>
              </w:rPr>
            </w:pPr>
            <w:r>
              <w:rPr>
                <w:rFonts w:eastAsia="方正楷体_GBK"/>
                <w:snapToGrid w:val="0"/>
                <w:kern w:val="0"/>
                <w:sz w:val="28"/>
                <w:szCs w:val="28"/>
              </w:rPr>
              <w:t>障</w:t>
            </w:r>
          </w:p>
          <w:p w14:paraId="1C98475F">
            <w:pPr>
              <w:snapToGrid w:val="0"/>
              <w:spacing w:line="360" w:lineRule="exact"/>
              <w:jc w:val="center"/>
              <w:rPr>
                <w:rFonts w:eastAsia="方正楷体_GBK"/>
                <w:snapToGrid w:val="0"/>
                <w:kern w:val="0"/>
                <w:sz w:val="28"/>
                <w:szCs w:val="28"/>
              </w:rPr>
            </w:pPr>
            <w:r>
              <w:rPr>
                <w:rFonts w:eastAsia="方正楷体_GBK"/>
                <w:snapToGrid w:val="0"/>
                <w:kern w:val="0"/>
                <w:sz w:val="28"/>
                <w:szCs w:val="28"/>
              </w:rPr>
              <w:t>安</w:t>
            </w:r>
          </w:p>
          <w:p w14:paraId="4D41F420">
            <w:pPr>
              <w:snapToGrid w:val="0"/>
              <w:spacing w:line="360" w:lineRule="exact"/>
              <w:jc w:val="center"/>
              <w:rPr>
                <w:rFonts w:eastAsia="方正仿宋_GBK"/>
                <w:snapToGrid w:val="0"/>
                <w:kern w:val="0"/>
                <w:sz w:val="28"/>
                <w:szCs w:val="28"/>
              </w:rPr>
            </w:pPr>
            <w:r>
              <w:rPr>
                <w:rFonts w:eastAsia="方正楷体_GBK"/>
                <w:snapToGrid w:val="0"/>
                <w:kern w:val="0"/>
                <w:sz w:val="28"/>
                <w:szCs w:val="28"/>
              </w:rPr>
              <w:t>全</w:t>
            </w:r>
          </w:p>
        </w:tc>
        <w:tc>
          <w:tcPr>
            <w:tcW w:w="4966" w:type="dxa"/>
            <w:noWrap w:val="0"/>
            <w:vAlign w:val="center"/>
          </w:tcPr>
          <w:p w14:paraId="276691A5">
            <w:pPr>
              <w:spacing w:line="360" w:lineRule="exact"/>
              <w:rPr>
                <w:rFonts w:eastAsia="方正仿宋_GBK"/>
                <w:snapToGrid w:val="0"/>
                <w:kern w:val="0"/>
                <w:sz w:val="28"/>
                <w:szCs w:val="28"/>
              </w:rPr>
            </w:pPr>
            <w:r>
              <w:rPr>
                <w:rFonts w:eastAsia="方正仿宋_GBK"/>
                <w:snapToGrid w:val="0"/>
                <w:kern w:val="0"/>
                <w:sz w:val="28"/>
                <w:szCs w:val="28"/>
              </w:rPr>
              <w:t>口粮自给率（%）</w:t>
            </w:r>
          </w:p>
        </w:tc>
        <w:tc>
          <w:tcPr>
            <w:tcW w:w="1954" w:type="dxa"/>
            <w:noWrap w:val="0"/>
            <w:vAlign w:val="center"/>
          </w:tcPr>
          <w:p w14:paraId="1B0FA037">
            <w:pPr>
              <w:spacing w:line="360" w:lineRule="exact"/>
              <w:jc w:val="center"/>
              <w:rPr>
                <w:rFonts w:eastAsia="方正仿宋_GBK"/>
                <w:snapToGrid w:val="0"/>
                <w:kern w:val="0"/>
                <w:sz w:val="28"/>
                <w:szCs w:val="28"/>
              </w:rPr>
            </w:pPr>
            <w:r>
              <w:rPr>
                <w:rFonts w:eastAsia="方正仿宋_GBK"/>
                <w:snapToGrid w:val="0"/>
                <w:kern w:val="0"/>
                <w:sz w:val="28"/>
                <w:szCs w:val="28"/>
              </w:rPr>
              <w:t>90左右</w:t>
            </w:r>
          </w:p>
        </w:tc>
        <w:tc>
          <w:tcPr>
            <w:tcW w:w="1575" w:type="dxa"/>
            <w:noWrap w:val="0"/>
            <w:vAlign w:val="center"/>
          </w:tcPr>
          <w:p w14:paraId="663949E9">
            <w:pPr>
              <w:spacing w:line="360" w:lineRule="exact"/>
              <w:jc w:val="center"/>
              <w:rPr>
                <w:rFonts w:eastAsia="方正仿宋_GBK"/>
                <w:snapToGrid w:val="0"/>
                <w:kern w:val="0"/>
                <w:sz w:val="28"/>
                <w:szCs w:val="28"/>
              </w:rPr>
            </w:pPr>
            <w:r>
              <w:rPr>
                <w:rFonts w:eastAsia="方正仿宋_GBK"/>
                <w:snapToGrid w:val="0"/>
                <w:kern w:val="0"/>
                <w:sz w:val="28"/>
                <w:szCs w:val="28"/>
              </w:rPr>
              <w:t>90左右</w:t>
            </w:r>
          </w:p>
        </w:tc>
      </w:tr>
      <w:tr w14:paraId="48EF0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837" w:type="dxa"/>
            <w:vMerge w:val="continue"/>
            <w:noWrap w:val="0"/>
            <w:vAlign w:val="center"/>
          </w:tcPr>
          <w:p w14:paraId="4CE2700E">
            <w:pPr>
              <w:snapToGrid w:val="0"/>
              <w:spacing w:line="360" w:lineRule="exact"/>
              <w:jc w:val="center"/>
              <w:rPr>
                <w:rFonts w:eastAsia="方正仿宋_GBK"/>
                <w:snapToGrid w:val="0"/>
                <w:kern w:val="0"/>
                <w:sz w:val="28"/>
                <w:szCs w:val="28"/>
              </w:rPr>
            </w:pPr>
          </w:p>
        </w:tc>
        <w:tc>
          <w:tcPr>
            <w:tcW w:w="4966" w:type="dxa"/>
            <w:noWrap w:val="0"/>
            <w:vAlign w:val="center"/>
          </w:tcPr>
          <w:p w14:paraId="1A7E3E0C">
            <w:pPr>
              <w:spacing w:line="360" w:lineRule="exact"/>
              <w:rPr>
                <w:rFonts w:eastAsia="方正仿宋_GBK"/>
                <w:snapToGrid w:val="0"/>
                <w:kern w:val="0"/>
                <w:sz w:val="28"/>
                <w:szCs w:val="28"/>
              </w:rPr>
            </w:pPr>
            <w:r>
              <w:rPr>
                <w:rFonts w:eastAsia="方正仿宋_GBK"/>
                <w:snapToGrid w:val="0"/>
                <w:kern w:val="0"/>
                <w:sz w:val="28"/>
                <w:szCs w:val="28"/>
              </w:rPr>
              <w:t>耕地保有量（万公顷）</w:t>
            </w:r>
          </w:p>
        </w:tc>
        <w:tc>
          <w:tcPr>
            <w:tcW w:w="1954" w:type="dxa"/>
            <w:noWrap w:val="0"/>
            <w:vAlign w:val="center"/>
          </w:tcPr>
          <w:p w14:paraId="6044E60E">
            <w:pPr>
              <w:spacing w:line="360" w:lineRule="exact"/>
              <w:jc w:val="center"/>
              <w:rPr>
                <w:rFonts w:eastAsia="方正仿宋_GBK"/>
                <w:snapToGrid w:val="0"/>
                <w:kern w:val="0"/>
                <w:sz w:val="28"/>
                <w:szCs w:val="28"/>
              </w:rPr>
            </w:pPr>
            <w:r>
              <w:rPr>
                <w:rFonts w:eastAsia="方正仿宋_GBK"/>
                <w:snapToGrid w:val="0"/>
                <w:kern w:val="0"/>
                <w:sz w:val="28"/>
                <w:szCs w:val="28"/>
              </w:rPr>
              <w:t>完成省定目标（8.4）</w:t>
            </w:r>
          </w:p>
        </w:tc>
        <w:tc>
          <w:tcPr>
            <w:tcW w:w="1575" w:type="dxa"/>
            <w:noWrap w:val="0"/>
            <w:vAlign w:val="center"/>
          </w:tcPr>
          <w:p w14:paraId="68F4457F">
            <w:pPr>
              <w:spacing w:line="360" w:lineRule="exact"/>
              <w:jc w:val="center"/>
              <w:rPr>
                <w:rFonts w:eastAsia="方正仿宋_GBK"/>
                <w:snapToGrid w:val="0"/>
                <w:kern w:val="0"/>
                <w:sz w:val="28"/>
                <w:szCs w:val="28"/>
              </w:rPr>
            </w:pPr>
            <w:r>
              <w:rPr>
                <w:rFonts w:eastAsia="方正仿宋_GBK"/>
                <w:snapToGrid w:val="0"/>
                <w:kern w:val="0"/>
                <w:sz w:val="28"/>
                <w:szCs w:val="28"/>
              </w:rPr>
              <w:t>9.1</w:t>
            </w:r>
          </w:p>
        </w:tc>
      </w:tr>
      <w:tr w14:paraId="19544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6C3C2CE7">
            <w:pPr>
              <w:snapToGrid w:val="0"/>
              <w:spacing w:line="360" w:lineRule="exact"/>
              <w:jc w:val="center"/>
              <w:rPr>
                <w:rFonts w:eastAsia="方正仿宋_GBK"/>
                <w:snapToGrid w:val="0"/>
                <w:kern w:val="0"/>
                <w:sz w:val="28"/>
                <w:szCs w:val="28"/>
              </w:rPr>
            </w:pPr>
          </w:p>
        </w:tc>
        <w:tc>
          <w:tcPr>
            <w:tcW w:w="4966" w:type="dxa"/>
            <w:noWrap w:val="0"/>
            <w:vAlign w:val="center"/>
          </w:tcPr>
          <w:p w14:paraId="494BD541">
            <w:pPr>
              <w:spacing w:line="360" w:lineRule="exact"/>
              <w:rPr>
                <w:rFonts w:eastAsia="方正仿宋_GBK"/>
                <w:snapToGrid w:val="0"/>
                <w:kern w:val="0"/>
                <w:sz w:val="28"/>
                <w:szCs w:val="28"/>
              </w:rPr>
            </w:pPr>
            <w:r>
              <w:rPr>
                <w:rFonts w:eastAsia="方正仿宋_GBK"/>
                <w:snapToGrid w:val="0"/>
                <w:kern w:val="0"/>
                <w:sz w:val="28"/>
                <w:szCs w:val="28"/>
              </w:rPr>
              <w:t>粮食综合生产能力（亿斤）</w:t>
            </w:r>
          </w:p>
        </w:tc>
        <w:tc>
          <w:tcPr>
            <w:tcW w:w="1954" w:type="dxa"/>
            <w:noWrap w:val="0"/>
            <w:vAlign w:val="center"/>
          </w:tcPr>
          <w:p w14:paraId="17A6D5D3">
            <w:pPr>
              <w:spacing w:line="360" w:lineRule="exact"/>
              <w:jc w:val="center"/>
              <w:rPr>
                <w:rFonts w:eastAsia="方正仿宋_GBK"/>
                <w:snapToGrid w:val="0"/>
                <w:kern w:val="0"/>
                <w:sz w:val="28"/>
                <w:szCs w:val="28"/>
              </w:rPr>
            </w:pPr>
            <w:r>
              <w:rPr>
                <w:rFonts w:eastAsia="方正仿宋_GBK"/>
                <w:snapToGrid w:val="0"/>
                <w:kern w:val="0"/>
                <w:sz w:val="28"/>
                <w:szCs w:val="28"/>
              </w:rPr>
              <w:t>完成省定目标</w:t>
            </w:r>
          </w:p>
        </w:tc>
        <w:tc>
          <w:tcPr>
            <w:tcW w:w="1575" w:type="dxa"/>
            <w:noWrap w:val="0"/>
            <w:vAlign w:val="center"/>
          </w:tcPr>
          <w:p w14:paraId="20D78397">
            <w:pPr>
              <w:spacing w:line="360" w:lineRule="exact"/>
              <w:jc w:val="center"/>
              <w:rPr>
                <w:rFonts w:eastAsia="方正仿宋_GBK"/>
                <w:snapToGrid w:val="0"/>
                <w:kern w:val="0"/>
                <w:sz w:val="28"/>
                <w:szCs w:val="28"/>
              </w:rPr>
            </w:pPr>
            <w:r>
              <w:rPr>
                <w:rFonts w:eastAsia="方正仿宋_GBK"/>
                <w:snapToGrid w:val="0"/>
                <w:kern w:val="0"/>
                <w:sz w:val="28"/>
                <w:szCs w:val="28"/>
              </w:rPr>
              <w:t>14.2</w:t>
            </w:r>
          </w:p>
        </w:tc>
      </w:tr>
      <w:tr w14:paraId="05548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4162FFE6">
            <w:pPr>
              <w:snapToGrid w:val="0"/>
              <w:spacing w:line="360" w:lineRule="exact"/>
              <w:jc w:val="center"/>
              <w:rPr>
                <w:rFonts w:eastAsia="方正仿宋_GBK"/>
                <w:snapToGrid w:val="0"/>
                <w:kern w:val="0"/>
                <w:sz w:val="28"/>
                <w:szCs w:val="28"/>
              </w:rPr>
            </w:pPr>
          </w:p>
        </w:tc>
        <w:tc>
          <w:tcPr>
            <w:tcW w:w="4966" w:type="dxa"/>
            <w:noWrap w:val="0"/>
            <w:vAlign w:val="center"/>
          </w:tcPr>
          <w:p w14:paraId="1F65E1EC">
            <w:pPr>
              <w:spacing w:line="360" w:lineRule="exact"/>
              <w:rPr>
                <w:rFonts w:eastAsia="方正仿宋_GBK"/>
                <w:snapToGrid w:val="0"/>
                <w:kern w:val="0"/>
                <w:sz w:val="28"/>
                <w:szCs w:val="28"/>
              </w:rPr>
            </w:pPr>
            <w:r>
              <w:rPr>
                <w:rFonts w:eastAsia="方正仿宋_GBK"/>
                <w:snapToGrid w:val="0"/>
                <w:kern w:val="0"/>
                <w:sz w:val="28"/>
                <w:szCs w:val="28"/>
              </w:rPr>
              <w:t>生产安全事故发生起数下降（%）</w:t>
            </w:r>
          </w:p>
        </w:tc>
        <w:tc>
          <w:tcPr>
            <w:tcW w:w="1954" w:type="dxa"/>
            <w:noWrap w:val="0"/>
            <w:vAlign w:val="center"/>
          </w:tcPr>
          <w:p w14:paraId="7979A587">
            <w:pPr>
              <w:spacing w:line="360" w:lineRule="exact"/>
              <w:jc w:val="center"/>
              <w:rPr>
                <w:rFonts w:eastAsia="方正仿宋_GBK"/>
                <w:snapToGrid w:val="0"/>
                <w:kern w:val="0"/>
                <w:sz w:val="28"/>
                <w:szCs w:val="28"/>
              </w:rPr>
            </w:pPr>
            <w:r>
              <w:rPr>
                <w:rFonts w:eastAsia="方正仿宋_GBK"/>
                <w:snapToGrid w:val="0"/>
                <w:kern w:val="0"/>
                <w:sz w:val="28"/>
                <w:szCs w:val="28"/>
              </w:rPr>
              <w:t>30左右</w:t>
            </w:r>
          </w:p>
        </w:tc>
        <w:tc>
          <w:tcPr>
            <w:tcW w:w="1575" w:type="dxa"/>
            <w:noWrap w:val="0"/>
            <w:vAlign w:val="center"/>
          </w:tcPr>
          <w:p w14:paraId="41D5E780">
            <w:pPr>
              <w:spacing w:line="360" w:lineRule="exact"/>
              <w:jc w:val="center"/>
              <w:rPr>
                <w:rFonts w:eastAsia="方正仿宋_GBK"/>
                <w:snapToGrid w:val="0"/>
                <w:kern w:val="0"/>
                <w:sz w:val="28"/>
                <w:szCs w:val="28"/>
              </w:rPr>
            </w:pPr>
            <w:r>
              <w:rPr>
                <w:rFonts w:eastAsia="方正仿宋_GBK"/>
                <w:snapToGrid w:val="0"/>
                <w:kern w:val="0"/>
                <w:sz w:val="28"/>
                <w:szCs w:val="28"/>
              </w:rPr>
              <w:t>75</w:t>
            </w:r>
          </w:p>
        </w:tc>
      </w:tr>
      <w:tr w14:paraId="4E6AA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5CA0821E">
            <w:pPr>
              <w:snapToGrid w:val="0"/>
              <w:spacing w:line="360" w:lineRule="exact"/>
              <w:jc w:val="center"/>
              <w:rPr>
                <w:rFonts w:eastAsia="方正仿宋_GBK"/>
                <w:snapToGrid w:val="0"/>
                <w:kern w:val="0"/>
                <w:sz w:val="28"/>
                <w:szCs w:val="28"/>
              </w:rPr>
            </w:pPr>
          </w:p>
        </w:tc>
        <w:tc>
          <w:tcPr>
            <w:tcW w:w="4966" w:type="dxa"/>
            <w:noWrap w:val="0"/>
            <w:vAlign w:val="center"/>
          </w:tcPr>
          <w:p w14:paraId="38A4CA13">
            <w:pPr>
              <w:spacing w:line="360" w:lineRule="exact"/>
              <w:rPr>
                <w:rFonts w:eastAsia="方正仿宋_GBK"/>
                <w:snapToGrid w:val="0"/>
                <w:kern w:val="0"/>
                <w:sz w:val="28"/>
                <w:szCs w:val="28"/>
              </w:rPr>
            </w:pPr>
            <w:r>
              <w:rPr>
                <w:rFonts w:eastAsia="方正仿宋_GBK"/>
                <w:snapToGrid w:val="0"/>
                <w:kern w:val="0"/>
                <w:sz w:val="28"/>
                <w:szCs w:val="28"/>
              </w:rPr>
              <w:t>生产安全事故死亡人数下降（%）</w:t>
            </w:r>
          </w:p>
        </w:tc>
        <w:tc>
          <w:tcPr>
            <w:tcW w:w="1954" w:type="dxa"/>
            <w:noWrap w:val="0"/>
            <w:vAlign w:val="center"/>
          </w:tcPr>
          <w:p w14:paraId="0A949205">
            <w:pPr>
              <w:spacing w:line="360" w:lineRule="exact"/>
              <w:jc w:val="center"/>
              <w:rPr>
                <w:rFonts w:eastAsia="方正仿宋_GBK"/>
                <w:snapToGrid w:val="0"/>
                <w:kern w:val="0"/>
                <w:sz w:val="28"/>
                <w:szCs w:val="28"/>
              </w:rPr>
            </w:pPr>
            <w:r>
              <w:rPr>
                <w:rFonts w:eastAsia="方正仿宋_GBK"/>
                <w:snapToGrid w:val="0"/>
                <w:kern w:val="0"/>
                <w:sz w:val="28"/>
                <w:szCs w:val="28"/>
              </w:rPr>
              <w:t>30左右</w:t>
            </w:r>
          </w:p>
        </w:tc>
        <w:tc>
          <w:tcPr>
            <w:tcW w:w="1575" w:type="dxa"/>
            <w:noWrap w:val="0"/>
            <w:vAlign w:val="center"/>
          </w:tcPr>
          <w:p w14:paraId="78848C07">
            <w:pPr>
              <w:spacing w:line="360" w:lineRule="exact"/>
              <w:jc w:val="center"/>
              <w:rPr>
                <w:rFonts w:eastAsia="方正仿宋_GBK"/>
                <w:snapToGrid w:val="0"/>
                <w:kern w:val="0"/>
                <w:sz w:val="28"/>
                <w:szCs w:val="28"/>
              </w:rPr>
            </w:pPr>
            <w:r>
              <w:rPr>
                <w:rFonts w:hint="eastAsia" w:eastAsia="方正仿宋_GBK"/>
                <w:snapToGrid w:val="0"/>
                <w:kern w:val="0"/>
                <w:sz w:val="28"/>
                <w:szCs w:val="28"/>
              </w:rPr>
              <w:t>63.1</w:t>
            </w:r>
          </w:p>
        </w:tc>
      </w:tr>
      <w:tr w14:paraId="71776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6149EA7A">
            <w:pPr>
              <w:snapToGrid w:val="0"/>
              <w:spacing w:line="360" w:lineRule="exact"/>
              <w:jc w:val="center"/>
              <w:rPr>
                <w:rFonts w:eastAsia="方正仿宋_GBK"/>
                <w:snapToGrid w:val="0"/>
                <w:kern w:val="0"/>
                <w:sz w:val="28"/>
                <w:szCs w:val="28"/>
              </w:rPr>
            </w:pPr>
          </w:p>
        </w:tc>
        <w:tc>
          <w:tcPr>
            <w:tcW w:w="4966" w:type="dxa"/>
            <w:noWrap w:val="0"/>
            <w:vAlign w:val="center"/>
          </w:tcPr>
          <w:p w14:paraId="4401B904">
            <w:pPr>
              <w:spacing w:line="360" w:lineRule="exact"/>
              <w:rPr>
                <w:rFonts w:eastAsia="方正仿宋_GBK"/>
                <w:snapToGrid w:val="0"/>
                <w:kern w:val="0"/>
                <w:sz w:val="28"/>
                <w:szCs w:val="28"/>
              </w:rPr>
            </w:pPr>
            <w:r>
              <w:rPr>
                <w:rFonts w:eastAsia="方正仿宋_GBK"/>
                <w:snapToGrid w:val="0"/>
                <w:kern w:val="0"/>
                <w:sz w:val="28"/>
                <w:szCs w:val="28"/>
              </w:rPr>
              <w:t>网格创建达标率（%）</w:t>
            </w:r>
          </w:p>
        </w:tc>
        <w:tc>
          <w:tcPr>
            <w:tcW w:w="1954" w:type="dxa"/>
            <w:noWrap w:val="0"/>
            <w:vAlign w:val="center"/>
          </w:tcPr>
          <w:p w14:paraId="6B5C41FC">
            <w:pPr>
              <w:spacing w:line="360" w:lineRule="exact"/>
              <w:jc w:val="center"/>
              <w:rPr>
                <w:rFonts w:eastAsia="方正仿宋_GBK"/>
                <w:snapToGrid w:val="0"/>
                <w:kern w:val="0"/>
                <w:sz w:val="28"/>
                <w:szCs w:val="28"/>
              </w:rPr>
            </w:pPr>
            <w:r>
              <w:rPr>
                <w:rFonts w:eastAsia="方正仿宋_GBK"/>
                <w:snapToGrid w:val="0"/>
                <w:kern w:val="0"/>
                <w:sz w:val="28"/>
                <w:szCs w:val="28"/>
              </w:rPr>
              <w:t>100</w:t>
            </w:r>
          </w:p>
        </w:tc>
        <w:tc>
          <w:tcPr>
            <w:tcW w:w="1575" w:type="dxa"/>
            <w:noWrap w:val="0"/>
            <w:vAlign w:val="center"/>
          </w:tcPr>
          <w:p w14:paraId="3BBCD984">
            <w:pPr>
              <w:spacing w:line="360" w:lineRule="exact"/>
              <w:jc w:val="center"/>
              <w:rPr>
                <w:rFonts w:eastAsia="方正仿宋_GBK"/>
                <w:snapToGrid w:val="0"/>
                <w:kern w:val="0"/>
                <w:sz w:val="28"/>
                <w:szCs w:val="28"/>
              </w:rPr>
            </w:pPr>
            <w:r>
              <w:rPr>
                <w:rFonts w:eastAsia="方正仿宋_GBK"/>
                <w:snapToGrid w:val="0"/>
                <w:kern w:val="0"/>
                <w:sz w:val="28"/>
                <w:szCs w:val="28"/>
              </w:rPr>
              <w:t>100</w:t>
            </w:r>
          </w:p>
        </w:tc>
      </w:tr>
      <w:tr w14:paraId="5DC58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37" w:type="dxa"/>
            <w:vMerge w:val="continue"/>
            <w:noWrap w:val="0"/>
            <w:vAlign w:val="center"/>
          </w:tcPr>
          <w:p w14:paraId="02A0B17B">
            <w:pPr>
              <w:snapToGrid w:val="0"/>
              <w:spacing w:line="360" w:lineRule="exact"/>
              <w:jc w:val="center"/>
              <w:rPr>
                <w:rFonts w:eastAsia="方正仿宋_GBK"/>
                <w:snapToGrid w:val="0"/>
                <w:kern w:val="0"/>
                <w:sz w:val="28"/>
                <w:szCs w:val="28"/>
              </w:rPr>
            </w:pPr>
          </w:p>
        </w:tc>
        <w:tc>
          <w:tcPr>
            <w:tcW w:w="4966" w:type="dxa"/>
            <w:noWrap w:val="0"/>
            <w:vAlign w:val="center"/>
          </w:tcPr>
          <w:p w14:paraId="2C17C095">
            <w:pPr>
              <w:spacing w:line="360" w:lineRule="exact"/>
              <w:rPr>
                <w:rFonts w:eastAsia="方正仿宋_GBK"/>
                <w:snapToGrid w:val="0"/>
                <w:kern w:val="0"/>
                <w:sz w:val="28"/>
                <w:szCs w:val="28"/>
              </w:rPr>
            </w:pPr>
            <w:r>
              <w:rPr>
                <w:rFonts w:eastAsia="方正仿宋_GBK"/>
                <w:snapToGrid w:val="0"/>
                <w:kern w:val="0"/>
                <w:sz w:val="28"/>
                <w:szCs w:val="28"/>
              </w:rPr>
              <w:t>公众安全感（%）</w:t>
            </w:r>
          </w:p>
        </w:tc>
        <w:tc>
          <w:tcPr>
            <w:tcW w:w="1954" w:type="dxa"/>
            <w:noWrap w:val="0"/>
            <w:vAlign w:val="center"/>
          </w:tcPr>
          <w:p w14:paraId="5C2D6F5E">
            <w:pPr>
              <w:spacing w:line="360" w:lineRule="exact"/>
              <w:jc w:val="center"/>
              <w:rPr>
                <w:rFonts w:eastAsia="方正仿宋_GBK"/>
                <w:snapToGrid w:val="0"/>
                <w:kern w:val="0"/>
                <w:sz w:val="28"/>
                <w:szCs w:val="28"/>
              </w:rPr>
            </w:pPr>
            <w:r>
              <w:rPr>
                <w:rFonts w:eastAsia="方正仿宋_GBK"/>
                <w:snapToGrid w:val="0"/>
                <w:kern w:val="0"/>
                <w:sz w:val="28"/>
                <w:szCs w:val="28"/>
              </w:rPr>
              <w:t>98以上</w:t>
            </w:r>
          </w:p>
        </w:tc>
        <w:tc>
          <w:tcPr>
            <w:tcW w:w="1575" w:type="dxa"/>
            <w:noWrap w:val="0"/>
            <w:vAlign w:val="center"/>
          </w:tcPr>
          <w:p w14:paraId="65B9475F">
            <w:pPr>
              <w:spacing w:line="360" w:lineRule="exact"/>
              <w:jc w:val="center"/>
              <w:rPr>
                <w:rFonts w:eastAsia="方正仿宋_GBK"/>
                <w:snapToGrid w:val="0"/>
                <w:kern w:val="0"/>
                <w:sz w:val="28"/>
                <w:szCs w:val="28"/>
              </w:rPr>
            </w:pPr>
            <w:r>
              <w:rPr>
                <w:rFonts w:eastAsia="方正仿宋_GBK"/>
                <w:snapToGrid w:val="0"/>
                <w:kern w:val="0"/>
                <w:sz w:val="28"/>
                <w:szCs w:val="28"/>
              </w:rPr>
              <w:t>98</w:t>
            </w:r>
          </w:p>
        </w:tc>
      </w:tr>
    </w:tbl>
    <w:p w14:paraId="44D1B2D9">
      <w:pPr>
        <w:spacing w:line="440" w:lineRule="exact"/>
        <w:ind w:firstLine="561"/>
        <w:rPr>
          <w:rFonts w:eastAsia="方正仿宋_GBK"/>
          <w:snapToGrid w:val="0"/>
          <w:kern w:val="0"/>
          <w:sz w:val="28"/>
          <w:szCs w:val="28"/>
        </w:rPr>
      </w:pPr>
      <w:r>
        <w:rPr>
          <w:rFonts w:eastAsia="方正仿宋_GBK"/>
          <w:snapToGrid w:val="0"/>
          <w:kern w:val="0"/>
          <w:sz w:val="28"/>
          <w:szCs w:val="28"/>
        </w:rPr>
        <w:t>注：科技进步贡献率、营商环境指数、城镇调查失业率、美丽社区建设达标率等指标省不再统计公布各市指标。单位地区生产总值二氧化碳降低、非化石能源占一次能源消费比重、单位地区生产总值建设用地占用面积下降率、林木覆盖率等指标国家及省未下达目标任务。</w:t>
      </w:r>
    </w:p>
    <w:p w14:paraId="739A11CB">
      <w:pPr>
        <w:overflowPunct w:val="0"/>
        <w:autoSpaceDE w:val="0"/>
        <w:autoSpaceDN w:val="0"/>
        <w:adjustRightInd w:val="0"/>
        <w:snapToGrid w:val="0"/>
        <w:spacing w:before="240" w:after="240" w:line="570" w:lineRule="exact"/>
        <w:jc w:val="center"/>
        <w:rPr>
          <w:rFonts w:hint="eastAsia" w:ascii="方正楷体_GBK" w:eastAsia="方正楷体_GBK"/>
          <w:snapToGrid w:val="0"/>
          <w:kern w:val="0"/>
          <w:sz w:val="32"/>
          <w:szCs w:val="32"/>
        </w:rPr>
      </w:pPr>
      <w:r>
        <w:rPr>
          <w:rFonts w:eastAsia="方正楷体_GBK"/>
          <w:snapToGrid w:val="0"/>
          <w:sz w:val="32"/>
          <w:szCs w:val="32"/>
        </w:rPr>
        <w:br w:type="page"/>
      </w:r>
      <w:bookmarkStart w:id="7" w:name="_Toc962"/>
      <w:r>
        <w:rPr>
          <w:rFonts w:hint="eastAsia" w:ascii="方正楷体_GBK" w:eastAsia="方正楷体_GBK"/>
          <w:snapToGrid w:val="0"/>
          <w:kern w:val="0"/>
          <w:sz w:val="32"/>
          <w:szCs w:val="32"/>
        </w:rPr>
        <w:t>第二节  发展环境</w:t>
      </w:r>
      <w:bookmarkEnd w:id="7"/>
    </w:p>
    <w:p w14:paraId="68F14727">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“十五五”时期，发展环境面临深刻复杂变化，战略机遇和风险挑战并存、不确定难预料因素增多，需要积极适应并应对六个“加速”。</w:t>
      </w:r>
    </w:p>
    <w:p w14:paraId="0D52226A">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以中美竞争为焦点的国际经贸斗争加速演变。</w:t>
      </w:r>
      <w:r>
        <w:rPr>
          <w:rFonts w:eastAsia="方正仿宋_GBK"/>
          <w:snapToGrid w:val="0"/>
          <w:kern w:val="0"/>
          <w:sz w:val="32"/>
          <w:szCs w:val="32"/>
        </w:rPr>
        <w:t>中美博弈进入关键相持期，当前虽然呈现企稳迹象，但“斗而不破”状态仍会持续。国际经济贸易秩序遇到严峻挑战，单边主义、保护主义抬头，全球经济贸易显现集团化、区域化甚至碎片化倾向，西方发达国家和跨国公司通过调整产业布局和生产制造范式，推动传统制造业回溯本国。全球经济增长动能不足，结合国际货币基金组织（IMF）等多方机构预测，今后五年世界经济增速将放缓到3%左右，发达经济体将困于“高失业、高赤字、高债务”等问题，许多新兴经济体和发展中国家面临的金融环境更加严峻。</w:t>
      </w:r>
    </w:p>
    <w:p w14:paraId="07D3503E">
      <w:pPr>
        <w:overflowPunct w:val="0"/>
        <w:autoSpaceDE w:val="0"/>
        <w:autoSpaceDN w:val="0"/>
        <w:adjustRightInd w:val="0"/>
        <w:snapToGrid w:val="0"/>
        <w:spacing w:line="570" w:lineRule="exact"/>
        <w:ind w:firstLine="641"/>
        <w:rPr>
          <w:rFonts w:eastAsia="方正仿宋_GBK"/>
          <w:snapToGrid w:val="0"/>
          <w:kern w:val="0"/>
          <w:sz w:val="32"/>
          <w:szCs w:val="32"/>
        </w:rPr>
      </w:pPr>
      <w:bookmarkStart w:id="8" w:name="_Toc26628"/>
      <w:r>
        <w:rPr>
          <w:rFonts w:eastAsia="方正仿宋_GBK"/>
          <w:bCs/>
          <w:snapToGrid w:val="0"/>
          <w:kern w:val="0"/>
          <w:sz w:val="32"/>
          <w:szCs w:val="32"/>
        </w:rPr>
        <w:t>以人工智能为引领的新科技革命加速迸发</w:t>
      </w:r>
      <w:bookmarkEnd w:id="8"/>
      <w:r>
        <w:rPr>
          <w:rFonts w:eastAsia="方正仿宋_GBK"/>
          <w:bCs/>
          <w:snapToGrid w:val="0"/>
          <w:kern w:val="0"/>
          <w:sz w:val="32"/>
          <w:szCs w:val="32"/>
        </w:rPr>
        <w:t>。</w:t>
      </w:r>
      <w:r>
        <w:rPr>
          <w:rFonts w:eastAsia="方正仿宋_GBK"/>
          <w:snapToGrid w:val="0"/>
          <w:kern w:val="0"/>
          <w:sz w:val="32"/>
          <w:szCs w:val="32"/>
        </w:rPr>
        <w:t>全球新一轮技术革命正处于加速变革、突破发展期，预计人工智能、服务贸易和数字贸易、新能源及产品，将成为“十五五”时期重塑全球经济秩序的三大新动力。新技术新产业新业态将面临集群突破，人工智能、生命科技、能源科技、空天技术等一系列新赛道加速涌现，通用垂类大模型、生成式人工智能已在研发设计、生产制造、公共服务等领域崭露头角。国家层面积极部署“人工智能+”行动，明确到2027年率先实现人工智能与科学技术、产业发展、消费提质、民生福祉、治理能力、全球合作等6大重点领域广泛深度融合，加快形成人机协同、跨界融合、共创分享的智能经济和智能社会新形态。</w:t>
      </w:r>
    </w:p>
    <w:p w14:paraId="7CD7B5C2">
      <w:pPr>
        <w:overflowPunct w:val="0"/>
        <w:autoSpaceDE w:val="0"/>
        <w:autoSpaceDN w:val="0"/>
        <w:adjustRightInd w:val="0"/>
        <w:snapToGrid w:val="0"/>
        <w:spacing w:line="570" w:lineRule="exact"/>
        <w:ind w:firstLine="641"/>
        <w:rPr>
          <w:rFonts w:eastAsia="方正仿宋_GBK"/>
          <w:snapToGrid w:val="0"/>
          <w:kern w:val="0"/>
          <w:sz w:val="32"/>
          <w:szCs w:val="32"/>
        </w:rPr>
      </w:pPr>
      <w:bookmarkStart w:id="9" w:name="_Toc15706"/>
      <w:r>
        <w:rPr>
          <w:rFonts w:eastAsia="方正仿宋_GBK"/>
          <w:bCs/>
          <w:snapToGrid w:val="0"/>
          <w:kern w:val="0"/>
          <w:sz w:val="32"/>
          <w:szCs w:val="32"/>
        </w:rPr>
        <w:t>以全面深化改革为动力的中国式现代化加速推进</w:t>
      </w:r>
      <w:bookmarkEnd w:id="9"/>
      <w:r>
        <w:rPr>
          <w:rFonts w:eastAsia="方正仿宋_GBK"/>
          <w:bCs/>
          <w:snapToGrid w:val="0"/>
          <w:kern w:val="0"/>
          <w:sz w:val="32"/>
          <w:szCs w:val="32"/>
        </w:rPr>
        <w:t>。</w:t>
      </w:r>
      <w:r>
        <w:rPr>
          <w:rFonts w:eastAsia="方正仿宋_GBK"/>
          <w:snapToGrid w:val="0"/>
          <w:kern w:val="0"/>
          <w:sz w:val="32"/>
          <w:szCs w:val="32"/>
        </w:rPr>
        <w:t>党的二十届三中全会围绕进一步全面深化改革、推进中国式现代化问题作出系统部署，明确到2029年基本完成各项改革任务。要求加快推进新型工业化，健全重点产业链发展体制机制，完善促进数字产业化和产业数字化政策体系，推动各类先进生产要素向发展新质生产力集聚。完善要素市场制度和规则，推动生产要素畅通流动、各类资源高效配置、市场潜力充分释放。将推动经济社会发展绿色化、低碳化作为实现高质量发展的关键环节，加快实现“双碳”目标、建设美丽中国。促进城乡共同繁荣发展，全面提高城乡规划、建设、治理融合水平，持续缩小城乡差别。</w:t>
      </w:r>
    </w:p>
    <w:p w14:paraId="61566242">
      <w:pPr>
        <w:overflowPunct w:val="0"/>
        <w:autoSpaceDE w:val="0"/>
        <w:autoSpaceDN w:val="0"/>
        <w:adjustRightInd w:val="0"/>
        <w:snapToGrid w:val="0"/>
        <w:spacing w:line="570" w:lineRule="exact"/>
        <w:ind w:firstLine="641"/>
        <w:rPr>
          <w:rFonts w:eastAsia="方正仿宋_GBK"/>
          <w:snapToGrid w:val="0"/>
          <w:kern w:val="0"/>
          <w:sz w:val="32"/>
          <w:szCs w:val="32"/>
        </w:rPr>
      </w:pPr>
      <w:bookmarkStart w:id="10" w:name="_Toc14486"/>
      <w:r>
        <w:rPr>
          <w:rFonts w:eastAsia="方正仿宋_GBK"/>
          <w:bCs/>
          <w:snapToGrid w:val="0"/>
          <w:kern w:val="0"/>
          <w:sz w:val="32"/>
          <w:szCs w:val="32"/>
        </w:rPr>
        <w:t>以“四稳”为导向的国家宏观政策效应加速释放</w:t>
      </w:r>
      <w:bookmarkEnd w:id="10"/>
      <w:r>
        <w:rPr>
          <w:rFonts w:eastAsia="方正仿宋_GBK"/>
          <w:bCs/>
          <w:snapToGrid w:val="0"/>
          <w:kern w:val="0"/>
          <w:sz w:val="32"/>
          <w:szCs w:val="32"/>
        </w:rPr>
        <w:t>。</w:t>
      </w:r>
      <w:r>
        <w:rPr>
          <w:rFonts w:eastAsia="方正仿宋_GBK"/>
          <w:snapToGrid w:val="0"/>
          <w:kern w:val="0"/>
          <w:sz w:val="32"/>
          <w:szCs w:val="32"/>
        </w:rPr>
        <w:t>当前外部环境复杂性、严峻性、不确定性较大，国内有效需求不足，国内大循环存在卡点堵点。中央政治局会议强调，着力稳就业、稳企业、稳市场、稳预期，有力促进国内国际双循环。党的二十届四中全会明确要坚持惠民生和促消费、投资于物和投资于人紧密结合，以新需求引领新供给，以新供给创造新需求，促进消费和投资、供给和需求良性互动。当前，国家正深入实施提振消费专项行动，高质量推动“两重”建设、开展城市更新，预计“十五五”时期，国家将持续在扩大内需增长动能、强化国产替代使用、鼓励企业出海布局、打造国际市场网络等领域加大力度，宏观经济政策的民生导向也将不断强化。</w:t>
      </w:r>
    </w:p>
    <w:p w14:paraId="448CCA92">
      <w:pPr>
        <w:overflowPunct w:val="0"/>
        <w:autoSpaceDE w:val="0"/>
        <w:autoSpaceDN w:val="0"/>
        <w:adjustRightInd w:val="0"/>
        <w:snapToGrid w:val="0"/>
        <w:spacing w:line="550" w:lineRule="exact"/>
        <w:ind w:firstLine="641"/>
        <w:rPr>
          <w:rFonts w:eastAsia="方正仿宋_GBK"/>
          <w:snapToGrid w:val="0"/>
          <w:kern w:val="0"/>
          <w:sz w:val="32"/>
          <w:szCs w:val="32"/>
        </w:rPr>
      </w:pPr>
      <w:bookmarkStart w:id="11" w:name="_Toc14365"/>
      <w:r>
        <w:rPr>
          <w:rFonts w:eastAsia="方正仿宋_GBK"/>
          <w:bCs/>
          <w:snapToGrid w:val="0"/>
          <w:kern w:val="0"/>
          <w:sz w:val="32"/>
          <w:szCs w:val="32"/>
        </w:rPr>
        <w:t>以协调开放为特征的区域融合格局加速形成</w:t>
      </w:r>
      <w:bookmarkEnd w:id="11"/>
      <w:r>
        <w:rPr>
          <w:rFonts w:eastAsia="方正仿宋_GBK"/>
          <w:bCs/>
          <w:snapToGrid w:val="0"/>
          <w:kern w:val="0"/>
          <w:sz w:val="32"/>
          <w:szCs w:val="32"/>
        </w:rPr>
        <w:t>。</w:t>
      </w:r>
      <w:r>
        <w:rPr>
          <w:rFonts w:eastAsia="方正仿宋_GBK"/>
          <w:snapToGrid w:val="0"/>
          <w:kern w:val="0"/>
          <w:sz w:val="32"/>
          <w:szCs w:val="32"/>
        </w:rPr>
        <w:t>党的十八大以来，习近平总书记亲自谋划、亲自部署、亲自推动了长三角一体化发展、长江经济带发展等一系列重大战略，构建了多中心、网络化、开放式区域协调发展新格局，形成了“中心城市—都市圈—城市群”空间功能体系，未来高质量要素和活动将围绕“圈”“群”“核”集聚展开。中央城市工作会议明确城市发展正从大规模增量扩张阶段转向存量提质增效为主的阶段，提出了“五个转变、五个更加”重要原则，明确了建设创新、宜居、美丽、韧性、文明、智慧的现代化人民城市的目标，突出高质量发展主题和内涵式发展主线是未来城市工作的重要遵循。</w:t>
      </w:r>
    </w:p>
    <w:p w14:paraId="6352B6E7">
      <w:pPr>
        <w:overflowPunct w:val="0"/>
        <w:autoSpaceDE w:val="0"/>
        <w:autoSpaceDN w:val="0"/>
        <w:adjustRightInd w:val="0"/>
        <w:snapToGrid w:val="0"/>
        <w:spacing w:line="550" w:lineRule="exact"/>
        <w:ind w:firstLine="641"/>
        <w:rPr>
          <w:rFonts w:eastAsia="方正仿宋_GBK"/>
          <w:snapToGrid w:val="0"/>
          <w:kern w:val="0"/>
          <w:sz w:val="32"/>
          <w:szCs w:val="32"/>
        </w:rPr>
      </w:pPr>
      <w:bookmarkStart w:id="12" w:name="_Toc24144"/>
      <w:r>
        <w:rPr>
          <w:rFonts w:eastAsia="方正仿宋_GBK"/>
          <w:bCs/>
          <w:snapToGrid w:val="0"/>
          <w:kern w:val="0"/>
          <w:sz w:val="32"/>
          <w:szCs w:val="32"/>
        </w:rPr>
        <w:t>以人的全面发展和共同富裕为主旨的民生实践加速深化</w:t>
      </w:r>
      <w:bookmarkEnd w:id="12"/>
      <w:r>
        <w:rPr>
          <w:rFonts w:eastAsia="方正仿宋_GBK"/>
          <w:bCs/>
          <w:snapToGrid w:val="0"/>
          <w:kern w:val="0"/>
          <w:sz w:val="32"/>
          <w:szCs w:val="32"/>
        </w:rPr>
        <w:t>。</w:t>
      </w:r>
      <w:r>
        <w:rPr>
          <w:rFonts w:eastAsia="方正仿宋_GBK"/>
          <w:snapToGrid w:val="0"/>
          <w:kern w:val="0"/>
          <w:sz w:val="32"/>
          <w:szCs w:val="32"/>
        </w:rPr>
        <w:t>党的二十届四中全会明确提出，注重在发展中保障和改善民生，在满足民生需求中拓展发展空间。随着我国社会主要矛盾的深刻转化，人民群众对美好生活的向往更加具体多样，对创造高品质生活、优化公共资源配置、社会保障可持续性等提出更高要求。“十五五”时期，随着人口高质量发展战略全面实施，人口规模集聚和人口素质较高优势将充分显现。社会政策与经济政策联动发力，民生改善与经济发展良性循环，以物质富足和精神富有为主要特征的发展成果加快实现。中等收入群体规模显著壮大，消费能力、意愿和层级有效提升，以消费主导型经济为主要特征的内需体系加快形成。</w:t>
      </w:r>
    </w:p>
    <w:p w14:paraId="6E667C99">
      <w:pPr>
        <w:overflowPunct w:val="0"/>
        <w:autoSpaceDE w:val="0"/>
        <w:autoSpaceDN w:val="0"/>
        <w:adjustRightInd w:val="0"/>
        <w:snapToGrid w:val="0"/>
        <w:spacing w:line="550" w:lineRule="exact"/>
        <w:ind w:firstLine="641"/>
        <w:rPr>
          <w:rFonts w:eastAsia="方正仿宋_GBK"/>
          <w:snapToGrid w:val="0"/>
          <w:kern w:val="0"/>
          <w:sz w:val="32"/>
          <w:szCs w:val="32"/>
        </w:rPr>
      </w:pPr>
      <w:r>
        <w:rPr>
          <w:rFonts w:eastAsia="方正仿宋_GBK"/>
          <w:snapToGrid w:val="0"/>
          <w:kern w:val="0"/>
          <w:sz w:val="32"/>
          <w:szCs w:val="32"/>
        </w:rPr>
        <w:t>总的来说，“十五五”时期是推进中国式现代化常州新实践的关键五年，全市发展进入新阶段：万亿之城再攀升的攻坚突破期、产业发展再升级的拓维增效期、创新驱动再发力的加速推进期、改革开放再深化的关键窗口期、空间功能再优化的整合提升期、美好生活再增色的提质跃升期。同时应清醒看到，常州经济社会发展中一些制约高质量发展的深层次问题尚未得到根本解决：产业发展方面，制造业高原多高峰少、结构重偏传统、配套多终端少，对新能源产业依存度较高，未来产业虽有布局但短时间内还难形成支撑；现代服务业发展相对滞后。科技创新方面，科创载体平台建设重硬件轻软件，能级相对不高、引领作用发挥不够明显，创新策源能力较为薄弱；民营经济创新转型动力不足；高端人才吸引能力有待提升。城乡建设方面，城乡规划建设管理水平有待提升，城区中心功能不够彰显、集聚度不高，城市建筑风貌、整体视觉形象还不协调、辨识度不高；好房子供应不充分；创新型载体和文化型空间不足。民生幸福方面，人口结构深度转变，老龄化、少子化趋势加重，养老服务供需矛盾突出，本地劳动力供给总量减少；优质教育、医疗机构布局集中，公共服务公平普惠性不均衡。统筹发展和安全、防范化解风险隐患、社会治理等方面仍有不少短板弱项。</w:t>
      </w:r>
    </w:p>
    <w:p w14:paraId="712ABF12">
      <w:pPr>
        <w:overflowPunct w:val="0"/>
        <w:autoSpaceDE w:val="0"/>
        <w:autoSpaceDN w:val="0"/>
        <w:adjustRightInd w:val="0"/>
        <w:snapToGrid w:val="0"/>
        <w:spacing w:line="550" w:lineRule="exact"/>
        <w:ind w:firstLine="641"/>
        <w:rPr>
          <w:rFonts w:eastAsia="方正仿宋_GBK"/>
          <w:snapToGrid w:val="0"/>
          <w:kern w:val="0"/>
          <w:sz w:val="32"/>
          <w:szCs w:val="32"/>
        </w:rPr>
      </w:pPr>
      <w:r>
        <w:rPr>
          <w:rFonts w:eastAsia="方正仿宋_GBK"/>
          <w:snapToGrid w:val="0"/>
          <w:kern w:val="0"/>
          <w:sz w:val="32"/>
          <w:szCs w:val="32"/>
        </w:rPr>
        <w:t>面向未来，必须积极识变应变求变，保持战略定力，增强必胜信心，发扬斗争精神，集中力量扬优势补短板、克难关迎挑战、增动能提能级，努力实现更高质量、更有效率、更加公平、更可持续、更为安全的发展。</w:t>
      </w:r>
    </w:p>
    <w:p w14:paraId="6D34AD1F">
      <w:pPr>
        <w:overflowPunct w:val="0"/>
        <w:autoSpaceDE w:val="0"/>
        <w:autoSpaceDN w:val="0"/>
        <w:adjustRightInd w:val="0"/>
        <w:snapToGrid w:val="0"/>
        <w:spacing w:before="240" w:after="240" w:line="570" w:lineRule="exact"/>
        <w:jc w:val="center"/>
        <w:rPr>
          <w:rFonts w:ascii="方正楷体_GBK" w:eastAsia="方正楷体_GBK"/>
          <w:snapToGrid w:val="0"/>
          <w:kern w:val="0"/>
          <w:sz w:val="32"/>
          <w:szCs w:val="32"/>
        </w:rPr>
      </w:pPr>
      <w:bookmarkStart w:id="13" w:name="_Toc30195"/>
      <w:r>
        <w:rPr>
          <w:rFonts w:ascii="方正楷体_GBK" w:eastAsia="方正楷体_GBK"/>
          <w:snapToGrid w:val="0"/>
          <w:kern w:val="0"/>
          <w:sz w:val="32"/>
          <w:szCs w:val="32"/>
        </w:rPr>
        <w:t>第三节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指导思想</w:t>
      </w:r>
      <w:bookmarkEnd w:id="13"/>
    </w:p>
    <w:p w14:paraId="00D8551E">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snapToGrid w:val="0"/>
          <w:kern w:val="0"/>
          <w:sz w:val="32"/>
          <w:szCs w:val="32"/>
        </w:rPr>
        <w:t>坚持马克思列宁主义、毛泽东思想、邓小平理论、“三个代表”重要思想、科学发展观，全面贯彻习近平新时代中国特色社会主义思想，深入贯彻党的二十大和二十届历次全会精神，认真学习贯彻习近平总书记对江苏工作重要讲话精神，完整准确全面贯彻新发展理念，服务构建新发展格局，坚持稳中求进工作总基调，坚持以经济建设为中心，以推动高质量发展为主题，以改革创新为根本动力，以满足人民日益增长的美好生活需要为根本目的，以全面从严治党为根本保障，推动经济实现质的有效提升和量的合理增长，推动人的全面发展、全体人民共同富裕迈出坚实步伐，加快建设“国际化智造名城、长三角创新高地”，奋力书写好中国式现代化常州答卷，为全国全省大局作出新的更大贡献。</w:t>
      </w:r>
    </w:p>
    <w:p w14:paraId="1895D194">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推进“十五五”高质量发展，必须牢牢把握以下要求：</w:t>
      </w:r>
    </w:p>
    <w:p w14:paraId="407B72C6">
      <w:pPr>
        <w:overflowPunct w:val="0"/>
        <w:autoSpaceDE w:val="0"/>
        <w:autoSpaceDN w:val="0"/>
        <w:adjustRightInd w:val="0"/>
        <w:snapToGrid w:val="0"/>
        <w:spacing w:line="570" w:lineRule="exact"/>
        <w:ind w:firstLine="641"/>
        <w:rPr>
          <w:rFonts w:eastAsia="方正仿宋_GBK"/>
          <w:snapToGrid w:val="0"/>
          <w:kern w:val="0"/>
          <w:sz w:val="32"/>
          <w:szCs w:val="32"/>
        </w:rPr>
      </w:pPr>
      <w:r>
        <w:rPr>
          <w:rFonts w:ascii="黑体" w:hAnsi="黑体" w:eastAsia="黑体"/>
          <w:snapToGrid w:val="0"/>
          <w:kern w:val="0"/>
          <w:sz w:val="32"/>
          <w:szCs w:val="32"/>
        </w:rPr>
        <w:t>——</w:t>
      </w:r>
      <w:r>
        <w:rPr>
          <w:rFonts w:eastAsia="方正仿宋_GBK"/>
          <w:snapToGrid w:val="0"/>
          <w:kern w:val="0"/>
          <w:sz w:val="32"/>
          <w:szCs w:val="32"/>
        </w:rPr>
        <w:t>坚持党的全面领导。坚持和完善党领导经济社会发展的体制机制，树立和践行正确政绩观，不断提高把方向、谋大局、定政策、促改革能力，为现代化建设提供根本保证。</w:t>
      </w:r>
    </w:p>
    <w:p w14:paraId="503EFFE5">
      <w:pPr>
        <w:overflowPunct w:val="0"/>
        <w:autoSpaceDE w:val="0"/>
        <w:autoSpaceDN w:val="0"/>
        <w:adjustRightInd w:val="0"/>
        <w:snapToGrid w:val="0"/>
        <w:spacing w:line="570" w:lineRule="exact"/>
        <w:ind w:firstLine="641"/>
        <w:rPr>
          <w:rFonts w:eastAsia="方正仿宋_GBK"/>
          <w:snapToGrid w:val="0"/>
          <w:kern w:val="0"/>
          <w:sz w:val="32"/>
          <w:szCs w:val="32"/>
        </w:rPr>
      </w:pPr>
      <w:r>
        <w:rPr>
          <w:rFonts w:ascii="黑体" w:hAnsi="黑体" w:eastAsia="黑体"/>
          <w:snapToGrid w:val="0"/>
          <w:kern w:val="0"/>
          <w:sz w:val="32"/>
          <w:szCs w:val="32"/>
        </w:rPr>
        <w:t>——</w:t>
      </w:r>
      <w:r>
        <w:rPr>
          <w:rFonts w:eastAsia="方正仿宋_GBK"/>
          <w:snapToGrid w:val="0"/>
          <w:kern w:val="0"/>
          <w:sz w:val="32"/>
          <w:szCs w:val="32"/>
        </w:rPr>
        <w:t>坚持人民至上。尊重人民主体地位，坚持共同富裕方向，促进社会公平正义，坚持惠民生和促消费、投资于物和投资于人紧密结合，全力解决人民群众“急难愁盼”问题，确保发展成果更多更公平惠及全体人民。</w:t>
      </w:r>
    </w:p>
    <w:p w14:paraId="7CA067E8">
      <w:pPr>
        <w:overflowPunct w:val="0"/>
        <w:autoSpaceDE w:val="0"/>
        <w:autoSpaceDN w:val="0"/>
        <w:adjustRightInd w:val="0"/>
        <w:snapToGrid w:val="0"/>
        <w:spacing w:line="570" w:lineRule="exact"/>
        <w:ind w:firstLine="641"/>
        <w:rPr>
          <w:rFonts w:eastAsia="方正仿宋_GBK"/>
          <w:snapToGrid w:val="0"/>
          <w:kern w:val="0"/>
          <w:sz w:val="32"/>
          <w:szCs w:val="32"/>
        </w:rPr>
      </w:pPr>
      <w:r>
        <w:rPr>
          <w:rFonts w:ascii="黑体" w:hAnsi="黑体" w:eastAsia="黑体"/>
          <w:snapToGrid w:val="0"/>
          <w:kern w:val="0"/>
          <w:sz w:val="32"/>
          <w:szCs w:val="32"/>
        </w:rPr>
        <w:t>——</w:t>
      </w:r>
      <w:r>
        <w:rPr>
          <w:rFonts w:eastAsia="方正仿宋_GBK"/>
          <w:snapToGrid w:val="0"/>
          <w:kern w:val="0"/>
          <w:sz w:val="32"/>
          <w:szCs w:val="32"/>
        </w:rPr>
        <w:t>坚持高质量发展。始终以新发展理念引领发展，坚持工业立市、制造强市、质量兴市不动摇，把因地制宜发展新质生产力摆在更加突出位置，促进科技创新和产业创新融合发展，统筹做优增量和盘活存量，推动经济持续健康发展和社会全面进步。</w:t>
      </w:r>
    </w:p>
    <w:p w14:paraId="733F24D2">
      <w:pPr>
        <w:overflowPunct w:val="0"/>
        <w:autoSpaceDE w:val="0"/>
        <w:autoSpaceDN w:val="0"/>
        <w:adjustRightInd w:val="0"/>
        <w:snapToGrid w:val="0"/>
        <w:spacing w:line="570" w:lineRule="exact"/>
        <w:ind w:firstLine="641"/>
        <w:rPr>
          <w:rFonts w:eastAsia="方正仿宋_GBK"/>
          <w:snapToGrid w:val="0"/>
          <w:kern w:val="0"/>
          <w:sz w:val="32"/>
          <w:szCs w:val="32"/>
        </w:rPr>
      </w:pPr>
      <w:r>
        <w:rPr>
          <w:rFonts w:ascii="黑体" w:hAnsi="黑体" w:eastAsia="黑体"/>
          <w:snapToGrid w:val="0"/>
          <w:kern w:val="0"/>
          <w:sz w:val="32"/>
          <w:szCs w:val="32"/>
        </w:rPr>
        <w:t>——</w:t>
      </w:r>
      <w:r>
        <w:rPr>
          <w:rFonts w:eastAsia="方正仿宋_GBK"/>
          <w:snapToGrid w:val="0"/>
          <w:kern w:val="0"/>
          <w:sz w:val="32"/>
          <w:szCs w:val="32"/>
        </w:rPr>
        <w:t>坚持全面深化改革。聚焦制约高质量发展的体制机制障碍，积极探索一批常州试点先行、发展迫切需要、具有牵引意义的改革事项，推动改革向更深层次挺进、开放向更高水平跃升，持续增强发展的内生动力和活力。</w:t>
      </w:r>
    </w:p>
    <w:p w14:paraId="107197A7">
      <w:pPr>
        <w:overflowPunct w:val="0"/>
        <w:autoSpaceDE w:val="0"/>
        <w:autoSpaceDN w:val="0"/>
        <w:adjustRightInd w:val="0"/>
        <w:snapToGrid w:val="0"/>
        <w:spacing w:line="570" w:lineRule="exact"/>
        <w:ind w:firstLine="641"/>
        <w:rPr>
          <w:rFonts w:eastAsia="方正仿宋_GBK"/>
          <w:strike/>
          <w:snapToGrid w:val="0"/>
          <w:kern w:val="0"/>
          <w:sz w:val="32"/>
          <w:szCs w:val="32"/>
        </w:rPr>
      </w:pPr>
      <w:r>
        <w:rPr>
          <w:rFonts w:ascii="黑体" w:hAnsi="黑体" w:eastAsia="黑体"/>
          <w:snapToGrid w:val="0"/>
          <w:kern w:val="0"/>
          <w:sz w:val="32"/>
          <w:szCs w:val="32"/>
        </w:rPr>
        <w:t>——</w:t>
      </w:r>
      <w:r>
        <w:rPr>
          <w:rFonts w:eastAsia="方正仿宋_GBK"/>
          <w:snapToGrid w:val="0"/>
          <w:kern w:val="0"/>
          <w:sz w:val="32"/>
          <w:szCs w:val="32"/>
        </w:rPr>
        <w:t>坚持有效市场和有为政府相结合。充分发挥市场在资源配置中的决定性作用，更好发挥政府作用，打造市场化法治化国际化一流营商环境，构建亲清统一的新型政商关系，持续激发市场活力、制度活力和社会创造力。</w:t>
      </w:r>
    </w:p>
    <w:p w14:paraId="5E6CBD0C">
      <w:pPr>
        <w:overflowPunct w:val="0"/>
        <w:autoSpaceDE w:val="0"/>
        <w:autoSpaceDN w:val="0"/>
        <w:adjustRightInd w:val="0"/>
        <w:snapToGrid w:val="0"/>
        <w:spacing w:line="570" w:lineRule="exact"/>
        <w:ind w:firstLine="641"/>
        <w:rPr>
          <w:rFonts w:eastAsia="方正仿宋_GBK"/>
          <w:snapToGrid w:val="0"/>
          <w:kern w:val="0"/>
          <w:sz w:val="32"/>
          <w:szCs w:val="32"/>
        </w:rPr>
      </w:pPr>
      <w:r>
        <w:rPr>
          <w:rFonts w:ascii="黑体" w:hAnsi="黑体" w:eastAsia="黑体"/>
          <w:snapToGrid w:val="0"/>
          <w:kern w:val="0"/>
          <w:sz w:val="32"/>
          <w:szCs w:val="32"/>
        </w:rPr>
        <w:t>——</w:t>
      </w:r>
      <w:r>
        <w:rPr>
          <w:rFonts w:eastAsia="方正仿宋_GBK"/>
          <w:snapToGrid w:val="0"/>
          <w:kern w:val="0"/>
          <w:sz w:val="32"/>
          <w:szCs w:val="32"/>
        </w:rPr>
        <w:t>坚持统筹发展和安全。在发展中固安全，在安全中谋发展，强化底线思维、极限思维，有效防范化解各类风险，有力维护全市大局和谐稳定，以新安全格局保障新发展格局。</w:t>
      </w:r>
    </w:p>
    <w:p w14:paraId="07FBEB78">
      <w:pPr>
        <w:overflowPunct w:val="0"/>
        <w:autoSpaceDE w:val="0"/>
        <w:autoSpaceDN w:val="0"/>
        <w:adjustRightInd w:val="0"/>
        <w:snapToGrid w:val="0"/>
        <w:spacing w:before="240" w:after="240" w:line="570" w:lineRule="exact"/>
        <w:jc w:val="center"/>
        <w:rPr>
          <w:rFonts w:ascii="方正楷体_GBK" w:eastAsia="方正楷体_GBK"/>
          <w:snapToGrid w:val="0"/>
          <w:kern w:val="0"/>
          <w:sz w:val="32"/>
          <w:szCs w:val="32"/>
        </w:rPr>
      </w:pPr>
      <w:bookmarkStart w:id="14" w:name="_Toc8454"/>
      <w:r>
        <w:rPr>
          <w:rFonts w:ascii="方正楷体_GBK" w:eastAsia="方正楷体_GBK"/>
          <w:snapToGrid w:val="0"/>
          <w:kern w:val="0"/>
          <w:sz w:val="32"/>
          <w:szCs w:val="32"/>
        </w:rPr>
        <w:t xml:space="preserve">第四节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主要目标</w:t>
      </w:r>
      <w:bookmarkEnd w:id="14"/>
    </w:p>
    <w:p w14:paraId="05AC8863">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“十五五”时期经济社会发展的主要目标是：</w:t>
      </w:r>
    </w:p>
    <w:p w14:paraId="1E97D005">
      <w:pPr>
        <w:overflowPunct w:val="0"/>
        <w:autoSpaceDE w:val="0"/>
        <w:autoSpaceDN w:val="0"/>
        <w:adjustRightInd w:val="0"/>
        <w:snapToGrid w:val="0"/>
        <w:spacing w:line="570" w:lineRule="exact"/>
        <w:ind w:firstLine="641"/>
        <w:rPr>
          <w:rFonts w:eastAsia="方正仿宋_GBK"/>
          <w:snapToGrid w:val="0"/>
          <w:kern w:val="0"/>
          <w:sz w:val="32"/>
          <w:szCs w:val="32"/>
        </w:rPr>
      </w:pPr>
      <w:r>
        <w:rPr>
          <w:rFonts w:ascii="黑体" w:hAnsi="黑体" w:eastAsia="黑体"/>
          <w:snapToGrid w:val="0"/>
          <w:kern w:val="0"/>
          <w:sz w:val="32"/>
          <w:szCs w:val="32"/>
        </w:rPr>
        <w:t>——</w:t>
      </w:r>
      <w:r>
        <w:rPr>
          <w:rFonts w:eastAsia="方正仿宋_GBK"/>
          <w:bCs/>
          <w:snapToGrid w:val="0"/>
          <w:kern w:val="0"/>
          <w:sz w:val="32"/>
          <w:szCs w:val="32"/>
        </w:rPr>
        <w:t>高质量发展迈上新台阶。</w:t>
      </w:r>
      <w:r>
        <w:rPr>
          <w:rFonts w:eastAsia="方正仿宋_GBK"/>
          <w:snapToGrid w:val="0"/>
          <w:kern w:val="0"/>
          <w:sz w:val="32"/>
          <w:szCs w:val="32"/>
        </w:rPr>
        <w:t>经济增长保持在合理区间，地区生产总值年均增速在5%以上，人均GDP达到25万元，步入中等发达国家偏上水平，一般公共预算收入突破800亿元。现代化产业体系加速构建，工业规模总量达3万亿元，制造业增加值占地区生产总值比重保持在40%以上，人工智能高效赋能新型工业化，发展新质生产力的重要阵地基本建成。区域性科技创新高地建设成效显著，产业科技创新水平实现大幅跃升，研发经费支出占地区生产总值比重达3.8%以上，高新技术产业产值占规模以上工业产值比重达63%左右。基本建成全国性综合交通枢纽城市，形成开放型经济新优势，资源要素集聚流动和辐射带动能力显著增强，以消费为主导的内需体系初步形成，在构建新发展格局上走在前列。</w:t>
      </w:r>
    </w:p>
    <w:p w14:paraId="5DBC31ED">
      <w:pPr>
        <w:overflowPunct w:val="0"/>
        <w:autoSpaceDE w:val="0"/>
        <w:autoSpaceDN w:val="0"/>
        <w:adjustRightInd w:val="0"/>
        <w:snapToGrid w:val="0"/>
        <w:spacing w:line="570" w:lineRule="exact"/>
        <w:ind w:firstLine="641"/>
        <w:rPr>
          <w:rFonts w:eastAsia="方正仿宋_GBK"/>
          <w:snapToGrid w:val="0"/>
          <w:kern w:val="0"/>
          <w:sz w:val="32"/>
          <w:szCs w:val="32"/>
        </w:rPr>
      </w:pPr>
      <w:r>
        <w:rPr>
          <w:rFonts w:ascii="黑体" w:hAnsi="黑体" w:eastAsia="黑体"/>
          <w:snapToGrid w:val="0"/>
          <w:kern w:val="0"/>
          <w:sz w:val="32"/>
          <w:szCs w:val="32"/>
        </w:rPr>
        <w:t>——</w:t>
      </w:r>
      <w:r>
        <w:rPr>
          <w:rFonts w:eastAsia="方正仿宋_GBK"/>
          <w:bCs/>
          <w:snapToGrid w:val="0"/>
          <w:kern w:val="0"/>
          <w:sz w:val="32"/>
          <w:szCs w:val="32"/>
        </w:rPr>
        <w:t>高品质生活得到新改善。</w:t>
      </w:r>
      <w:r>
        <w:rPr>
          <w:rFonts w:eastAsia="方正仿宋_GBK"/>
          <w:snapToGrid w:val="0"/>
          <w:kern w:val="0"/>
          <w:sz w:val="32"/>
          <w:szCs w:val="32"/>
        </w:rPr>
        <w:t>城镇就业更加充分更高质量，新增就业人数突破50万人。城乡居民收入增速与经济增速保持基本同步，中等收入群体规模稳步扩大，居民消费率稳步提升。新型城镇化和城乡融合发展水平全面提升，城乡收入差距进一步缩小。与人口变化趋势相协调的公共服务供给机制逐步完善，基本公共服务均等化水平不断提高，民生“七有”取得更大进展，居民健康素养达到国内先进水平，多层次社会保障体系更加健全。</w:t>
      </w:r>
    </w:p>
    <w:p w14:paraId="1B2E4312">
      <w:pPr>
        <w:overflowPunct w:val="0"/>
        <w:autoSpaceDE w:val="0"/>
        <w:autoSpaceDN w:val="0"/>
        <w:adjustRightInd w:val="0"/>
        <w:snapToGrid w:val="0"/>
        <w:spacing w:line="570" w:lineRule="exact"/>
        <w:ind w:firstLine="641"/>
        <w:rPr>
          <w:rFonts w:eastAsia="方正仿宋_GBK"/>
          <w:snapToGrid w:val="0"/>
          <w:kern w:val="0"/>
          <w:sz w:val="32"/>
          <w:szCs w:val="32"/>
        </w:rPr>
      </w:pPr>
      <w:r>
        <w:rPr>
          <w:rFonts w:ascii="黑体" w:hAnsi="黑体" w:eastAsia="黑体"/>
          <w:snapToGrid w:val="0"/>
          <w:kern w:val="0"/>
          <w:sz w:val="32"/>
          <w:szCs w:val="32"/>
        </w:rPr>
        <w:t>——</w:t>
      </w:r>
      <w:r>
        <w:rPr>
          <w:rFonts w:eastAsia="方正仿宋_GBK"/>
          <w:bCs/>
          <w:snapToGrid w:val="0"/>
          <w:kern w:val="0"/>
          <w:sz w:val="32"/>
          <w:szCs w:val="32"/>
        </w:rPr>
        <w:t>高标准生态展现新面貌。</w:t>
      </w:r>
      <w:r>
        <w:rPr>
          <w:rFonts w:eastAsia="方正仿宋_GBK"/>
          <w:snapToGrid w:val="0"/>
          <w:kern w:val="0"/>
          <w:sz w:val="32"/>
          <w:szCs w:val="32"/>
        </w:rPr>
        <w:t>美丽常州建设取得明显成效，自然生态、绿色生产、人居环境融合的现代化生态文明体系全面构建。长江大保护、太湖治理、大运河生态环境保护成效不断巩固，生态环境全面改善，主要污染物排放总量持续减少，生态系统多样性持续性稳定性不断提升，生态环境治理体系和治理能力现代化显著提升。经济社会发展全面绿色转型步伐显著加快，绿色生产生活方式基本形成，能源资源利用效率进一步提升，非化石能源占能源消费总量比重、能源综合生产能力完成省定目标，碳排放强度稳步下降，碳达峰目标如期实现。</w:t>
      </w:r>
    </w:p>
    <w:p w14:paraId="74E8C0E7">
      <w:pPr>
        <w:overflowPunct w:val="0"/>
        <w:autoSpaceDE w:val="0"/>
        <w:autoSpaceDN w:val="0"/>
        <w:adjustRightInd w:val="0"/>
        <w:snapToGrid w:val="0"/>
        <w:spacing w:line="570" w:lineRule="exact"/>
        <w:ind w:firstLine="641"/>
        <w:rPr>
          <w:rFonts w:eastAsia="方正仿宋_GBK"/>
          <w:snapToGrid w:val="0"/>
          <w:kern w:val="0"/>
          <w:sz w:val="32"/>
          <w:szCs w:val="32"/>
        </w:rPr>
      </w:pPr>
      <w:r>
        <w:rPr>
          <w:rFonts w:ascii="黑体" w:hAnsi="黑体" w:eastAsia="黑体"/>
          <w:snapToGrid w:val="0"/>
          <w:kern w:val="0"/>
          <w:sz w:val="32"/>
          <w:szCs w:val="32"/>
        </w:rPr>
        <w:t>——</w:t>
      </w:r>
      <w:r>
        <w:rPr>
          <w:rFonts w:eastAsia="方正仿宋_GBK"/>
          <w:bCs/>
          <w:snapToGrid w:val="0"/>
          <w:kern w:val="0"/>
          <w:sz w:val="32"/>
          <w:szCs w:val="32"/>
        </w:rPr>
        <w:t>高效能治理达到新水平。</w:t>
      </w:r>
      <w:r>
        <w:rPr>
          <w:rFonts w:eastAsia="方正仿宋_GBK"/>
          <w:snapToGrid w:val="0"/>
          <w:kern w:val="0"/>
          <w:sz w:val="32"/>
          <w:szCs w:val="32"/>
        </w:rPr>
        <w:t>新时代党的创新理论更加深入人心，社会主义核心价值观广泛传播。文化强市建设取得显著进展，文化产业发展提质增效，公共文化服务体系更加健全，文化品牌标识度愈加彰显，人民精神文化生活不断迈上新台阶。全面深化改革继续走在全省前列，重点领域改革形成特色品牌和制度成果，要素市场化配置综合改革取得显著成效，打造全国领先的营商环境标杆城市。市域治理体系和治理能力现代化居全国全省前列。高效全面的数字政府基本建成，普惠型智能社会加速建设。法治化水平不断提升，法治常州、法治政府、法治社会一体建设，全过程人民民主不断发展，社会公平正义进一步彰显。</w:t>
      </w:r>
    </w:p>
    <w:p w14:paraId="4CF12133">
      <w:pPr>
        <w:overflowPunct w:val="0"/>
        <w:autoSpaceDE w:val="0"/>
        <w:autoSpaceDN w:val="0"/>
        <w:adjustRightInd w:val="0"/>
        <w:snapToGrid w:val="0"/>
        <w:spacing w:line="570" w:lineRule="exact"/>
        <w:ind w:firstLine="641"/>
        <w:rPr>
          <w:rFonts w:eastAsia="方正仿宋_GBK"/>
          <w:snapToGrid w:val="0"/>
          <w:kern w:val="0"/>
          <w:sz w:val="32"/>
          <w:szCs w:val="32"/>
        </w:rPr>
      </w:pPr>
      <w:r>
        <w:rPr>
          <w:rFonts w:ascii="黑体" w:hAnsi="黑体" w:eastAsia="黑体"/>
          <w:snapToGrid w:val="0"/>
          <w:kern w:val="0"/>
          <w:sz w:val="32"/>
          <w:szCs w:val="32"/>
        </w:rPr>
        <w:t>——</w:t>
      </w:r>
      <w:r>
        <w:rPr>
          <w:rFonts w:eastAsia="方正仿宋_GBK"/>
          <w:bCs/>
          <w:snapToGrid w:val="0"/>
          <w:kern w:val="0"/>
          <w:sz w:val="32"/>
          <w:szCs w:val="32"/>
        </w:rPr>
        <w:t>高水平安全实现新提升。</w:t>
      </w:r>
      <w:r>
        <w:rPr>
          <w:rFonts w:eastAsia="方正仿宋_GBK"/>
          <w:snapToGrid w:val="0"/>
          <w:kern w:val="0"/>
          <w:sz w:val="32"/>
          <w:szCs w:val="32"/>
        </w:rPr>
        <w:t>防范化解重大风险体制机制不断健全，突发公共事件应急处置能力显著增强，粮食、能源、产业链供应链、金融、网络、数据等领域安全得到全面保障，本质安全水平实现系统性提升，安全发展型现代产业体系更加健全，城市安全韧性持续增强，公共安全治理水平明显提高，防灾减灾救灾能力显著提升，现代化应急管理体系和能力基本建成，发展安全保障更加有力，人民群众安全感持续提升。</w:t>
      </w:r>
    </w:p>
    <w:p w14:paraId="474F9F7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在此基础上再奋斗五年，到二</w:t>
      </w:r>
      <w:r>
        <w:rPr>
          <w:rFonts w:hint="eastAsia" w:hAnsi="方正仿宋_GBK" w:eastAsia="方正仿宋_GBK"/>
          <w:snapToGrid w:val="0"/>
          <w:kern w:val="0"/>
          <w:sz w:val="32"/>
          <w:szCs w:val="32"/>
        </w:rPr>
        <w:t>○</w:t>
      </w:r>
      <w:r>
        <w:rPr>
          <w:rFonts w:eastAsia="方正仿宋_GBK"/>
          <w:snapToGrid w:val="0"/>
          <w:kern w:val="0"/>
          <w:sz w:val="32"/>
          <w:szCs w:val="32"/>
        </w:rPr>
        <w:t>三五年实现城市综合实力、发展能级、核心竞争力大幅提升，人均地区生产总值达到更高水平，人民生活更加幸福美好，基本实现社会主义现代化。</w:t>
      </w:r>
    </w:p>
    <w:p w14:paraId="00DC025E">
      <w:pPr>
        <w:spacing w:after="156" w:afterLines="50" w:line="640" w:lineRule="exact"/>
        <w:jc w:val="center"/>
        <w:rPr>
          <w:rFonts w:eastAsia="方正小标宋_GBK"/>
          <w:snapToGrid w:val="0"/>
          <w:sz w:val="32"/>
          <w:szCs w:val="32"/>
        </w:rPr>
      </w:pPr>
      <w:r>
        <w:rPr>
          <w:rFonts w:eastAsia="方正黑体_GBK"/>
          <w:snapToGrid w:val="0"/>
          <w:sz w:val="32"/>
          <w:szCs w:val="32"/>
        </w:rPr>
        <w:br w:type="page"/>
      </w:r>
      <w:r>
        <w:rPr>
          <w:rFonts w:eastAsia="方正黑体_GBK"/>
          <w:snapToGrid w:val="0"/>
          <w:sz w:val="32"/>
          <w:szCs w:val="32"/>
        </w:rPr>
        <w:t xml:space="preserve">表1-2 </w:t>
      </w:r>
      <w:r>
        <w:rPr>
          <w:rFonts w:hint="eastAsia" w:eastAsia="方正黑体_GBK"/>
          <w:snapToGrid w:val="0"/>
          <w:sz w:val="32"/>
          <w:szCs w:val="32"/>
        </w:rPr>
        <w:t xml:space="preserve"> </w:t>
      </w:r>
      <w:r>
        <w:rPr>
          <w:rFonts w:eastAsia="方正黑体_GBK"/>
          <w:snapToGrid w:val="0"/>
          <w:sz w:val="32"/>
          <w:szCs w:val="32"/>
        </w:rPr>
        <w:t>市</w:t>
      </w:r>
      <w:r>
        <w:rPr>
          <w:rFonts w:hint="eastAsia" w:eastAsia="方正黑体_GBK"/>
          <w:snapToGrid w:val="0"/>
          <w:sz w:val="32"/>
          <w:szCs w:val="32"/>
        </w:rPr>
        <w:t>“</w:t>
      </w:r>
      <w:r>
        <w:rPr>
          <w:rFonts w:eastAsia="方正黑体_GBK"/>
          <w:snapToGrid w:val="0"/>
          <w:sz w:val="32"/>
          <w:szCs w:val="32"/>
        </w:rPr>
        <w:t>十五五</w:t>
      </w:r>
      <w:r>
        <w:rPr>
          <w:rFonts w:hint="eastAsia" w:eastAsia="方正黑体_GBK"/>
          <w:snapToGrid w:val="0"/>
          <w:sz w:val="32"/>
          <w:szCs w:val="32"/>
        </w:rPr>
        <w:t>”</w:t>
      </w:r>
      <w:r>
        <w:rPr>
          <w:rFonts w:eastAsia="方正黑体_GBK"/>
          <w:snapToGrid w:val="0"/>
          <w:sz w:val="32"/>
          <w:szCs w:val="32"/>
        </w:rPr>
        <w:t>经济社会发展主要指标</w:t>
      </w:r>
    </w:p>
    <w:tbl>
      <w:tblPr>
        <w:tblStyle w:val="2"/>
        <w:tblW w:w="51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6"/>
        <w:gridCol w:w="3810"/>
        <w:gridCol w:w="2836"/>
        <w:gridCol w:w="1803"/>
        <w:gridCol w:w="1516"/>
      </w:tblGrid>
      <w:tr w14:paraId="63EB5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907" w:type="dxa"/>
            <w:noWrap w:val="0"/>
            <w:vAlign w:val="center"/>
          </w:tcPr>
          <w:p w14:paraId="7E6E471B">
            <w:pPr>
              <w:overflowPunct w:val="0"/>
              <w:autoSpaceDE w:val="0"/>
              <w:autoSpaceDN w:val="0"/>
              <w:adjustRightInd w:val="0"/>
              <w:snapToGrid w:val="0"/>
              <w:spacing w:line="360" w:lineRule="exact"/>
              <w:jc w:val="center"/>
              <w:rPr>
                <w:rFonts w:eastAsia="方正黑体_GBK"/>
                <w:snapToGrid w:val="0"/>
                <w:kern w:val="0"/>
                <w:sz w:val="28"/>
                <w:szCs w:val="28"/>
              </w:rPr>
            </w:pPr>
            <w:r>
              <w:rPr>
                <w:rFonts w:eastAsia="方正黑体_GBK"/>
                <w:snapToGrid w:val="0"/>
                <w:kern w:val="0"/>
                <w:sz w:val="28"/>
                <w:szCs w:val="28"/>
              </w:rPr>
              <w:t>类别</w:t>
            </w:r>
          </w:p>
        </w:tc>
        <w:tc>
          <w:tcPr>
            <w:tcW w:w="5864" w:type="dxa"/>
            <w:gridSpan w:val="2"/>
            <w:noWrap w:val="0"/>
            <w:vAlign w:val="center"/>
          </w:tcPr>
          <w:p w14:paraId="43B58FAF">
            <w:pPr>
              <w:overflowPunct w:val="0"/>
              <w:autoSpaceDE w:val="0"/>
              <w:autoSpaceDN w:val="0"/>
              <w:adjustRightInd w:val="0"/>
              <w:snapToGrid w:val="0"/>
              <w:spacing w:line="360" w:lineRule="exact"/>
              <w:jc w:val="center"/>
              <w:rPr>
                <w:rFonts w:eastAsia="方正黑体_GBK"/>
                <w:snapToGrid w:val="0"/>
                <w:kern w:val="0"/>
                <w:sz w:val="28"/>
                <w:szCs w:val="28"/>
              </w:rPr>
            </w:pPr>
            <w:r>
              <w:rPr>
                <w:rFonts w:eastAsia="方正黑体_GBK"/>
                <w:snapToGrid w:val="0"/>
                <w:kern w:val="0"/>
                <w:sz w:val="28"/>
                <w:szCs w:val="28"/>
              </w:rPr>
              <w:t>指标</w:t>
            </w:r>
          </w:p>
        </w:tc>
        <w:tc>
          <w:tcPr>
            <w:tcW w:w="1587" w:type="dxa"/>
            <w:noWrap w:val="0"/>
            <w:vAlign w:val="center"/>
          </w:tcPr>
          <w:p w14:paraId="0D1AF209">
            <w:pPr>
              <w:overflowPunct w:val="0"/>
              <w:autoSpaceDE w:val="0"/>
              <w:autoSpaceDN w:val="0"/>
              <w:adjustRightInd w:val="0"/>
              <w:snapToGrid w:val="0"/>
              <w:spacing w:line="360" w:lineRule="exact"/>
              <w:jc w:val="center"/>
              <w:rPr>
                <w:rFonts w:eastAsia="方正黑体_GBK"/>
                <w:snapToGrid w:val="0"/>
                <w:kern w:val="0"/>
                <w:sz w:val="28"/>
                <w:szCs w:val="28"/>
              </w:rPr>
            </w:pPr>
            <w:r>
              <w:rPr>
                <w:rFonts w:eastAsia="方正黑体_GBK"/>
                <w:snapToGrid w:val="0"/>
                <w:kern w:val="0"/>
                <w:sz w:val="28"/>
                <w:szCs w:val="28"/>
              </w:rPr>
              <w:t>2030年</w:t>
            </w:r>
          </w:p>
          <w:p w14:paraId="05268E08">
            <w:pPr>
              <w:overflowPunct w:val="0"/>
              <w:autoSpaceDE w:val="0"/>
              <w:autoSpaceDN w:val="0"/>
              <w:adjustRightInd w:val="0"/>
              <w:snapToGrid w:val="0"/>
              <w:spacing w:line="360" w:lineRule="exact"/>
              <w:jc w:val="center"/>
              <w:rPr>
                <w:rFonts w:eastAsia="方正黑体_GBK"/>
                <w:snapToGrid w:val="0"/>
                <w:kern w:val="0"/>
                <w:sz w:val="28"/>
                <w:szCs w:val="28"/>
              </w:rPr>
            </w:pPr>
            <w:r>
              <w:rPr>
                <w:rFonts w:eastAsia="方正黑体_GBK"/>
                <w:snapToGrid w:val="0"/>
                <w:kern w:val="0"/>
                <w:sz w:val="28"/>
                <w:szCs w:val="28"/>
              </w:rPr>
              <w:t>目标值</w:t>
            </w:r>
          </w:p>
        </w:tc>
        <w:tc>
          <w:tcPr>
            <w:tcW w:w="1331" w:type="dxa"/>
            <w:noWrap w:val="0"/>
            <w:vAlign w:val="center"/>
          </w:tcPr>
          <w:p w14:paraId="5D07C302">
            <w:pPr>
              <w:overflowPunct w:val="0"/>
              <w:autoSpaceDE w:val="0"/>
              <w:autoSpaceDN w:val="0"/>
              <w:adjustRightInd w:val="0"/>
              <w:snapToGrid w:val="0"/>
              <w:spacing w:line="360" w:lineRule="exact"/>
              <w:jc w:val="center"/>
              <w:rPr>
                <w:rFonts w:eastAsia="方正黑体_GBK"/>
                <w:snapToGrid w:val="0"/>
                <w:kern w:val="0"/>
                <w:sz w:val="28"/>
                <w:szCs w:val="28"/>
              </w:rPr>
            </w:pPr>
            <w:r>
              <w:rPr>
                <w:rFonts w:eastAsia="方正黑体_GBK"/>
                <w:snapToGrid w:val="0"/>
                <w:kern w:val="0"/>
                <w:sz w:val="28"/>
                <w:szCs w:val="28"/>
              </w:rPr>
              <w:t>属性</w:t>
            </w:r>
          </w:p>
        </w:tc>
      </w:tr>
      <w:tr w14:paraId="73D35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restart"/>
            <w:noWrap w:val="0"/>
            <w:vAlign w:val="center"/>
          </w:tcPr>
          <w:p w14:paraId="0F50B82B">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经</w:t>
            </w:r>
          </w:p>
          <w:p w14:paraId="069FDCAB">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济</w:t>
            </w:r>
          </w:p>
          <w:p w14:paraId="1228E736">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强</w:t>
            </w:r>
          </w:p>
        </w:tc>
        <w:tc>
          <w:tcPr>
            <w:tcW w:w="5864" w:type="dxa"/>
            <w:gridSpan w:val="2"/>
            <w:noWrap w:val="0"/>
            <w:vAlign w:val="center"/>
          </w:tcPr>
          <w:p w14:paraId="05532BD4">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地区生产总值（GDP）增长（%）</w:t>
            </w:r>
          </w:p>
        </w:tc>
        <w:tc>
          <w:tcPr>
            <w:tcW w:w="1587" w:type="dxa"/>
            <w:noWrap w:val="0"/>
            <w:vAlign w:val="center"/>
          </w:tcPr>
          <w:p w14:paraId="0349867F">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5以上</w:t>
            </w:r>
          </w:p>
          <w:p w14:paraId="574BC354">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（年均）</w:t>
            </w:r>
          </w:p>
        </w:tc>
        <w:tc>
          <w:tcPr>
            <w:tcW w:w="1331" w:type="dxa"/>
            <w:noWrap w:val="0"/>
            <w:vAlign w:val="center"/>
          </w:tcPr>
          <w:p w14:paraId="13C04CDE">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47915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6D3DEF2F">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7604EC56">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全员劳动生产率增长（%）</w:t>
            </w:r>
          </w:p>
        </w:tc>
        <w:tc>
          <w:tcPr>
            <w:tcW w:w="1587" w:type="dxa"/>
            <w:noWrap w:val="0"/>
            <w:vAlign w:val="center"/>
          </w:tcPr>
          <w:p w14:paraId="26AA992C">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高于GDP增长</w:t>
            </w:r>
          </w:p>
        </w:tc>
        <w:tc>
          <w:tcPr>
            <w:tcW w:w="1331" w:type="dxa"/>
            <w:noWrap w:val="0"/>
            <w:vAlign w:val="center"/>
          </w:tcPr>
          <w:p w14:paraId="3AB839F0">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432C9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61AC3ADE">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4E5856DF">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地方一般公共预算收入（亿元）</w:t>
            </w:r>
          </w:p>
        </w:tc>
        <w:tc>
          <w:tcPr>
            <w:tcW w:w="1587" w:type="dxa"/>
            <w:noWrap w:val="0"/>
            <w:vAlign w:val="center"/>
          </w:tcPr>
          <w:p w14:paraId="69CBE2BA">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800以上</w:t>
            </w:r>
          </w:p>
        </w:tc>
        <w:tc>
          <w:tcPr>
            <w:tcW w:w="1331" w:type="dxa"/>
            <w:noWrap w:val="0"/>
            <w:vAlign w:val="center"/>
          </w:tcPr>
          <w:p w14:paraId="3785AC14">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34687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26550FEC">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3AC355DD">
            <w:pPr>
              <w:overflowPunct w:val="0"/>
              <w:autoSpaceDE w:val="0"/>
              <w:autoSpaceDN w:val="0"/>
              <w:adjustRightInd w:val="0"/>
              <w:snapToGrid w:val="0"/>
              <w:spacing w:line="380" w:lineRule="exact"/>
              <w:rPr>
                <w:rFonts w:eastAsia="方正仿宋_GBK"/>
                <w:snapToGrid w:val="0"/>
                <w:kern w:val="0"/>
                <w:sz w:val="28"/>
                <w:szCs w:val="28"/>
              </w:rPr>
            </w:pPr>
            <w:r>
              <w:rPr>
                <w:rFonts w:eastAsia="方正仿宋_GBK"/>
                <w:snapToGrid w:val="0"/>
                <w:kern w:val="0"/>
                <w:sz w:val="28"/>
                <w:szCs w:val="28"/>
              </w:rPr>
              <w:t>研发经费支出（R&amp;D）占地区生产总值比重（%）</w:t>
            </w:r>
          </w:p>
        </w:tc>
        <w:tc>
          <w:tcPr>
            <w:tcW w:w="1587" w:type="dxa"/>
            <w:noWrap w:val="0"/>
            <w:vAlign w:val="center"/>
          </w:tcPr>
          <w:p w14:paraId="425BABA9">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3.8以上</w:t>
            </w:r>
          </w:p>
        </w:tc>
        <w:tc>
          <w:tcPr>
            <w:tcW w:w="1331" w:type="dxa"/>
            <w:noWrap w:val="0"/>
            <w:vAlign w:val="center"/>
          </w:tcPr>
          <w:p w14:paraId="4AB54BC0">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014DB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60AA22F8">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74435191">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每万人高价值发明专利拥有量（件）</w:t>
            </w:r>
          </w:p>
        </w:tc>
        <w:tc>
          <w:tcPr>
            <w:tcW w:w="1587" w:type="dxa"/>
            <w:noWrap w:val="0"/>
            <w:vAlign w:val="center"/>
          </w:tcPr>
          <w:p w14:paraId="26D36352">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45</w:t>
            </w:r>
          </w:p>
        </w:tc>
        <w:tc>
          <w:tcPr>
            <w:tcW w:w="1331" w:type="dxa"/>
            <w:noWrap w:val="0"/>
            <w:vAlign w:val="center"/>
          </w:tcPr>
          <w:p w14:paraId="2476DE36">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485F0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27EA962C">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5E101086">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制造业增加值占地区生产总值比重（%）</w:t>
            </w:r>
          </w:p>
        </w:tc>
        <w:tc>
          <w:tcPr>
            <w:tcW w:w="1587" w:type="dxa"/>
            <w:noWrap w:val="0"/>
            <w:vAlign w:val="center"/>
          </w:tcPr>
          <w:p w14:paraId="2418D13C">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40以上</w:t>
            </w:r>
          </w:p>
        </w:tc>
        <w:tc>
          <w:tcPr>
            <w:tcW w:w="1331" w:type="dxa"/>
            <w:noWrap w:val="0"/>
            <w:vAlign w:val="center"/>
          </w:tcPr>
          <w:p w14:paraId="32DD4E6D">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3683A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04E00411">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6F0D5A90">
            <w:pPr>
              <w:overflowPunct w:val="0"/>
              <w:autoSpaceDE w:val="0"/>
              <w:autoSpaceDN w:val="0"/>
              <w:adjustRightInd w:val="0"/>
              <w:snapToGrid w:val="0"/>
              <w:spacing w:line="380" w:lineRule="exact"/>
              <w:rPr>
                <w:rFonts w:eastAsia="方正仿宋_GBK"/>
                <w:snapToGrid w:val="0"/>
                <w:kern w:val="0"/>
                <w:sz w:val="28"/>
                <w:szCs w:val="28"/>
              </w:rPr>
            </w:pPr>
            <w:r>
              <w:rPr>
                <w:rFonts w:eastAsia="方正仿宋_GBK"/>
                <w:snapToGrid w:val="0"/>
                <w:kern w:val="0"/>
                <w:sz w:val="28"/>
                <w:szCs w:val="28"/>
              </w:rPr>
              <w:t>高新技术产业产值占规模以上工业产值比重（%）</w:t>
            </w:r>
          </w:p>
        </w:tc>
        <w:tc>
          <w:tcPr>
            <w:tcW w:w="1587" w:type="dxa"/>
            <w:noWrap w:val="0"/>
            <w:vAlign w:val="center"/>
          </w:tcPr>
          <w:p w14:paraId="26F6D312">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63左右</w:t>
            </w:r>
          </w:p>
        </w:tc>
        <w:tc>
          <w:tcPr>
            <w:tcW w:w="1331" w:type="dxa"/>
            <w:noWrap w:val="0"/>
            <w:vAlign w:val="center"/>
          </w:tcPr>
          <w:p w14:paraId="3DF8A7D2">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7B2DA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69D1C0B6">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039FA9A8">
            <w:pPr>
              <w:overflowPunct w:val="0"/>
              <w:autoSpaceDE w:val="0"/>
              <w:autoSpaceDN w:val="0"/>
              <w:adjustRightInd w:val="0"/>
              <w:snapToGrid w:val="0"/>
              <w:spacing w:line="380" w:lineRule="exact"/>
              <w:rPr>
                <w:rFonts w:eastAsia="方正仿宋_GBK"/>
                <w:strike/>
                <w:snapToGrid w:val="0"/>
                <w:kern w:val="0"/>
                <w:sz w:val="28"/>
                <w:szCs w:val="28"/>
              </w:rPr>
            </w:pPr>
            <w:r>
              <w:rPr>
                <w:rFonts w:eastAsia="方正仿宋_GBK"/>
                <w:snapToGrid w:val="0"/>
                <w:kern w:val="0"/>
                <w:sz w:val="28"/>
                <w:szCs w:val="28"/>
              </w:rPr>
              <w:t>规上数字经济核心产业企业营业收入占比（%）</w:t>
            </w:r>
          </w:p>
        </w:tc>
        <w:tc>
          <w:tcPr>
            <w:tcW w:w="1587" w:type="dxa"/>
            <w:noWrap w:val="0"/>
            <w:vAlign w:val="center"/>
          </w:tcPr>
          <w:p w14:paraId="7EBA46BC">
            <w:pPr>
              <w:overflowPunct w:val="0"/>
              <w:autoSpaceDE w:val="0"/>
              <w:autoSpaceDN w:val="0"/>
              <w:adjustRightInd w:val="0"/>
              <w:snapToGrid w:val="0"/>
              <w:spacing w:line="360" w:lineRule="exact"/>
              <w:jc w:val="center"/>
              <w:rPr>
                <w:rFonts w:eastAsia="方正仿宋_GBK"/>
                <w:strike/>
                <w:snapToGrid w:val="0"/>
                <w:kern w:val="0"/>
                <w:sz w:val="28"/>
                <w:szCs w:val="28"/>
              </w:rPr>
            </w:pPr>
            <w:r>
              <w:rPr>
                <w:rFonts w:eastAsia="方正仿宋_GBK"/>
                <w:snapToGrid w:val="0"/>
                <w:kern w:val="0"/>
                <w:sz w:val="28"/>
                <w:szCs w:val="28"/>
              </w:rPr>
              <w:t>19</w:t>
            </w:r>
          </w:p>
        </w:tc>
        <w:tc>
          <w:tcPr>
            <w:tcW w:w="1331" w:type="dxa"/>
            <w:noWrap w:val="0"/>
            <w:vAlign w:val="center"/>
          </w:tcPr>
          <w:p w14:paraId="4CB8DA8A">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4FB2A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593CE504">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14BCEB8B">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规上生产性服务业营业收入年均增速（%）</w:t>
            </w:r>
          </w:p>
        </w:tc>
        <w:tc>
          <w:tcPr>
            <w:tcW w:w="1587" w:type="dxa"/>
            <w:noWrap w:val="0"/>
            <w:vAlign w:val="center"/>
          </w:tcPr>
          <w:p w14:paraId="2DF32252">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8</w:t>
            </w:r>
          </w:p>
        </w:tc>
        <w:tc>
          <w:tcPr>
            <w:tcW w:w="1331" w:type="dxa"/>
            <w:noWrap w:val="0"/>
            <w:vAlign w:val="center"/>
          </w:tcPr>
          <w:p w14:paraId="768E0E2E">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7692C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restart"/>
            <w:noWrap w:val="0"/>
            <w:vAlign w:val="center"/>
          </w:tcPr>
          <w:p w14:paraId="0FBE2F7C">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百</w:t>
            </w:r>
          </w:p>
          <w:p w14:paraId="7EE5B4F7">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姓</w:t>
            </w:r>
          </w:p>
          <w:p w14:paraId="086361B7">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富</w:t>
            </w:r>
          </w:p>
        </w:tc>
        <w:tc>
          <w:tcPr>
            <w:tcW w:w="5864" w:type="dxa"/>
            <w:gridSpan w:val="2"/>
            <w:noWrap w:val="0"/>
            <w:vAlign w:val="center"/>
          </w:tcPr>
          <w:p w14:paraId="7D51E7FD">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居民人均可支配收入增长（%）</w:t>
            </w:r>
          </w:p>
        </w:tc>
        <w:tc>
          <w:tcPr>
            <w:tcW w:w="1587" w:type="dxa"/>
            <w:noWrap w:val="0"/>
            <w:vAlign w:val="center"/>
          </w:tcPr>
          <w:p w14:paraId="7B6D1D17">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基本同步</w:t>
            </w:r>
          </w:p>
          <w:p w14:paraId="3990AF0A">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经济增长</w:t>
            </w:r>
          </w:p>
        </w:tc>
        <w:tc>
          <w:tcPr>
            <w:tcW w:w="1331" w:type="dxa"/>
            <w:noWrap w:val="0"/>
            <w:vAlign w:val="center"/>
          </w:tcPr>
          <w:p w14:paraId="65638D8A">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759D9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4561445E">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51C37264">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城镇新增就业人数（万人）</w:t>
            </w:r>
          </w:p>
        </w:tc>
        <w:tc>
          <w:tcPr>
            <w:tcW w:w="1587" w:type="dxa"/>
            <w:noWrap w:val="0"/>
            <w:vAlign w:val="center"/>
          </w:tcPr>
          <w:p w14:paraId="1C81ACE4">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50以上</w:t>
            </w:r>
          </w:p>
          <w:p w14:paraId="7ECFEE62">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（累计）</w:t>
            </w:r>
          </w:p>
        </w:tc>
        <w:tc>
          <w:tcPr>
            <w:tcW w:w="1331" w:type="dxa"/>
            <w:noWrap w:val="0"/>
            <w:vAlign w:val="center"/>
          </w:tcPr>
          <w:p w14:paraId="0E7AE7FD">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28C26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38F3BB56">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3363" w:type="dxa"/>
            <w:vMerge w:val="restart"/>
            <w:noWrap w:val="0"/>
            <w:vAlign w:val="center"/>
          </w:tcPr>
          <w:p w14:paraId="29690FDF">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每千人口拥有医护人员数</w:t>
            </w:r>
          </w:p>
        </w:tc>
        <w:tc>
          <w:tcPr>
            <w:tcW w:w="2501" w:type="dxa"/>
            <w:noWrap w:val="0"/>
            <w:vAlign w:val="center"/>
          </w:tcPr>
          <w:p w14:paraId="612C3E87">
            <w:pPr>
              <w:overflowPunct w:val="0"/>
              <w:autoSpaceDE w:val="0"/>
              <w:autoSpaceDN w:val="0"/>
              <w:adjustRightInd w:val="0"/>
              <w:snapToGrid w:val="0"/>
              <w:spacing w:line="380" w:lineRule="exact"/>
              <w:rPr>
                <w:rFonts w:eastAsia="方正仿宋_GBK"/>
                <w:snapToGrid w:val="0"/>
                <w:kern w:val="0"/>
                <w:sz w:val="28"/>
                <w:szCs w:val="28"/>
              </w:rPr>
            </w:pPr>
            <w:r>
              <w:rPr>
                <w:rFonts w:eastAsia="方正仿宋_GBK"/>
                <w:snapToGrid w:val="0"/>
                <w:kern w:val="0"/>
                <w:sz w:val="28"/>
                <w:szCs w:val="28"/>
              </w:rPr>
              <w:t>执业（助理）医师数（人）</w:t>
            </w:r>
          </w:p>
        </w:tc>
        <w:tc>
          <w:tcPr>
            <w:tcW w:w="1587" w:type="dxa"/>
            <w:noWrap w:val="0"/>
            <w:vAlign w:val="center"/>
          </w:tcPr>
          <w:p w14:paraId="1859589B">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3.7</w:t>
            </w:r>
          </w:p>
        </w:tc>
        <w:tc>
          <w:tcPr>
            <w:tcW w:w="1331" w:type="dxa"/>
            <w:noWrap w:val="0"/>
            <w:vAlign w:val="center"/>
          </w:tcPr>
          <w:p w14:paraId="2CFB4A6F">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1528F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77D80C1C">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3363" w:type="dxa"/>
            <w:vMerge w:val="continue"/>
            <w:noWrap w:val="0"/>
            <w:vAlign w:val="center"/>
          </w:tcPr>
          <w:p w14:paraId="58032B59">
            <w:pPr>
              <w:overflowPunct w:val="0"/>
              <w:autoSpaceDE w:val="0"/>
              <w:autoSpaceDN w:val="0"/>
              <w:adjustRightInd w:val="0"/>
              <w:snapToGrid w:val="0"/>
              <w:spacing w:line="360" w:lineRule="exact"/>
              <w:rPr>
                <w:rFonts w:eastAsia="方正仿宋_GBK"/>
                <w:snapToGrid w:val="0"/>
                <w:kern w:val="0"/>
                <w:sz w:val="28"/>
                <w:szCs w:val="28"/>
              </w:rPr>
            </w:pPr>
          </w:p>
        </w:tc>
        <w:tc>
          <w:tcPr>
            <w:tcW w:w="2501" w:type="dxa"/>
            <w:noWrap w:val="0"/>
            <w:vAlign w:val="center"/>
          </w:tcPr>
          <w:p w14:paraId="412EDC26">
            <w:pPr>
              <w:overflowPunct w:val="0"/>
              <w:autoSpaceDE w:val="0"/>
              <w:autoSpaceDN w:val="0"/>
              <w:adjustRightInd w:val="0"/>
              <w:snapToGrid w:val="0"/>
              <w:spacing w:line="380" w:lineRule="exact"/>
              <w:rPr>
                <w:rFonts w:eastAsia="方正仿宋_GBK"/>
                <w:snapToGrid w:val="0"/>
                <w:kern w:val="0"/>
                <w:sz w:val="28"/>
                <w:szCs w:val="28"/>
              </w:rPr>
            </w:pPr>
            <w:r>
              <w:rPr>
                <w:rFonts w:eastAsia="方正仿宋_GBK"/>
                <w:snapToGrid w:val="0"/>
                <w:kern w:val="0"/>
                <w:sz w:val="28"/>
                <w:szCs w:val="28"/>
              </w:rPr>
              <w:t>注册护士数（人）</w:t>
            </w:r>
          </w:p>
        </w:tc>
        <w:tc>
          <w:tcPr>
            <w:tcW w:w="1587" w:type="dxa"/>
            <w:noWrap w:val="0"/>
            <w:vAlign w:val="center"/>
          </w:tcPr>
          <w:p w14:paraId="43ECB3A9">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3.9</w:t>
            </w:r>
          </w:p>
        </w:tc>
        <w:tc>
          <w:tcPr>
            <w:tcW w:w="1331" w:type="dxa"/>
            <w:noWrap w:val="0"/>
            <w:vAlign w:val="center"/>
          </w:tcPr>
          <w:p w14:paraId="5124CCDF">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31FD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shd w:val="clear" w:color="auto" w:fill="auto"/>
            <w:noWrap w:val="0"/>
            <w:vAlign w:val="center"/>
          </w:tcPr>
          <w:p w14:paraId="4583A4D3">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shd w:val="clear" w:color="auto" w:fill="auto"/>
            <w:noWrap w:val="0"/>
            <w:vAlign w:val="center"/>
          </w:tcPr>
          <w:p w14:paraId="03BF2F3B">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color w:val="000000"/>
                <w:kern w:val="0"/>
                <w:sz w:val="28"/>
                <w:szCs w:val="28"/>
                <w:lang w:bidi="ar"/>
              </w:rPr>
              <w:t>养老机构护理型床位占比（%）</w:t>
            </w:r>
          </w:p>
        </w:tc>
        <w:tc>
          <w:tcPr>
            <w:tcW w:w="1587" w:type="dxa"/>
            <w:shd w:val="clear" w:color="auto" w:fill="auto"/>
            <w:noWrap w:val="0"/>
            <w:vAlign w:val="center"/>
          </w:tcPr>
          <w:p w14:paraId="7805B61D">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75</w:t>
            </w:r>
          </w:p>
        </w:tc>
        <w:tc>
          <w:tcPr>
            <w:tcW w:w="1331" w:type="dxa"/>
            <w:shd w:val="clear" w:color="auto" w:fill="auto"/>
            <w:noWrap w:val="0"/>
            <w:vAlign w:val="center"/>
          </w:tcPr>
          <w:p w14:paraId="4E909954">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0746D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shd w:val="clear" w:color="auto" w:fill="auto"/>
            <w:noWrap w:val="0"/>
            <w:vAlign w:val="center"/>
          </w:tcPr>
          <w:p w14:paraId="1080E884">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shd w:val="clear" w:color="auto" w:fill="auto"/>
            <w:noWrap w:val="0"/>
            <w:vAlign w:val="center"/>
          </w:tcPr>
          <w:p w14:paraId="66AB4717">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3岁以下婴幼儿入托率（%）</w:t>
            </w:r>
          </w:p>
        </w:tc>
        <w:tc>
          <w:tcPr>
            <w:tcW w:w="1587" w:type="dxa"/>
            <w:shd w:val="clear" w:color="auto" w:fill="auto"/>
            <w:noWrap w:val="0"/>
            <w:vAlign w:val="center"/>
          </w:tcPr>
          <w:p w14:paraId="710506E3">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完成省定目标</w:t>
            </w:r>
          </w:p>
        </w:tc>
        <w:tc>
          <w:tcPr>
            <w:tcW w:w="1331" w:type="dxa"/>
            <w:shd w:val="clear" w:color="auto" w:fill="auto"/>
            <w:noWrap w:val="0"/>
            <w:vAlign w:val="center"/>
          </w:tcPr>
          <w:p w14:paraId="0A804595">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6C9A1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shd w:val="clear" w:color="auto" w:fill="auto"/>
            <w:noWrap w:val="0"/>
            <w:vAlign w:val="center"/>
          </w:tcPr>
          <w:p w14:paraId="58C838A2">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shd w:val="clear" w:color="auto" w:fill="auto"/>
            <w:noWrap w:val="0"/>
            <w:vAlign w:val="center"/>
          </w:tcPr>
          <w:p w14:paraId="1E20AD9B">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人均预期寿命（岁）</w:t>
            </w:r>
          </w:p>
        </w:tc>
        <w:tc>
          <w:tcPr>
            <w:tcW w:w="1587" w:type="dxa"/>
            <w:shd w:val="clear" w:color="auto" w:fill="auto"/>
            <w:noWrap w:val="0"/>
            <w:vAlign w:val="center"/>
          </w:tcPr>
          <w:p w14:paraId="3E87C6C9">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高于省均</w:t>
            </w:r>
          </w:p>
        </w:tc>
        <w:tc>
          <w:tcPr>
            <w:tcW w:w="1331" w:type="dxa"/>
            <w:shd w:val="clear" w:color="auto" w:fill="auto"/>
            <w:noWrap w:val="0"/>
            <w:vAlign w:val="center"/>
          </w:tcPr>
          <w:p w14:paraId="11125FF1">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0EDFD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restart"/>
            <w:shd w:val="clear" w:color="auto" w:fill="auto"/>
            <w:noWrap w:val="0"/>
            <w:vAlign w:val="center"/>
          </w:tcPr>
          <w:p w14:paraId="435525D8">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环</w:t>
            </w:r>
          </w:p>
          <w:p w14:paraId="72194917">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境</w:t>
            </w:r>
          </w:p>
          <w:p w14:paraId="20A49573">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美</w:t>
            </w:r>
          </w:p>
        </w:tc>
        <w:tc>
          <w:tcPr>
            <w:tcW w:w="5864" w:type="dxa"/>
            <w:gridSpan w:val="2"/>
            <w:shd w:val="clear" w:color="auto" w:fill="auto"/>
            <w:noWrap w:val="0"/>
            <w:vAlign w:val="center"/>
          </w:tcPr>
          <w:p w14:paraId="3C2FE6D0">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单位GDP二氧化碳排放降低（%）</w:t>
            </w:r>
          </w:p>
        </w:tc>
        <w:tc>
          <w:tcPr>
            <w:tcW w:w="1587" w:type="dxa"/>
            <w:shd w:val="clear" w:color="auto" w:fill="auto"/>
            <w:noWrap w:val="0"/>
            <w:vAlign w:val="center"/>
          </w:tcPr>
          <w:p w14:paraId="6AB53CC1">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完成省定目标</w:t>
            </w:r>
          </w:p>
        </w:tc>
        <w:tc>
          <w:tcPr>
            <w:tcW w:w="1331" w:type="dxa"/>
            <w:shd w:val="clear" w:color="auto" w:fill="auto"/>
            <w:noWrap w:val="0"/>
            <w:vAlign w:val="center"/>
          </w:tcPr>
          <w:p w14:paraId="1E601A49">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约束性</w:t>
            </w:r>
          </w:p>
        </w:tc>
      </w:tr>
      <w:tr w14:paraId="1BE5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674D5B46">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68B63EE1">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细颗粒物（PM</w:t>
            </w:r>
            <w:r>
              <w:rPr>
                <w:rFonts w:eastAsia="方正仿宋_GBK"/>
                <w:snapToGrid w:val="0"/>
                <w:kern w:val="0"/>
                <w:sz w:val="28"/>
                <w:szCs w:val="28"/>
                <w:vertAlign w:val="subscript"/>
              </w:rPr>
              <w:t>2.5</w:t>
            </w:r>
            <w:r>
              <w:rPr>
                <w:rFonts w:eastAsia="方正仿宋_GBK"/>
                <w:snapToGrid w:val="0"/>
                <w:kern w:val="0"/>
                <w:sz w:val="28"/>
                <w:szCs w:val="28"/>
              </w:rPr>
              <w:t>）浓度（微克/立方米）</w:t>
            </w:r>
          </w:p>
        </w:tc>
        <w:tc>
          <w:tcPr>
            <w:tcW w:w="1587" w:type="dxa"/>
            <w:noWrap w:val="0"/>
            <w:vAlign w:val="center"/>
          </w:tcPr>
          <w:p w14:paraId="46723813">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30</w:t>
            </w:r>
          </w:p>
        </w:tc>
        <w:tc>
          <w:tcPr>
            <w:tcW w:w="1331" w:type="dxa"/>
            <w:noWrap w:val="0"/>
            <w:vAlign w:val="center"/>
          </w:tcPr>
          <w:p w14:paraId="61C92B51">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约束性</w:t>
            </w:r>
          </w:p>
        </w:tc>
      </w:tr>
      <w:tr w14:paraId="1E0EF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shd w:val="clear" w:color="auto" w:fill="auto"/>
            <w:noWrap w:val="0"/>
            <w:vAlign w:val="center"/>
          </w:tcPr>
          <w:p w14:paraId="7BF0240E">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shd w:val="clear" w:color="auto" w:fill="auto"/>
            <w:noWrap w:val="0"/>
            <w:vAlign w:val="center"/>
          </w:tcPr>
          <w:p w14:paraId="7D52C1A3">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优良水体比例（%）</w:t>
            </w:r>
          </w:p>
        </w:tc>
        <w:tc>
          <w:tcPr>
            <w:tcW w:w="1587" w:type="dxa"/>
            <w:shd w:val="clear" w:color="auto" w:fill="auto"/>
            <w:noWrap w:val="0"/>
            <w:vAlign w:val="center"/>
          </w:tcPr>
          <w:p w14:paraId="21BA4FC8">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完成省定目标</w:t>
            </w:r>
          </w:p>
        </w:tc>
        <w:tc>
          <w:tcPr>
            <w:tcW w:w="1331" w:type="dxa"/>
            <w:noWrap w:val="0"/>
            <w:vAlign w:val="center"/>
          </w:tcPr>
          <w:p w14:paraId="0E2E4A2C">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约束性</w:t>
            </w:r>
          </w:p>
        </w:tc>
      </w:tr>
      <w:tr w14:paraId="4BEB1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760F753E">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60CA100B">
            <w:pPr>
              <w:overflowPunct w:val="0"/>
              <w:autoSpaceDE w:val="0"/>
              <w:autoSpaceDN w:val="0"/>
              <w:adjustRightInd w:val="0"/>
              <w:snapToGrid w:val="0"/>
              <w:spacing w:line="360" w:lineRule="exact"/>
              <w:rPr>
                <w:rFonts w:eastAsia="方正仿宋_GBK"/>
                <w:strike/>
                <w:snapToGrid w:val="0"/>
                <w:kern w:val="0"/>
                <w:sz w:val="28"/>
                <w:szCs w:val="28"/>
              </w:rPr>
            </w:pPr>
            <w:r>
              <w:rPr>
                <w:rFonts w:eastAsia="方正仿宋_GBK"/>
                <w:snapToGrid w:val="0"/>
                <w:kern w:val="0"/>
                <w:sz w:val="28"/>
                <w:szCs w:val="28"/>
              </w:rPr>
              <w:t>森林覆盖率（%）</w:t>
            </w:r>
          </w:p>
        </w:tc>
        <w:tc>
          <w:tcPr>
            <w:tcW w:w="1587" w:type="dxa"/>
            <w:noWrap w:val="0"/>
            <w:vAlign w:val="center"/>
          </w:tcPr>
          <w:p w14:paraId="62B1CC1C">
            <w:pPr>
              <w:overflowPunct w:val="0"/>
              <w:autoSpaceDE w:val="0"/>
              <w:autoSpaceDN w:val="0"/>
              <w:adjustRightInd w:val="0"/>
              <w:snapToGrid w:val="0"/>
              <w:spacing w:line="380" w:lineRule="exact"/>
              <w:jc w:val="center"/>
              <w:rPr>
                <w:rFonts w:eastAsia="方正仿宋_GBK"/>
                <w:strike/>
                <w:snapToGrid w:val="0"/>
                <w:kern w:val="0"/>
                <w:sz w:val="28"/>
                <w:szCs w:val="28"/>
              </w:rPr>
            </w:pPr>
            <w:r>
              <w:rPr>
                <w:rFonts w:eastAsia="方正仿宋_GBK"/>
                <w:snapToGrid w:val="0"/>
                <w:kern w:val="0"/>
                <w:sz w:val="28"/>
                <w:szCs w:val="28"/>
              </w:rPr>
              <w:t>完成省定目标</w:t>
            </w:r>
          </w:p>
        </w:tc>
        <w:tc>
          <w:tcPr>
            <w:tcW w:w="1331" w:type="dxa"/>
            <w:noWrap w:val="0"/>
            <w:vAlign w:val="center"/>
          </w:tcPr>
          <w:p w14:paraId="78634D05">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约束性</w:t>
            </w:r>
          </w:p>
        </w:tc>
      </w:tr>
      <w:tr w14:paraId="255FE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restart"/>
            <w:noWrap w:val="0"/>
            <w:vAlign w:val="center"/>
          </w:tcPr>
          <w:p w14:paraId="0D6383E5">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社会</w:t>
            </w:r>
          </w:p>
          <w:p w14:paraId="48E2DEB0">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文明</w:t>
            </w:r>
          </w:p>
          <w:p w14:paraId="69EB17B3">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程度</w:t>
            </w:r>
          </w:p>
          <w:p w14:paraId="51F8F069">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高</w:t>
            </w:r>
          </w:p>
        </w:tc>
        <w:tc>
          <w:tcPr>
            <w:tcW w:w="5864" w:type="dxa"/>
            <w:gridSpan w:val="2"/>
            <w:noWrap w:val="0"/>
            <w:vAlign w:val="center"/>
          </w:tcPr>
          <w:p w14:paraId="1AA6FCB9">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劳动年龄人口平均受教育年限（年）</w:t>
            </w:r>
          </w:p>
        </w:tc>
        <w:tc>
          <w:tcPr>
            <w:tcW w:w="1587" w:type="dxa"/>
            <w:noWrap w:val="0"/>
            <w:vAlign w:val="center"/>
          </w:tcPr>
          <w:p w14:paraId="5E41DB49">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完成省定目标</w:t>
            </w:r>
          </w:p>
        </w:tc>
        <w:tc>
          <w:tcPr>
            <w:tcW w:w="1331" w:type="dxa"/>
            <w:noWrap w:val="0"/>
            <w:vAlign w:val="center"/>
          </w:tcPr>
          <w:p w14:paraId="403D96DA">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约束性</w:t>
            </w:r>
          </w:p>
        </w:tc>
      </w:tr>
      <w:tr w14:paraId="525D6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7413F496">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3F3AF2B3">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新增人才数（万人）</w:t>
            </w:r>
          </w:p>
        </w:tc>
        <w:tc>
          <w:tcPr>
            <w:tcW w:w="1587" w:type="dxa"/>
            <w:noWrap w:val="0"/>
            <w:vAlign w:val="center"/>
          </w:tcPr>
          <w:p w14:paraId="198ABC59">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50</w:t>
            </w:r>
          </w:p>
          <w:p w14:paraId="713F8C9C">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（累计）</w:t>
            </w:r>
          </w:p>
        </w:tc>
        <w:tc>
          <w:tcPr>
            <w:tcW w:w="1331" w:type="dxa"/>
            <w:noWrap w:val="0"/>
            <w:vAlign w:val="center"/>
          </w:tcPr>
          <w:p w14:paraId="2C71D17E">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6C981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shd w:val="clear" w:color="auto" w:fill="auto"/>
            <w:noWrap w:val="0"/>
            <w:vAlign w:val="center"/>
          </w:tcPr>
          <w:p w14:paraId="6EFF1D6C">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shd w:val="clear" w:color="auto" w:fill="auto"/>
            <w:noWrap w:val="0"/>
            <w:vAlign w:val="center"/>
          </w:tcPr>
          <w:p w14:paraId="13ED9FB5">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文化产业增加值占GDP比重（%）</w:t>
            </w:r>
          </w:p>
        </w:tc>
        <w:tc>
          <w:tcPr>
            <w:tcW w:w="1587" w:type="dxa"/>
            <w:shd w:val="clear" w:color="auto" w:fill="auto"/>
            <w:noWrap w:val="0"/>
            <w:vAlign w:val="center"/>
          </w:tcPr>
          <w:p w14:paraId="4D97436F">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6</w:t>
            </w:r>
          </w:p>
        </w:tc>
        <w:tc>
          <w:tcPr>
            <w:tcW w:w="1331" w:type="dxa"/>
            <w:shd w:val="clear" w:color="auto" w:fill="auto"/>
            <w:noWrap w:val="0"/>
            <w:vAlign w:val="center"/>
          </w:tcPr>
          <w:p w14:paraId="04C457E8">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26E90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26CABC76">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noWrap w:val="0"/>
            <w:vAlign w:val="center"/>
          </w:tcPr>
          <w:p w14:paraId="5A486F2D">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人均体育场地面积（平方米/人）</w:t>
            </w:r>
          </w:p>
        </w:tc>
        <w:tc>
          <w:tcPr>
            <w:tcW w:w="1587" w:type="dxa"/>
            <w:noWrap w:val="0"/>
            <w:vAlign w:val="center"/>
          </w:tcPr>
          <w:p w14:paraId="2DE7AFB2">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5.03</w:t>
            </w:r>
          </w:p>
        </w:tc>
        <w:tc>
          <w:tcPr>
            <w:tcW w:w="1331" w:type="dxa"/>
            <w:noWrap w:val="0"/>
            <w:vAlign w:val="center"/>
          </w:tcPr>
          <w:p w14:paraId="1CADE5AF">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07EA6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shd w:val="clear" w:color="auto" w:fill="auto"/>
            <w:noWrap w:val="0"/>
            <w:vAlign w:val="center"/>
          </w:tcPr>
          <w:p w14:paraId="4C0946F7">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shd w:val="clear" w:color="auto" w:fill="auto"/>
            <w:noWrap w:val="0"/>
            <w:vAlign w:val="center"/>
          </w:tcPr>
          <w:p w14:paraId="4E4107D7">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法治建设满意度（分）</w:t>
            </w:r>
          </w:p>
        </w:tc>
        <w:tc>
          <w:tcPr>
            <w:tcW w:w="1587" w:type="dxa"/>
            <w:shd w:val="clear" w:color="auto" w:fill="auto"/>
            <w:noWrap w:val="0"/>
            <w:vAlign w:val="center"/>
          </w:tcPr>
          <w:p w14:paraId="47ABCEE2">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91</w:t>
            </w:r>
          </w:p>
        </w:tc>
        <w:tc>
          <w:tcPr>
            <w:tcW w:w="1331" w:type="dxa"/>
            <w:shd w:val="clear" w:color="auto" w:fill="auto"/>
            <w:noWrap w:val="0"/>
            <w:vAlign w:val="center"/>
          </w:tcPr>
          <w:p w14:paraId="25982E90">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73C45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restart"/>
            <w:shd w:val="clear" w:color="auto" w:fill="auto"/>
            <w:noWrap w:val="0"/>
            <w:vAlign w:val="center"/>
          </w:tcPr>
          <w:p w14:paraId="014BD80C">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保</w:t>
            </w:r>
          </w:p>
          <w:p w14:paraId="16C77F74">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障</w:t>
            </w:r>
          </w:p>
          <w:p w14:paraId="29934CA7">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安</w:t>
            </w:r>
          </w:p>
          <w:p w14:paraId="30E3650E">
            <w:pPr>
              <w:overflowPunct w:val="0"/>
              <w:autoSpaceDE w:val="0"/>
              <w:autoSpaceDN w:val="0"/>
              <w:adjustRightInd w:val="0"/>
              <w:snapToGrid w:val="0"/>
              <w:spacing w:line="360" w:lineRule="exact"/>
              <w:jc w:val="center"/>
              <w:rPr>
                <w:rFonts w:eastAsia="方正楷体_GBK"/>
                <w:snapToGrid w:val="0"/>
                <w:kern w:val="0"/>
                <w:sz w:val="28"/>
                <w:szCs w:val="28"/>
              </w:rPr>
            </w:pPr>
            <w:r>
              <w:rPr>
                <w:rFonts w:eastAsia="方正楷体_GBK"/>
                <w:snapToGrid w:val="0"/>
                <w:kern w:val="0"/>
                <w:sz w:val="28"/>
                <w:szCs w:val="28"/>
              </w:rPr>
              <w:t>全</w:t>
            </w:r>
          </w:p>
        </w:tc>
        <w:tc>
          <w:tcPr>
            <w:tcW w:w="5864" w:type="dxa"/>
            <w:gridSpan w:val="2"/>
            <w:shd w:val="clear" w:color="auto" w:fill="auto"/>
            <w:noWrap w:val="0"/>
            <w:vAlign w:val="center"/>
          </w:tcPr>
          <w:p w14:paraId="1F6E7D48">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耕地保有量（万公顷）</w:t>
            </w:r>
          </w:p>
        </w:tc>
        <w:tc>
          <w:tcPr>
            <w:tcW w:w="1587" w:type="dxa"/>
            <w:shd w:val="clear" w:color="auto" w:fill="auto"/>
            <w:noWrap w:val="0"/>
            <w:vAlign w:val="center"/>
          </w:tcPr>
          <w:p w14:paraId="5D7CBF0C">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8.4</w:t>
            </w:r>
          </w:p>
        </w:tc>
        <w:tc>
          <w:tcPr>
            <w:tcW w:w="1331" w:type="dxa"/>
            <w:shd w:val="clear" w:color="auto" w:fill="auto"/>
            <w:noWrap w:val="0"/>
            <w:vAlign w:val="center"/>
          </w:tcPr>
          <w:p w14:paraId="3226A0F9">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约束性</w:t>
            </w:r>
          </w:p>
        </w:tc>
      </w:tr>
      <w:tr w14:paraId="2165D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shd w:val="clear" w:color="auto" w:fill="auto"/>
            <w:noWrap w:val="0"/>
            <w:vAlign w:val="center"/>
          </w:tcPr>
          <w:p w14:paraId="0A2985D8">
            <w:pPr>
              <w:overflowPunct w:val="0"/>
              <w:autoSpaceDE w:val="0"/>
              <w:autoSpaceDN w:val="0"/>
              <w:adjustRightInd w:val="0"/>
              <w:snapToGrid w:val="0"/>
              <w:spacing w:line="360" w:lineRule="exact"/>
              <w:jc w:val="center"/>
              <w:rPr>
                <w:rFonts w:eastAsia="方正楷体_GBK"/>
                <w:snapToGrid w:val="0"/>
                <w:kern w:val="0"/>
                <w:sz w:val="28"/>
                <w:szCs w:val="28"/>
              </w:rPr>
            </w:pPr>
          </w:p>
        </w:tc>
        <w:tc>
          <w:tcPr>
            <w:tcW w:w="5864" w:type="dxa"/>
            <w:gridSpan w:val="2"/>
            <w:shd w:val="clear" w:color="auto" w:fill="auto"/>
            <w:noWrap w:val="0"/>
            <w:vAlign w:val="center"/>
          </w:tcPr>
          <w:p w14:paraId="4DAF3E86">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粮食综合生产能力（亿斤）</w:t>
            </w:r>
          </w:p>
        </w:tc>
        <w:tc>
          <w:tcPr>
            <w:tcW w:w="1587" w:type="dxa"/>
            <w:shd w:val="clear" w:color="auto" w:fill="auto"/>
            <w:noWrap w:val="0"/>
            <w:vAlign w:val="center"/>
          </w:tcPr>
          <w:p w14:paraId="03A8A85F">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完成省定目标</w:t>
            </w:r>
          </w:p>
        </w:tc>
        <w:tc>
          <w:tcPr>
            <w:tcW w:w="1331" w:type="dxa"/>
            <w:shd w:val="clear" w:color="auto" w:fill="auto"/>
            <w:noWrap w:val="0"/>
            <w:vAlign w:val="center"/>
          </w:tcPr>
          <w:p w14:paraId="29C18F7F">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约束性</w:t>
            </w:r>
          </w:p>
        </w:tc>
      </w:tr>
      <w:tr w14:paraId="2518B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shd w:val="clear" w:color="auto" w:fill="auto"/>
            <w:noWrap w:val="0"/>
            <w:vAlign w:val="center"/>
          </w:tcPr>
          <w:p w14:paraId="7F75808B">
            <w:pPr>
              <w:overflowPunct w:val="0"/>
              <w:autoSpaceDE w:val="0"/>
              <w:autoSpaceDN w:val="0"/>
              <w:adjustRightInd w:val="0"/>
              <w:snapToGrid w:val="0"/>
              <w:spacing w:line="360" w:lineRule="exact"/>
              <w:jc w:val="center"/>
              <w:rPr>
                <w:rFonts w:eastAsia="方正仿宋_GBK"/>
                <w:snapToGrid w:val="0"/>
                <w:kern w:val="0"/>
                <w:sz w:val="28"/>
                <w:szCs w:val="28"/>
              </w:rPr>
            </w:pPr>
          </w:p>
        </w:tc>
        <w:tc>
          <w:tcPr>
            <w:tcW w:w="5864" w:type="dxa"/>
            <w:gridSpan w:val="2"/>
            <w:shd w:val="clear" w:color="auto" w:fill="auto"/>
            <w:noWrap w:val="0"/>
            <w:vAlign w:val="center"/>
          </w:tcPr>
          <w:p w14:paraId="68CFECCE">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能源综合生产能力（亿吨标准煤）</w:t>
            </w:r>
          </w:p>
        </w:tc>
        <w:tc>
          <w:tcPr>
            <w:tcW w:w="1587" w:type="dxa"/>
            <w:shd w:val="clear" w:color="auto" w:fill="auto"/>
            <w:noWrap w:val="0"/>
            <w:vAlign w:val="center"/>
          </w:tcPr>
          <w:p w14:paraId="6584DFE3">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完成省定目标</w:t>
            </w:r>
          </w:p>
        </w:tc>
        <w:tc>
          <w:tcPr>
            <w:tcW w:w="1331" w:type="dxa"/>
            <w:shd w:val="clear" w:color="auto" w:fill="auto"/>
            <w:noWrap w:val="0"/>
            <w:vAlign w:val="center"/>
          </w:tcPr>
          <w:p w14:paraId="465AC489">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约束性</w:t>
            </w:r>
          </w:p>
        </w:tc>
      </w:tr>
      <w:tr w14:paraId="3EEC6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shd w:val="clear" w:color="auto" w:fill="auto"/>
            <w:noWrap w:val="0"/>
            <w:vAlign w:val="center"/>
          </w:tcPr>
          <w:p w14:paraId="2834DE30">
            <w:pPr>
              <w:overflowPunct w:val="0"/>
              <w:autoSpaceDE w:val="0"/>
              <w:autoSpaceDN w:val="0"/>
              <w:adjustRightInd w:val="0"/>
              <w:snapToGrid w:val="0"/>
              <w:spacing w:line="360" w:lineRule="exact"/>
              <w:jc w:val="center"/>
              <w:rPr>
                <w:rFonts w:eastAsia="方正仿宋_GBK"/>
                <w:snapToGrid w:val="0"/>
                <w:kern w:val="0"/>
                <w:sz w:val="28"/>
                <w:szCs w:val="28"/>
              </w:rPr>
            </w:pPr>
          </w:p>
        </w:tc>
        <w:tc>
          <w:tcPr>
            <w:tcW w:w="5864" w:type="dxa"/>
            <w:gridSpan w:val="2"/>
            <w:shd w:val="clear" w:color="auto" w:fill="auto"/>
            <w:noWrap w:val="0"/>
            <w:vAlign w:val="center"/>
          </w:tcPr>
          <w:p w14:paraId="25DEE485">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公众安全感（%）</w:t>
            </w:r>
          </w:p>
        </w:tc>
        <w:tc>
          <w:tcPr>
            <w:tcW w:w="1587" w:type="dxa"/>
            <w:shd w:val="clear" w:color="auto" w:fill="auto"/>
            <w:noWrap w:val="0"/>
            <w:vAlign w:val="center"/>
          </w:tcPr>
          <w:p w14:paraId="536C8964">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98以上</w:t>
            </w:r>
          </w:p>
        </w:tc>
        <w:tc>
          <w:tcPr>
            <w:tcW w:w="1331" w:type="dxa"/>
            <w:shd w:val="clear" w:color="auto" w:fill="auto"/>
            <w:noWrap w:val="0"/>
            <w:vAlign w:val="center"/>
          </w:tcPr>
          <w:p w14:paraId="0492DD1A">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预期性</w:t>
            </w:r>
          </w:p>
        </w:tc>
      </w:tr>
      <w:tr w14:paraId="66838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07" w:type="dxa"/>
            <w:vMerge w:val="continue"/>
            <w:noWrap w:val="0"/>
            <w:vAlign w:val="center"/>
          </w:tcPr>
          <w:p w14:paraId="2604A4AC">
            <w:pPr>
              <w:overflowPunct w:val="0"/>
              <w:autoSpaceDE w:val="0"/>
              <w:autoSpaceDN w:val="0"/>
              <w:adjustRightInd w:val="0"/>
              <w:snapToGrid w:val="0"/>
              <w:spacing w:line="360" w:lineRule="exact"/>
              <w:jc w:val="center"/>
              <w:rPr>
                <w:rFonts w:eastAsia="方正仿宋_GBK"/>
                <w:snapToGrid w:val="0"/>
                <w:kern w:val="0"/>
                <w:sz w:val="28"/>
                <w:szCs w:val="28"/>
              </w:rPr>
            </w:pPr>
          </w:p>
        </w:tc>
        <w:tc>
          <w:tcPr>
            <w:tcW w:w="5864" w:type="dxa"/>
            <w:gridSpan w:val="2"/>
            <w:noWrap w:val="0"/>
            <w:vAlign w:val="center"/>
          </w:tcPr>
          <w:p w14:paraId="06A52BDE">
            <w:pPr>
              <w:overflowPunct w:val="0"/>
              <w:autoSpaceDE w:val="0"/>
              <w:autoSpaceDN w:val="0"/>
              <w:adjustRightInd w:val="0"/>
              <w:snapToGrid w:val="0"/>
              <w:spacing w:line="360" w:lineRule="exact"/>
              <w:rPr>
                <w:rFonts w:eastAsia="方正仿宋_GBK"/>
                <w:snapToGrid w:val="0"/>
                <w:kern w:val="0"/>
                <w:sz w:val="28"/>
                <w:szCs w:val="28"/>
              </w:rPr>
            </w:pPr>
            <w:r>
              <w:rPr>
                <w:rFonts w:eastAsia="方正仿宋_GBK"/>
                <w:snapToGrid w:val="0"/>
                <w:kern w:val="0"/>
                <w:sz w:val="28"/>
                <w:szCs w:val="28"/>
              </w:rPr>
              <w:t>生产安全事故死亡人数下降（%）</w:t>
            </w:r>
          </w:p>
        </w:tc>
        <w:tc>
          <w:tcPr>
            <w:tcW w:w="1587" w:type="dxa"/>
            <w:noWrap w:val="0"/>
            <w:vAlign w:val="center"/>
          </w:tcPr>
          <w:p w14:paraId="603D846F">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10</w:t>
            </w:r>
          </w:p>
          <w:p w14:paraId="5FCCD659">
            <w:pPr>
              <w:overflowPunct w:val="0"/>
              <w:autoSpaceDE w:val="0"/>
              <w:autoSpaceDN w:val="0"/>
              <w:adjustRightInd w:val="0"/>
              <w:snapToGrid w:val="0"/>
              <w:spacing w:line="380" w:lineRule="exact"/>
              <w:jc w:val="center"/>
              <w:rPr>
                <w:rFonts w:eastAsia="方正仿宋_GBK"/>
                <w:snapToGrid w:val="0"/>
                <w:kern w:val="0"/>
                <w:sz w:val="28"/>
                <w:szCs w:val="28"/>
              </w:rPr>
            </w:pPr>
            <w:r>
              <w:rPr>
                <w:rFonts w:eastAsia="方正仿宋_GBK"/>
                <w:snapToGrid w:val="0"/>
                <w:kern w:val="0"/>
                <w:sz w:val="28"/>
                <w:szCs w:val="28"/>
              </w:rPr>
              <w:t>（累计）</w:t>
            </w:r>
          </w:p>
        </w:tc>
        <w:tc>
          <w:tcPr>
            <w:tcW w:w="1331" w:type="dxa"/>
            <w:noWrap w:val="0"/>
            <w:vAlign w:val="center"/>
          </w:tcPr>
          <w:p w14:paraId="58591196">
            <w:pPr>
              <w:overflowPunct w:val="0"/>
              <w:autoSpaceDE w:val="0"/>
              <w:autoSpaceDN w:val="0"/>
              <w:adjustRightInd w:val="0"/>
              <w:snapToGrid w:val="0"/>
              <w:spacing w:line="360" w:lineRule="exact"/>
              <w:jc w:val="center"/>
              <w:rPr>
                <w:rFonts w:eastAsia="方正仿宋_GBK"/>
                <w:snapToGrid w:val="0"/>
                <w:kern w:val="0"/>
                <w:sz w:val="28"/>
                <w:szCs w:val="28"/>
              </w:rPr>
            </w:pPr>
            <w:r>
              <w:rPr>
                <w:rFonts w:eastAsia="方正仿宋_GBK"/>
                <w:snapToGrid w:val="0"/>
                <w:kern w:val="0"/>
                <w:sz w:val="28"/>
                <w:szCs w:val="28"/>
              </w:rPr>
              <w:t>约束性</w:t>
            </w:r>
          </w:p>
        </w:tc>
      </w:tr>
    </w:tbl>
    <w:p w14:paraId="65C432A6">
      <w:pPr>
        <w:overflowPunct w:val="0"/>
        <w:autoSpaceDE w:val="0"/>
        <w:autoSpaceDN w:val="0"/>
        <w:adjustRightInd w:val="0"/>
        <w:snapToGrid w:val="0"/>
        <w:spacing w:before="120" w:line="450" w:lineRule="exact"/>
        <w:ind w:firstLine="640" w:firstLineChars="200"/>
        <w:rPr>
          <w:rFonts w:eastAsia="方正仿宋_GBK"/>
          <w:snapToGrid w:val="0"/>
          <w:color w:val="000000"/>
          <w:kern w:val="0"/>
          <w:sz w:val="32"/>
          <w:szCs w:val="32"/>
        </w:rPr>
      </w:pPr>
    </w:p>
    <w:p w14:paraId="470D5177">
      <w:pPr>
        <w:overflowPunct w:val="0"/>
        <w:autoSpaceDE w:val="0"/>
        <w:autoSpaceDN w:val="0"/>
        <w:adjustRightInd w:val="0"/>
        <w:snapToGrid w:val="0"/>
        <w:spacing w:before="240" w:after="240" w:line="570" w:lineRule="exact"/>
        <w:jc w:val="center"/>
        <w:outlineLvl w:val="0"/>
        <w:rPr>
          <w:rFonts w:hint="eastAsia" w:ascii="方正黑体_GBK" w:eastAsia="方正黑体_GBK"/>
          <w:snapToGrid w:val="0"/>
          <w:kern w:val="0"/>
          <w:sz w:val="32"/>
          <w:szCs w:val="32"/>
        </w:rPr>
      </w:pPr>
      <w:r>
        <w:rPr>
          <w:rFonts w:eastAsia="方正仿宋_GBK"/>
          <w:snapToGrid w:val="0"/>
          <w:color w:val="000000"/>
          <w:kern w:val="0"/>
          <w:sz w:val="32"/>
          <w:szCs w:val="32"/>
        </w:rPr>
        <w:br w:type="page"/>
      </w:r>
      <w:bookmarkStart w:id="15" w:name="_Toc26380"/>
      <w:r>
        <w:rPr>
          <w:rFonts w:hint="eastAsia" w:ascii="方正黑体_GBK" w:eastAsia="方正黑体_GBK"/>
          <w:snapToGrid w:val="0"/>
          <w:kern w:val="0"/>
          <w:sz w:val="32"/>
          <w:szCs w:val="32"/>
        </w:rPr>
        <w:t>第二章  坚守实体经济  打造全国先进制造业基地</w:t>
      </w:r>
      <w:bookmarkEnd w:id="15"/>
    </w:p>
    <w:p w14:paraId="59CEEEA2">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坚持全面推进传统产业转型升级、积极发展新兴产业、超前布局未来产业并举，加快建设现代化产业体系。聚焦新能源、智能装备、新材料、人工智能等重点发展方向，以“1028”产业体系建设为牵引，加速数智经济融合赋能，推动“新能源+”“服务业+”“人工智能+”系列行动，打造全国先进制造业基地。加强优质企业梯队培育，持续推进大企业培育壮大和中小企业量质提升。</w:t>
      </w:r>
    </w:p>
    <w:p w14:paraId="7C0CFCF9">
      <w:pPr>
        <w:overflowPunct w:val="0"/>
        <w:autoSpaceDE w:val="0"/>
        <w:autoSpaceDN w:val="0"/>
        <w:adjustRightInd w:val="0"/>
        <w:snapToGrid w:val="0"/>
        <w:spacing w:before="240" w:after="240" w:line="570" w:lineRule="exact"/>
        <w:jc w:val="center"/>
        <w:outlineLvl w:val="1"/>
        <w:rPr>
          <w:rFonts w:hint="eastAsia" w:ascii="方正楷体_GBK" w:eastAsia="方正楷体_GBK"/>
          <w:snapToGrid w:val="0"/>
          <w:kern w:val="0"/>
          <w:sz w:val="32"/>
          <w:szCs w:val="32"/>
        </w:rPr>
      </w:pPr>
      <w:bookmarkStart w:id="16" w:name="_Toc6825"/>
      <w:r>
        <w:rPr>
          <w:rFonts w:hint="eastAsia" w:ascii="方正楷体_GBK" w:eastAsia="方正楷体_GBK"/>
          <w:snapToGrid w:val="0"/>
          <w:kern w:val="0"/>
          <w:sz w:val="32"/>
          <w:szCs w:val="32"/>
        </w:rPr>
        <w:t>第一节  高质量建设先进制造业集群</w:t>
      </w:r>
      <w:bookmarkEnd w:id="16"/>
    </w:p>
    <w:p w14:paraId="650D095D">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聚力打造新能源产业高地。</w:t>
      </w:r>
      <w:r>
        <w:rPr>
          <w:rFonts w:eastAsia="方正仿宋_GBK"/>
          <w:snapToGrid w:val="0"/>
          <w:kern w:val="0"/>
          <w:sz w:val="32"/>
          <w:szCs w:val="32"/>
        </w:rPr>
        <w:t>深入贯彻落实省委办、省政府办《关于支持常州新能源产业高质量发展的意见》，加速“新能源+”产业升级，推动新能源产业成为彰显城市特色的地标产业，建设具有国际竞争力的新能源产业高地。聚焦下一代高效太阳能电池技术，加快规模化应用和产业化进程，强化光伏发电与储能系统耦合能力。以长续航、高安全、全气候、高倍率快充为方向，加快布局固态电池、钠离子电池、无钴电池等新一代动力电池产品，强化储能系统安全管理、智能调度控制技术，培育涵盖材料研发、电池制造、系统集成与应用场景的储能全链条生态。重点发展特高压交直流输配电装备、智能变电站成套装置、绿色环保型输配电设备等产品，加快柔性直流、高压输电、智能变压器、配电自动化终端等核心产品的规模化应用。依托整车龙头，提升零部件配套水平，拓展智能网联新赛道。拓展“+新能源”场景应用，推进“智能制造+新能源”“绿色建筑+新能源”“智慧交通+新能源”等应用，支持工厂屋顶分布式光伏全覆盖，推动新建公共建筑、大型商业综合体、住宅小区集成光伏建筑一体化、地源热泵、智能用电管理等技术，发展农光互补、渔光互补等项目，形成多层次、多场景的应用体系。到2030年，全市规模以上新能源产业产值超1.2万亿元。</w:t>
      </w:r>
    </w:p>
    <w:p w14:paraId="7CA99B9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推动战略性新兴产业成势。</w:t>
      </w:r>
      <w:r>
        <w:rPr>
          <w:rFonts w:eastAsia="方正仿宋_GBK"/>
          <w:snapToGrid w:val="0"/>
          <w:kern w:val="0"/>
          <w:sz w:val="32"/>
          <w:szCs w:val="32"/>
        </w:rPr>
        <w:t>强化优势产业影响力，聚焦高端装备制造、新材料等领域，以智能化、绿色化、融合化为核心方向，重点突破高端整机与核心部件、前沿材料等关键环节，巩固提升国家级集群能级，构建龙头企业引领、大中小企业融通、产学研用协同的产业集群体系。提升特色产业竞争力，立足电子信息、数字信息、先进环保、高端纺织等重点领域，以技术突破、模式创新与场景赋能为核心，推动产业链补链延链、跨界融合、价值提升，培育一批具有核心竞争力和市场影响力的细分产业集群，打造长三角战新特色产业创新发展高地。到2030年，全市战略性新兴产业产值占规模以上工业产值比重达47%。</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682"/>
      </w:tblGrid>
      <w:tr w14:paraId="2FBD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831" w:type="dxa"/>
            <w:noWrap w:val="0"/>
            <w:vAlign w:val="top"/>
          </w:tcPr>
          <w:p w14:paraId="27B5D4D5">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专栏2-1  战略性新兴产业发展路径</w:t>
            </w:r>
          </w:p>
          <w:p w14:paraId="4428494D">
            <w:pPr>
              <w:overflowPunct w:val="0"/>
              <w:autoSpaceDE w:val="0"/>
              <w:autoSpaceDN w:val="0"/>
              <w:adjustRightInd w:val="0"/>
              <w:snapToGrid w:val="0"/>
              <w:spacing w:line="500" w:lineRule="exact"/>
              <w:ind w:firstLine="561"/>
              <w:rPr>
                <w:rFonts w:hint="eastAsia" w:ascii="方正黑体_GBK" w:eastAsia="方正黑体_GBK"/>
                <w:snapToGrid w:val="0"/>
                <w:kern w:val="0"/>
                <w:sz w:val="28"/>
                <w:szCs w:val="28"/>
              </w:rPr>
            </w:pPr>
            <w:r>
              <w:rPr>
                <w:rFonts w:hint="eastAsia" w:ascii="方正黑体_GBK" w:eastAsia="方正黑体_GBK"/>
                <w:snapToGrid w:val="0"/>
                <w:kern w:val="0"/>
                <w:sz w:val="28"/>
                <w:szCs w:val="28"/>
              </w:rPr>
              <w:t>一、优势产业领域</w:t>
            </w:r>
          </w:p>
          <w:p w14:paraId="417C8398">
            <w:pPr>
              <w:overflowPunct w:val="0"/>
              <w:autoSpaceDE w:val="0"/>
              <w:autoSpaceDN w:val="0"/>
              <w:adjustRightInd w:val="0"/>
              <w:snapToGrid w:val="0"/>
              <w:spacing w:line="500" w:lineRule="exact"/>
              <w:ind w:firstLine="561"/>
              <w:rPr>
                <w:rFonts w:eastAsia="方正仿宋_GBK"/>
                <w:snapToGrid w:val="0"/>
                <w:kern w:val="0"/>
                <w:sz w:val="28"/>
                <w:szCs w:val="28"/>
              </w:rPr>
            </w:pPr>
            <w:r>
              <w:rPr>
                <w:rFonts w:hint="eastAsia" w:ascii="方正楷体_GBK" w:eastAsia="方正楷体_GBK"/>
                <w:bCs/>
                <w:snapToGrid w:val="0"/>
                <w:kern w:val="0"/>
                <w:sz w:val="28"/>
                <w:szCs w:val="28"/>
              </w:rPr>
              <w:t>高端装备制造：</w:t>
            </w:r>
            <w:r>
              <w:rPr>
                <w:rFonts w:eastAsia="方正仿宋_GBK"/>
                <w:snapToGrid w:val="0"/>
                <w:kern w:val="0"/>
                <w:sz w:val="28"/>
                <w:szCs w:val="28"/>
              </w:rPr>
              <w:t>重点发展工业母机、具身智能机器人、高端工程机械等领域。围绕产业链关键环节开展协同攻关，推动装备产品向智能化、成套化、服务化转型。</w:t>
            </w:r>
          </w:p>
          <w:p w14:paraId="5E7D6185">
            <w:pPr>
              <w:overflowPunct w:val="0"/>
              <w:autoSpaceDE w:val="0"/>
              <w:autoSpaceDN w:val="0"/>
              <w:adjustRightInd w:val="0"/>
              <w:snapToGrid w:val="0"/>
              <w:spacing w:line="500" w:lineRule="exact"/>
              <w:ind w:firstLine="561"/>
              <w:rPr>
                <w:rFonts w:eastAsia="方正仿宋_GBK"/>
                <w:snapToGrid w:val="0"/>
                <w:spacing w:val="-4"/>
                <w:kern w:val="0"/>
                <w:sz w:val="28"/>
                <w:szCs w:val="28"/>
              </w:rPr>
            </w:pPr>
            <w:r>
              <w:rPr>
                <w:rFonts w:ascii="方正楷体_GBK" w:eastAsia="方正楷体_GBK"/>
                <w:bCs/>
                <w:snapToGrid w:val="0"/>
                <w:spacing w:val="-4"/>
                <w:kern w:val="0"/>
                <w:sz w:val="28"/>
                <w:szCs w:val="28"/>
              </w:rPr>
              <w:t>新材料：</w:t>
            </w:r>
            <w:r>
              <w:rPr>
                <w:rFonts w:eastAsia="方正仿宋_GBK"/>
                <w:snapToGrid w:val="0"/>
                <w:spacing w:val="-4"/>
                <w:kern w:val="0"/>
                <w:sz w:val="28"/>
                <w:szCs w:val="28"/>
              </w:rPr>
              <w:t>重点发展高端金属材料、高性能纤维及复合材料和先进电子材料。突破材料设计、绿色制备技术瓶颈，建设材料表征、测试验证等公共服务平台，促进新材料首批次示范应用，提升材料自主保障和产业支撑能力。</w:t>
            </w:r>
          </w:p>
          <w:p w14:paraId="230D72E3">
            <w:pPr>
              <w:overflowPunct w:val="0"/>
              <w:autoSpaceDE w:val="0"/>
              <w:autoSpaceDN w:val="0"/>
              <w:adjustRightInd w:val="0"/>
              <w:snapToGrid w:val="0"/>
              <w:spacing w:line="500" w:lineRule="exact"/>
              <w:ind w:firstLine="561"/>
              <w:rPr>
                <w:rFonts w:ascii="方正黑体_GBK" w:eastAsia="方正黑体_GBK"/>
                <w:snapToGrid w:val="0"/>
                <w:kern w:val="0"/>
                <w:sz w:val="28"/>
                <w:szCs w:val="28"/>
              </w:rPr>
            </w:pPr>
            <w:r>
              <w:rPr>
                <w:rFonts w:ascii="方正黑体_GBK" w:eastAsia="方正黑体_GBK"/>
                <w:snapToGrid w:val="0"/>
                <w:kern w:val="0"/>
                <w:sz w:val="28"/>
                <w:szCs w:val="28"/>
              </w:rPr>
              <w:t>二、特色产业领域</w:t>
            </w:r>
          </w:p>
          <w:p w14:paraId="64165296">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电子信息：</w:t>
            </w:r>
            <w:r>
              <w:rPr>
                <w:rFonts w:eastAsia="方正仿宋_GBK"/>
                <w:snapToGrid w:val="0"/>
                <w:kern w:val="0"/>
                <w:sz w:val="28"/>
                <w:szCs w:val="28"/>
              </w:rPr>
              <w:t>巩固功率器件、汽车电子优势，聚焦车规级芯片、射频前端滤波器芯片、光电子芯片设计，强化集成电路设计制造封装协同，延伸发展物联网通信模组等产品。</w:t>
            </w:r>
          </w:p>
          <w:p w14:paraId="2E2158B2">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数字信息：</w:t>
            </w:r>
            <w:r>
              <w:rPr>
                <w:rFonts w:eastAsia="方正仿宋_GBK"/>
                <w:snapToGrid w:val="0"/>
                <w:kern w:val="0"/>
                <w:sz w:val="28"/>
                <w:szCs w:val="28"/>
              </w:rPr>
              <w:t>大力发展工业互联网，继续深化推进行业级平台建设和中小企业“上云用数赋智”，探索健康医疗、城市治理等领域数据融合与市场化模式。</w:t>
            </w:r>
          </w:p>
          <w:p w14:paraId="7BADB6D2">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先进环保：</w:t>
            </w:r>
            <w:r>
              <w:rPr>
                <w:rFonts w:eastAsia="方正仿宋_GBK"/>
                <w:snapToGrid w:val="0"/>
                <w:kern w:val="0"/>
                <w:sz w:val="28"/>
                <w:szCs w:val="28"/>
              </w:rPr>
              <w:t>突破高性能膜材料、碳捕集利用装备等关键技术，推动退役光伏组件、动力电池等资源化利用。</w:t>
            </w:r>
          </w:p>
          <w:p w14:paraId="4F245765">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高端纺织：</w:t>
            </w:r>
            <w:r>
              <w:rPr>
                <w:rFonts w:eastAsia="方正仿宋_GBK"/>
                <w:snapToGrid w:val="0"/>
                <w:kern w:val="0"/>
                <w:sz w:val="28"/>
                <w:szCs w:val="28"/>
              </w:rPr>
              <w:t>发展生物基纤维、智能纺织品，推广无水少水染色等绿色工艺，促进纺织与新材料、医疗等跨领域合作。</w:t>
            </w:r>
          </w:p>
        </w:tc>
      </w:tr>
    </w:tbl>
    <w:p w14:paraId="3F99625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前瞻布局未来产业新赛道。</w:t>
      </w:r>
      <w:r>
        <w:rPr>
          <w:rFonts w:eastAsia="方正仿宋_GBK"/>
          <w:snapToGrid w:val="0"/>
          <w:kern w:val="0"/>
          <w:sz w:val="32"/>
          <w:szCs w:val="32"/>
        </w:rPr>
        <w:t>聚焦“6+X”未来产业新赛道，重点发展以人工智能、具身智能、新型储能、合成生物、先进材料、化合物半导体为代表的六大成长型未来产业，前瞻布局低空经济、数据产业、循环制造、空天信息、氢能和核聚变能、脑机接口、细胞基因、量子科技等前沿性未来产业。加快构建“多极联动、错位发展、全域协同”的未来产业发展格局，高质量建设江苏省未来产业先行集聚发展试点。到2030年，打造1个千亿级未来产业支柱集群，2—3个500亿级未来产业优势集群，未来产业总产值超4000亿元；培育10家以上领军企业、100家以上标杆企业、1000家以上骨干企业。</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682"/>
      </w:tblGrid>
      <w:tr w14:paraId="096BD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829" w:type="dxa"/>
            <w:noWrap w:val="0"/>
            <w:vAlign w:val="top"/>
          </w:tcPr>
          <w:p w14:paraId="6B4B63AB">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专栏2-2  未来产业重点发展方向</w:t>
            </w:r>
          </w:p>
          <w:p w14:paraId="05DC3EA0">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人工智能：</w:t>
            </w:r>
            <w:r>
              <w:rPr>
                <w:rFonts w:eastAsia="方正仿宋_GBK"/>
                <w:snapToGrid w:val="0"/>
                <w:kern w:val="0"/>
                <w:sz w:val="28"/>
                <w:szCs w:val="28"/>
              </w:rPr>
              <w:t>聚焦通用决策模型、工业人工智能垂类大模型，推进工业控制计算机及系统制造、工业软件及嵌入式智能体开发、特殊环境行业智能检测系统开发、行业应用场景数据训练模型构建及整体解决方案，发展超级虚拟工厂等。</w:t>
            </w:r>
          </w:p>
          <w:p w14:paraId="1F88037E">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具身智能：</w:t>
            </w:r>
            <w:r>
              <w:rPr>
                <w:rFonts w:eastAsia="方正仿宋_GBK"/>
                <w:snapToGrid w:val="0"/>
                <w:kern w:val="0"/>
                <w:sz w:val="28"/>
                <w:szCs w:val="28"/>
              </w:rPr>
              <w:t>聚焦机器人核心零部件、软件系统、整机制造等关键领域，发展传感器、控制器、软件算法、伺服电机、减速器、一体化关节模组、高性能灵巧手等，提升整机作业性能。</w:t>
            </w:r>
          </w:p>
          <w:p w14:paraId="7EC2BAB1">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新型储能：</w:t>
            </w:r>
            <w:r>
              <w:rPr>
                <w:rFonts w:eastAsia="方正仿宋_GBK"/>
                <w:snapToGrid w:val="0"/>
                <w:kern w:val="0"/>
                <w:sz w:val="28"/>
                <w:szCs w:val="28"/>
              </w:rPr>
              <w:t>聚焦绿色智慧能源、低碳智能制造、ESG产业，推进电化学储能（固态电池、液流电池等）、压缩空气储能（盐穴），储能变流器、储能变压器、储能装备、电池能量管理系统，发展新型电极材料、分布式储能系统。</w:t>
            </w:r>
          </w:p>
          <w:p w14:paraId="465C2188">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合成生物：</w:t>
            </w:r>
            <w:r>
              <w:rPr>
                <w:rFonts w:eastAsia="方正仿宋_GBK"/>
                <w:snapToGrid w:val="0"/>
                <w:kern w:val="0"/>
                <w:sz w:val="28"/>
                <w:szCs w:val="28"/>
              </w:rPr>
              <w:t>聚焦AI设计、生物基材料、仿生及分子靶向医药、生物食品、功能性食品添加剂、高端医用材料、重组胶原蛋白、ADC新药、多肽药物、医美产品等。</w:t>
            </w:r>
          </w:p>
          <w:p w14:paraId="5E214D82">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先进材料：</w:t>
            </w:r>
            <w:r>
              <w:rPr>
                <w:rFonts w:eastAsia="方正仿宋_GBK"/>
                <w:snapToGrid w:val="0"/>
                <w:kern w:val="0"/>
                <w:sz w:val="28"/>
                <w:szCs w:val="28"/>
              </w:rPr>
              <w:t>聚焦高性能低成本大丝束碳纤维及其复合材料、单壁碳纳米管、高效碳纤维表面处理、先进热塑性树脂基碳纤维复合材料制备与应用、石墨烯宏量可控制备技术等。</w:t>
            </w:r>
          </w:p>
          <w:p w14:paraId="36AECCC6">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化合物半导体：</w:t>
            </w:r>
            <w:r>
              <w:rPr>
                <w:rFonts w:eastAsia="方正仿宋_GBK"/>
                <w:snapToGrid w:val="0"/>
                <w:kern w:val="0"/>
                <w:sz w:val="28"/>
                <w:szCs w:val="28"/>
              </w:rPr>
              <w:t>重点发展碳化硅、氮化镓、磷化铟、砷化镓、氧化镓等化合物半导体，大力提升微控制器绝缘栅双极型晶体管、高速高精度模数/数模转换、电源管理芯片、显示驱动芯片、基带芯片、射频芯片以及微机电系统等产品的特色工艺水平，布局硅光芯片、量子芯片等前沿领域。</w:t>
            </w:r>
          </w:p>
        </w:tc>
      </w:tr>
    </w:tbl>
    <w:p w14:paraId="314F5A4A">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加速传统产业焕新升级。</w:t>
      </w:r>
      <w:r>
        <w:rPr>
          <w:rFonts w:eastAsia="方正仿宋_GBK"/>
          <w:snapToGrid w:val="0"/>
          <w:kern w:val="0"/>
          <w:sz w:val="32"/>
          <w:szCs w:val="32"/>
        </w:rPr>
        <w:t>深入实施传统产业焕新工程，重点在轻工、纺织、冶金、化工、建材、机械加工等领域，统筹推进淘汰落后装备、智能更新改造、绿色低碳转型、产品质量提档和管理模式创新。引导和支持传统企业与时俱进，积极采用先进适用技术加快改造升级，提升高端产品供给能力和新技术新产品迭代效率。推动装备制造、冶金等行业深耕细分市场，强化产业基础再造和重大技术装备攻关，补强重点产业链薄弱环节，持续夯实质量技术基础，提升在行业中的地位和竞争力。引导轻工、纺织等行业，拓宽产品营销渠道，延展高附加值服务链条，催生新业态新模式。针对化工、钢铁、水泥等行业，加强规范引导和质量安全监管，推进产业集聚集约绿色发展。</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497F8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2CBE0E1C">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 xml:space="preserve">专栏2-3 </w:t>
            </w:r>
            <w:r>
              <w:rPr>
                <w:rFonts w:hint="eastAsia" w:eastAsia="方正黑体_GBK"/>
                <w:snapToGrid w:val="0"/>
                <w:kern w:val="0"/>
                <w:sz w:val="28"/>
                <w:szCs w:val="28"/>
              </w:rPr>
              <w:t xml:space="preserve"> </w:t>
            </w:r>
            <w:r>
              <w:rPr>
                <w:rFonts w:eastAsia="方正黑体_GBK"/>
                <w:snapToGrid w:val="0"/>
                <w:kern w:val="0"/>
                <w:sz w:val="28"/>
                <w:szCs w:val="28"/>
              </w:rPr>
              <w:t>优质企业梯度培育体系</w:t>
            </w:r>
          </w:p>
          <w:p w14:paraId="551AA448">
            <w:pPr>
              <w:overflowPunct w:val="0"/>
              <w:autoSpaceDE w:val="0"/>
              <w:autoSpaceDN w:val="0"/>
              <w:adjustRightInd w:val="0"/>
              <w:snapToGrid w:val="0"/>
              <w:spacing w:line="500" w:lineRule="exact"/>
              <w:ind w:firstLine="561"/>
              <w:rPr>
                <w:rFonts w:eastAsia="方正仿宋_GBK"/>
                <w:snapToGrid w:val="0"/>
                <w:spacing w:val="-2"/>
                <w:kern w:val="0"/>
                <w:sz w:val="28"/>
                <w:szCs w:val="28"/>
              </w:rPr>
            </w:pPr>
            <w:r>
              <w:rPr>
                <w:rFonts w:eastAsia="方正仿宋_GBK"/>
                <w:snapToGrid w:val="0"/>
                <w:spacing w:val="-2"/>
                <w:kern w:val="0"/>
                <w:sz w:val="28"/>
                <w:szCs w:val="28"/>
              </w:rPr>
              <w:t>大力实施十百千亿大企业培育工程，分级建立大企业培育库并动态管理，市区协同集聚资源要素，强化精准扶持和服务保障，推动企业增资扩产、上市扩容、创新提质，着力培育一批规模效益好、核心竞争力和行业影响力强、可持续发展水平高的工业大企业，形成营收超千亿企业5家、超百亿企业50家、超十亿企业500家的“555”领军企业梯队。深入实施中小工业企业量质提升工程，推进工业企业在“小升规”“规升亿”行动中壮大规模；支持中小企业专精特新发展，健全“入库－培育－赋能－晋升”全周期培育机制，保持</w:t>
            </w:r>
            <w:bookmarkStart w:id="17" w:name="OLE_LINK79"/>
            <w:bookmarkStart w:id="18" w:name="OLE_LINK78"/>
            <w:r>
              <w:rPr>
                <w:rFonts w:eastAsia="方正仿宋_GBK"/>
                <w:snapToGrid w:val="0"/>
                <w:spacing w:val="-2"/>
                <w:kern w:val="0"/>
                <w:sz w:val="28"/>
                <w:szCs w:val="28"/>
              </w:rPr>
              <w:t>专精特新“小巨人</w:t>
            </w:r>
            <w:bookmarkEnd w:id="17"/>
            <w:bookmarkEnd w:id="18"/>
            <w:r>
              <w:rPr>
                <w:rFonts w:eastAsia="方正仿宋_GBK"/>
                <w:snapToGrid w:val="0"/>
                <w:spacing w:val="-2"/>
                <w:kern w:val="0"/>
                <w:sz w:val="28"/>
                <w:szCs w:val="28"/>
              </w:rPr>
              <w:t>”和制造业单项冠军企业数量走在全省前列。</w:t>
            </w:r>
          </w:p>
        </w:tc>
      </w:tr>
    </w:tbl>
    <w:p w14:paraId="23E1792E">
      <w:pPr>
        <w:overflowPunct w:val="0"/>
        <w:autoSpaceDE w:val="0"/>
        <w:autoSpaceDN w:val="0"/>
        <w:adjustRightInd w:val="0"/>
        <w:snapToGrid w:val="0"/>
        <w:spacing w:before="240" w:after="240" w:line="500" w:lineRule="exact"/>
        <w:jc w:val="center"/>
        <w:rPr>
          <w:rFonts w:hint="eastAsia" w:ascii="方正楷体_GBK" w:eastAsia="方正楷体_GBK"/>
          <w:snapToGrid w:val="0"/>
          <w:kern w:val="0"/>
          <w:sz w:val="32"/>
          <w:szCs w:val="32"/>
        </w:rPr>
      </w:pPr>
      <w:bookmarkStart w:id="19" w:name="_Toc7285"/>
      <w:r>
        <w:rPr>
          <w:rFonts w:hint="eastAsia" w:ascii="方正楷体_GBK" w:eastAsia="方正楷体_GBK"/>
          <w:snapToGrid w:val="0"/>
          <w:kern w:val="0"/>
          <w:sz w:val="32"/>
          <w:szCs w:val="32"/>
        </w:rPr>
        <w:t>第二节  提升现代服务业发展能级</w:t>
      </w:r>
      <w:bookmarkEnd w:id="19"/>
    </w:p>
    <w:p w14:paraId="3E77E21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spacing w:val="-4"/>
          <w:kern w:val="0"/>
          <w:sz w:val="32"/>
          <w:szCs w:val="32"/>
        </w:rPr>
        <w:t>打造“4×4”服务业核心赛道。构建“五极发力、多点提升”的现代服务业发展格局，培育一批特色鲜明的服务业地标。全力发展资源配置服务，推动现代商贸创新升级，高水平建设区域消费中心城市；加强供应链管理，提升知识产权、绿色低碳、会计审计等商务服务效能，持续做优金融服务特色品牌。提升发展科技创新服务，加快发展研发服务、工业设计、检验检测；推动人力资源专业化、向价值链高端延伸。集聚发展数智赋能服务，推动数字内容、软件信息向数字化、智能化、融合化方向发展，布局发展智能计算、数字服务。特色发展人文情感服务，聚力发展文化创意、体验服务，培育壮大医疗康养，持续做好“宠物经济+”文章。持续打造“常宝”“青春乐都”城市IP。“十五五”时期，每年新增服务业规模以上企业100家以上，服务业营收年均增速保持在10%左右。</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604BA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38A47F39">
            <w:pPr>
              <w:overflowPunct w:val="0"/>
              <w:autoSpaceDE w:val="0"/>
              <w:autoSpaceDN w:val="0"/>
              <w:adjustRightInd w:val="0"/>
              <w:snapToGrid w:val="0"/>
              <w:spacing w:before="120" w:after="120" w:line="480" w:lineRule="exact"/>
              <w:jc w:val="center"/>
              <w:rPr>
                <w:rFonts w:eastAsia="方正黑体_GBK"/>
                <w:snapToGrid w:val="0"/>
                <w:kern w:val="0"/>
                <w:sz w:val="28"/>
                <w:szCs w:val="28"/>
              </w:rPr>
            </w:pPr>
            <w:r>
              <w:rPr>
                <w:rFonts w:eastAsia="方正黑体_GBK"/>
                <w:snapToGrid w:val="0"/>
                <w:kern w:val="0"/>
                <w:sz w:val="28"/>
                <w:szCs w:val="28"/>
              </w:rPr>
              <w:t>专栏2-4</w:t>
            </w:r>
            <w:r>
              <w:rPr>
                <w:rFonts w:hint="eastAsia" w:eastAsia="方正黑体_GBK"/>
                <w:snapToGrid w:val="0"/>
                <w:kern w:val="0"/>
                <w:sz w:val="28"/>
                <w:szCs w:val="28"/>
              </w:rPr>
              <w:t xml:space="preserve"> </w:t>
            </w:r>
            <w:r>
              <w:rPr>
                <w:rFonts w:eastAsia="方正黑体_GBK"/>
                <w:snapToGrid w:val="0"/>
                <w:kern w:val="0"/>
                <w:sz w:val="28"/>
                <w:szCs w:val="28"/>
              </w:rPr>
              <w:t xml:space="preserve"> “4×4”服务业核心赛道</w:t>
            </w:r>
          </w:p>
          <w:p w14:paraId="1F72D58E">
            <w:pPr>
              <w:overflowPunct w:val="0"/>
              <w:autoSpaceDE w:val="0"/>
              <w:autoSpaceDN w:val="0"/>
              <w:adjustRightInd w:val="0"/>
              <w:snapToGrid w:val="0"/>
              <w:spacing w:line="480" w:lineRule="exact"/>
              <w:ind w:firstLine="561"/>
              <w:rPr>
                <w:rFonts w:eastAsia="方正仿宋_GBK"/>
                <w:snapToGrid w:val="0"/>
                <w:kern w:val="0"/>
                <w:sz w:val="28"/>
                <w:szCs w:val="28"/>
              </w:rPr>
            </w:pPr>
            <w:r>
              <w:rPr>
                <w:rFonts w:hint="eastAsia" w:ascii="方正楷体_GBK" w:eastAsia="方正楷体_GBK"/>
                <w:snapToGrid w:val="0"/>
                <w:kern w:val="0"/>
                <w:sz w:val="28"/>
                <w:szCs w:val="28"/>
              </w:rPr>
              <w:t>资源配置服务：</w:t>
            </w:r>
            <w:r>
              <w:rPr>
                <w:rFonts w:eastAsia="方正仿宋_GBK"/>
                <w:snapToGrid w:val="0"/>
                <w:kern w:val="0"/>
                <w:sz w:val="28"/>
                <w:szCs w:val="28"/>
              </w:rPr>
              <w:t>供应链管理、高端商贸、商务服务、金融服务</w:t>
            </w:r>
          </w:p>
          <w:p w14:paraId="34B30F93">
            <w:pPr>
              <w:overflowPunct w:val="0"/>
              <w:autoSpaceDE w:val="0"/>
              <w:autoSpaceDN w:val="0"/>
              <w:adjustRightInd w:val="0"/>
              <w:snapToGrid w:val="0"/>
              <w:spacing w:line="480" w:lineRule="exact"/>
              <w:ind w:firstLine="561"/>
              <w:rPr>
                <w:rFonts w:eastAsia="方正仿宋_GBK"/>
                <w:snapToGrid w:val="0"/>
                <w:kern w:val="0"/>
                <w:sz w:val="28"/>
                <w:szCs w:val="28"/>
              </w:rPr>
            </w:pPr>
            <w:r>
              <w:rPr>
                <w:rFonts w:ascii="方正楷体_GBK" w:eastAsia="方正楷体_GBK"/>
                <w:snapToGrid w:val="0"/>
                <w:kern w:val="0"/>
                <w:sz w:val="28"/>
                <w:szCs w:val="28"/>
              </w:rPr>
              <w:t>科技创新服务：</w:t>
            </w:r>
            <w:r>
              <w:rPr>
                <w:rFonts w:eastAsia="方正仿宋_GBK"/>
                <w:snapToGrid w:val="0"/>
                <w:kern w:val="0"/>
                <w:sz w:val="28"/>
                <w:szCs w:val="28"/>
              </w:rPr>
              <w:t>研发孵化、工业设计、检验检测、人力资源服务</w:t>
            </w:r>
          </w:p>
          <w:p w14:paraId="6E8F9329">
            <w:pPr>
              <w:overflowPunct w:val="0"/>
              <w:autoSpaceDE w:val="0"/>
              <w:autoSpaceDN w:val="0"/>
              <w:adjustRightInd w:val="0"/>
              <w:snapToGrid w:val="0"/>
              <w:spacing w:line="480" w:lineRule="exact"/>
              <w:ind w:firstLine="561"/>
              <w:rPr>
                <w:rFonts w:eastAsia="方正仿宋_GBK"/>
                <w:snapToGrid w:val="0"/>
                <w:kern w:val="0"/>
                <w:sz w:val="28"/>
                <w:szCs w:val="28"/>
              </w:rPr>
            </w:pPr>
            <w:r>
              <w:rPr>
                <w:rFonts w:ascii="方正楷体_GBK" w:eastAsia="方正楷体_GBK"/>
                <w:snapToGrid w:val="0"/>
                <w:kern w:val="0"/>
                <w:sz w:val="28"/>
                <w:szCs w:val="28"/>
              </w:rPr>
              <w:t>数智赋能服务：</w:t>
            </w:r>
            <w:r>
              <w:rPr>
                <w:rFonts w:eastAsia="方正仿宋_GBK"/>
                <w:snapToGrid w:val="0"/>
                <w:kern w:val="0"/>
                <w:sz w:val="28"/>
                <w:szCs w:val="28"/>
              </w:rPr>
              <w:t>数字内容、软件信息、智能计算、数字服务</w:t>
            </w:r>
          </w:p>
          <w:p w14:paraId="750FC025">
            <w:pPr>
              <w:overflowPunct w:val="0"/>
              <w:autoSpaceDE w:val="0"/>
              <w:autoSpaceDN w:val="0"/>
              <w:adjustRightInd w:val="0"/>
              <w:snapToGrid w:val="0"/>
              <w:spacing w:line="480" w:lineRule="exact"/>
              <w:ind w:firstLine="561"/>
              <w:rPr>
                <w:rFonts w:eastAsia="方正仿宋_GBK"/>
                <w:snapToGrid w:val="0"/>
                <w:kern w:val="0"/>
                <w:sz w:val="28"/>
                <w:szCs w:val="28"/>
              </w:rPr>
            </w:pPr>
            <w:r>
              <w:rPr>
                <w:rFonts w:ascii="方正楷体_GBK" w:eastAsia="方正楷体_GBK"/>
                <w:snapToGrid w:val="0"/>
                <w:kern w:val="0"/>
                <w:sz w:val="28"/>
                <w:szCs w:val="28"/>
              </w:rPr>
              <w:t>人文情感服务：</w:t>
            </w:r>
            <w:r>
              <w:rPr>
                <w:rFonts w:eastAsia="方正仿宋_GBK"/>
                <w:snapToGrid w:val="0"/>
                <w:kern w:val="0"/>
                <w:sz w:val="28"/>
                <w:szCs w:val="28"/>
              </w:rPr>
              <w:t>文化创意、全域旅游、医疗康养、养育家政</w:t>
            </w:r>
          </w:p>
        </w:tc>
      </w:tr>
    </w:tbl>
    <w:p w14:paraId="61DEE9E8">
      <w:pPr>
        <w:overflowPunct w:val="0"/>
        <w:autoSpaceDE w:val="0"/>
        <w:autoSpaceDN w:val="0"/>
        <w:adjustRightInd w:val="0"/>
        <w:snapToGrid w:val="0"/>
        <w:spacing w:line="400" w:lineRule="exact"/>
        <w:ind w:firstLine="641"/>
        <w:rPr>
          <w:rFonts w:eastAsia="方正仿宋_GBK"/>
          <w:snapToGrid w:val="0"/>
          <w:kern w:val="0"/>
          <w:sz w:val="32"/>
          <w:szCs w:val="32"/>
        </w:rPr>
      </w:pP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7A52E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3D4EEA31">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专栏2-5</w:t>
            </w:r>
            <w:r>
              <w:rPr>
                <w:rFonts w:hint="eastAsia" w:eastAsia="方正黑体_GBK"/>
                <w:snapToGrid w:val="0"/>
                <w:kern w:val="0"/>
                <w:sz w:val="28"/>
                <w:szCs w:val="28"/>
              </w:rPr>
              <w:t xml:space="preserve"> </w:t>
            </w:r>
            <w:r>
              <w:rPr>
                <w:rFonts w:eastAsia="方正黑体_GBK"/>
                <w:snapToGrid w:val="0"/>
                <w:kern w:val="0"/>
                <w:sz w:val="28"/>
                <w:szCs w:val="28"/>
              </w:rPr>
              <w:t xml:space="preserve"> “五极发力、多点提升”现代服务业总体格局</w:t>
            </w:r>
          </w:p>
          <w:p w14:paraId="314E3386">
            <w:pPr>
              <w:overflowPunct w:val="0"/>
              <w:autoSpaceDE w:val="0"/>
              <w:autoSpaceDN w:val="0"/>
              <w:adjustRightInd w:val="0"/>
              <w:snapToGrid w:val="0"/>
              <w:spacing w:line="490" w:lineRule="exact"/>
              <w:ind w:firstLine="561"/>
              <w:rPr>
                <w:rFonts w:eastAsia="方正仿宋_GBK"/>
                <w:snapToGrid w:val="0"/>
                <w:kern w:val="0"/>
                <w:sz w:val="28"/>
                <w:szCs w:val="28"/>
              </w:rPr>
            </w:pPr>
            <w:r>
              <w:rPr>
                <w:rFonts w:ascii="方正楷体_GBK" w:eastAsia="方正楷体_GBK"/>
                <w:snapToGrid w:val="0"/>
                <w:kern w:val="0"/>
                <w:sz w:val="28"/>
                <w:szCs w:val="28"/>
              </w:rPr>
              <w:t>五极发力：</w:t>
            </w:r>
            <w:r>
              <w:rPr>
                <w:rFonts w:eastAsia="方正仿宋_GBK"/>
                <w:snapToGrid w:val="0"/>
                <w:kern w:val="0"/>
                <w:sz w:val="28"/>
                <w:szCs w:val="28"/>
              </w:rPr>
              <w:t>持续做强科教城片区、老城厢片区、高铁新城片区、溧阳高新片区、钱资湖片区等五个现代服务业核心。</w:t>
            </w:r>
          </w:p>
          <w:p w14:paraId="07763AAC">
            <w:pPr>
              <w:overflowPunct w:val="0"/>
              <w:autoSpaceDE w:val="0"/>
              <w:autoSpaceDN w:val="0"/>
              <w:adjustRightInd w:val="0"/>
              <w:snapToGrid w:val="0"/>
              <w:spacing w:line="490" w:lineRule="exact"/>
              <w:ind w:firstLine="561"/>
              <w:rPr>
                <w:rFonts w:eastAsia="方正仿宋_GBK"/>
                <w:snapToGrid w:val="0"/>
                <w:kern w:val="0"/>
                <w:sz w:val="28"/>
                <w:szCs w:val="28"/>
              </w:rPr>
            </w:pPr>
            <w:r>
              <w:rPr>
                <w:rFonts w:ascii="方正楷体_GBK" w:eastAsia="方正楷体_GBK"/>
                <w:snapToGrid w:val="0"/>
                <w:kern w:val="0"/>
                <w:sz w:val="28"/>
                <w:szCs w:val="28"/>
              </w:rPr>
              <w:t>多点提升：</w:t>
            </w:r>
            <w:r>
              <w:rPr>
                <w:rFonts w:eastAsia="方正仿宋_GBK"/>
                <w:snapToGrid w:val="0"/>
                <w:kern w:val="0"/>
                <w:sz w:val="28"/>
                <w:szCs w:val="28"/>
              </w:rPr>
              <w:t>溧阳市、金坛区重点发展研发设计、全域旅游等服务；武进区重点发展检验检测、研发设计、绿色低碳等服务；新北区重点发展数智赋能、现代物流等服务；天宁区重点发展文化创意、检验检测等服务；钟楼区重点发展平台经济、高端商贸等服务；常州经开区重点发展跨境电商、绿色低碳等服务。</w:t>
            </w:r>
          </w:p>
        </w:tc>
      </w:tr>
    </w:tbl>
    <w:p w14:paraId="263DDC4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强化四类服务形态牵引作用。</w:t>
      </w:r>
      <w:r>
        <w:rPr>
          <w:rFonts w:eastAsia="方正仿宋_GBK"/>
          <w:snapToGrid w:val="0"/>
          <w:kern w:val="0"/>
          <w:sz w:val="32"/>
          <w:szCs w:val="32"/>
        </w:rPr>
        <w:t>催生发展总部经济，建立健全总部企业梯度培育机制，加快引育产业链关键环节上的生产性服务业龙头企业，鼓励本土企业拓展总部功能，探索“总部在常、生产在外”模式。推动发展平台经济，以“服务业+人工智能”为核心引擎，加快培育一批专注细分领域的垂直电商平台，推动直播电商等新业态健康发展，推动“跨境电商+产业带”融合发展。提升发展楼宇经济，以老城厢复兴为契机，引导国内外知名商业地产商、产业龙头企业等在常独立或联合建设高端商务楼宇，深化“一楼宇一特色”发展模式；系统植入OPC、创客空间等新型载体，探索“空间聚合、资源共享、产业联动”的发展生态。特色发展品牌经济，利用产业优势和文化资源，加快打造具有辨识度的“常州服务”品牌，聚焦“服务业+场景”融合创新，推广现代服务业典型应用场景，健全品牌标准体系、质量监管体系和知识产权保护机制，完善品牌培育生态。</w:t>
      </w:r>
    </w:p>
    <w:p w14:paraId="7594ACF1">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推进服务与制造深度融合。</w:t>
      </w:r>
      <w:r>
        <w:rPr>
          <w:rFonts w:eastAsia="方正仿宋_GBK"/>
          <w:snapToGrid w:val="0"/>
          <w:kern w:val="0"/>
          <w:sz w:val="32"/>
          <w:szCs w:val="32"/>
        </w:rPr>
        <w:t>立足常州智能制造、高端装备等优势产业，鼓励制造业企业开展产品服务系统建设，支持其向“生产制造+”研发设计、品牌营销等高附加值服务环节延伸，重点发展总集成总承包、供应链管理、全生命周期管理、个性化服务等服务型制造新模式。加快打造面向生产需求的服务业应用场景，支持企业建设用户体验中心、示范产线等。持续深化供需对接，开展产业供需和要素对接行动，推动企业构建“产品+服务”高效协调产业链生态。</w:t>
      </w:r>
    </w:p>
    <w:p w14:paraId="18A8D98C">
      <w:pPr>
        <w:overflowPunct w:val="0"/>
        <w:autoSpaceDE w:val="0"/>
        <w:autoSpaceDN w:val="0"/>
        <w:adjustRightInd w:val="0"/>
        <w:snapToGrid w:val="0"/>
        <w:spacing w:before="240" w:after="240" w:line="570" w:lineRule="exact"/>
        <w:jc w:val="center"/>
        <w:outlineLvl w:val="1"/>
        <w:rPr>
          <w:rFonts w:hint="eastAsia" w:ascii="方正楷体_GBK" w:eastAsia="方正楷体_GBK"/>
          <w:snapToGrid w:val="0"/>
          <w:kern w:val="0"/>
          <w:sz w:val="32"/>
          <w:szCs w:val="32"/>
        </w:rPr>
      </w:pPr>
      <w:bookmarkStart w:id="20" w:name="_Toc30750"/>
      <w:r>
        <w:rPr>
          <w:rFonts w:hint="eastAsia" w:ascii="方正楷体_GBK" w:eastAsia="方正楷体_GBK"/>
          <w:snapToGrid w:val="0"/>
          <w:kern w:val="0"/>
          <w:sz w:val="32"/>
          <w:szCs w:val="32"/>
        </w:rPr>
        <w:t>第三节  做强做优做大数智经济</w:t>
      </w:r>
      <w:bookmarkEnd w:id="20"/>
    </w:p>
    <w:p w14:paraId="2599C5CD">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bCs/>
          <w:snapToGrid w:val="0"/>
          <w:kern w:val="0"/>
          <w:sz w:val="32"/>
          <w:szCs w:val="32"/>
        </w:rPr>
        <w:t>壮大数字经济产业集群。</w:t>
      </w:r>
      <w:r>
        <w:rPr>
          <w:rFonts w:eastAsia="方正仿宋_GBK"/>
          <w:snapToGrid w:val="0"/>
          <w:kern w:val="0"/>
          <w:sz w:val="32"/>
          <w:szCs w:val="32"/>
        </w:rPr>
        <w:t>全面推进数字技术与实体经济深度融合，构建开放协同、安全高效的数据产业生态。因地制宜打造数据产业集群，构建数据资源、数据技术、数据服务、数据应用、数据安全、数据基础设施和综合型等“6+1”数据企业矩阵，加快建设常州数字经济产业园，推进江苏省综合型数字经济创新发展试点建设，支持新北区、天宁区、钟楼区推进数据产业集聚区国家试点工作。推动公共数据归集，建成全市一体化公共数据资源体系。依托常州城市可信数据空间构建高效安全数据采集存储、共享开放、流通交易体系，打造高质量数据集。深化“数据要素×”行动，打造一批典型应用场景。引育经营主体1000家，打造特色数据产业集群3个，建成数据产业公共服务示范平台7个。</w:t>
      </w:r>
    </w:p>
    <w:p w14:paraId="578D372F">
      <w:pPr>
        <w:overflowPunct w:val="0"/>
        <w:autoSpaceDE w:val="0"/>
        <w:autoSpaceDN w:val="0"/>
        <w:adjustRightInd w:val="0"/>
        <w:snapToGrid w:val="0"/>
        <w:spacing w:line="570" w:lineRule="exact"/>
        <w:ind w:firstLine="641"/>
        <w:rPr>
          <w:rFonts w:eastAsia="方正仿宋_GBK"/>
          <w:strike/>
          <w:snapToGrid w:val="0"/>
          <w:kern w:val="0"/>
          <w:sz w:val="32"/>
          <w:szCs w:val="32"/>
        </w:rPr>
      </w:pPr>
      <w:r>
        <w:rPr>
          <w:rFonts w:eastAsia="方正仿宋_GBK"/>
          <w:bCs/>
          <w:snapToGrid w:val="0"/>
          <w:kern w:val="0"/>
          <w:sz w:val="32"/>
          <w:szCs w:val="32"/>
        </w:rPr>
        <w:t>打造人工智能产业生态。</w:t>
      </w:r>
      <w:r>
        <w:rPr>
          <w:rFonts w:eastAsia="方正仿宋_GBK"/>
          <w:snapToGrid w:val="0"/>
          <w:kern w:val="0"/>
          <w:sz w:val="32"/>
          <w:szCs w:val="32"/>
        </w:rPr>
        <w:t>加速“制造+人工智能”进程，深入推进“智改数转网联”，梯度建设一批基础级、先进级、卓越级、领航级智能工厂。推动制造业与新一代信息技术深度耦合，鼓励人工智能企业与制造企业联合开展场景研发、算法优化与系统集成，率先在智能质检、预测性维护、智能排产、数字孪生等领域实现深度应用。提升“人工智能+制造”供给能力，拓展工业机器人应用，推广个性化定制、柔性制造、互联工厂、全过程能源优化管理、网络协同制造和远程运维服务等制造新模式。鼓励具备条件的园区打造AI制造先行区，支持打造一批典型AI应用场景库、通用算法模型包和行业解决方案模板。加快工业软件应用，重点发展面向工控领域的智能终端操作系统、实时数据库、基础输入输出系统（BIOS）等信息系统，支持工业仿真、嵌入式控制、工业操作系统、CAD/CAE/PDM等核心工业软件产品研发应用。</w:t>
      </w:r>
    </w:p>
    <w:p w14:paraId="3E72ED00">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推动人工智能深度赋能。</w:t>
      </w:r>
      <w:r>
        <w:rPr>
          <w:rFonts w:eastAsia="方正仿宋_GBK"/>
          <w:snapToGrid w:val="0"/>
          <w:kern w:val="0"/>
          <w:sz w:val="32"/>
          <w:szCs w:val="32"/>
        </w:rPr>
        <w:t>深入实施“人工智能+”行动，发挥“原点空间”效能，推动人工智能与科技、产业、消费、民生、社会治理、国际合作等领域深度融合。建设人工智能领域重点实验室、技术创新中心等平台载体，重点突破工业生成决策大模型，打造具有区域影响力的AI技术策源地和产业高地。深化人工智能在智能设计、生产优化、设备互联等环节的全链条应用，推动大模型和企业业务应用嵌入集成。围绕智慧医疗、教育、养老、交通等领域，打造一批标杆式解决方案，提升公共服务智能化、普惠化水平。积极参与人工智能全球治理与合作。大力推广城市大模型和智能体支撑的典型应用场景，打造全国“智能体+场景应用”示范城市。</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3C6B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8823" w:type="dxa"/>
            <w:noWrap w:val="0"/>
            <w:vAlign w:val="top"/>
          </w:tcPr>
          <w:p w14:paraId="69FF5339">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专栏2-6  “人工智能+”行动</w:t>
            </w:r>
          </w:p>
          <w:p w14:paraId="43297CEB">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snapToGrid w:val="0"/>
                <w:kern w:val="0"/>
                <w:sz w:val="28"/>
                <w:szCs w:val="28"/>
              </w:rPr>
              <w:t>“人工智能+”科学技术：</w:t>
            </w:r>
            <w:r>
              <w:rPr>
                <w:rFonts w:eastAsia="方正仿宋_GBK"/>
                <w:snapToGrid w:val="0"/>
                <w:kern w:val="0"/>
                <w:sz w:val="28"/>
                <w:szCs w:val="28"/>
              </w:rPr>
              <w:t>推动高校和科研院所合作，探索人工智能驱动的科学研究新模式。建立基于大模型的科技政策智能匹配、科技商品智能估值、技术供需精准高效匹配等专属业务模型。</w:t>
            </w:r>
          </w:p>
          <w:p w14:paraId="52F5B95E">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snapToGrid w:val="0"/>
                <w:kern w:val="0"/>
                <w:sz w:val="28"/>
                <w:szCs w:val="28"/>
              </w:rPr>
              <w:t>“人工智能+”产业发展：</w:t>
            </w:r>
            <w:r>
              <w:rPr>
                <w:rFonts w:eastAsia="方正仿宋_GBK"/>
                <w:snapToGrid w:val="0"/>
                <w:kern w:val="0"/>
                <w:sz w:val="28"/>
                <w:szCs w:val="28"/>
              </w:rPr>
              <w:t>引导工业互联网平台建立智能应用开发环境，开发一批满足中小企业共性需求的人工智能基础应用。鼓励行业骨干企业、数字化转型服务商、人工智能企业加强合作，重点突破研发设计、生产制造、运维管理等环节的工业垂类模型。</w:t>
            </w:r>
          </w:p>
          <w:p w14:paraId="5E32C55F">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snapToGrid w:val="0"/>
                <w:kern w:val="0"/>
                <w:sz w:val="28"/>
                <w:szCs w:val="28"/>
              </w:rPr>
              <w:t>“人工智能+”消费提质：</w:t>
            </w:r>
            <w:r>
              <w:rPr>
                <w:rFonts w:eastAsia="方正仿宋_GBK"/>
                <w:snapToGrid w:val="0"/>
                <w:kern w:val="0"/>
                <w:sz w:val="28"/>
                <w:szCs w:val="28"/>
              </w:rPr>
              <w:t>支持各类消费类企业开发应用电商大模型，推广数字人直播、虚拟试衣、智能营销、智能品质查验等模式。鼓励电商平台企业建设电商垂域大模型，打造数字人导购、机器人客服、智能文案生成、精准营销投放等应用场景。</w:t>
            </w:r>
          </w:p>
          <w:p w14:paraId="50133CC9">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snapToGrid w:val="0"/>
                <w:kern w:val="0"/>
                <w:sz w:val="28"/>
                <w:szCs w:val="28"/>
              </w:rPr>
              <w:t>“人工智能+”民生福祉：</w:t>
            </w:r>
            <w:r>
              <w:rPr>
                <w:rFonts w:eastAsia="方正仿宋_GBK"/>
                <w:snapToGrid w:val="0"/>
                <w:kern w:val="0"/>
                <w:sz w:val="28"/>
                <w:szCs w:val="28"/>
              </w:rPr>
              <w:t>推动人工智能技术在个性化学习规划、智能教学辅助、学习效果评估、教育资源管理及学生服务领域的深度应用。推广卫生健康行业人工智能应用，开展医学影像智能辅助诊断、智能医疗文书质控辅助、智能门诊分诊、基层全科医生智能辅助决策，构建通用性强、精准度高的医疗健康大模型，依托国家健康医疗大数据（东部）中心，打造一批多模态健康医疗大模型应用场景。建设人社数据资源体系，打造集数据、业务与智能中台于一体的支撑平台，建设统一政策知识库，推动政策智能解读与精准服务，打造贯穿社保、就业、人才、劳动关系、职业能力建设的数字化、智能化应用场景。</w:t>
            </w:r>
          </w:p>
          <w:p w14:paraId="1989F9FD">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snapToGrid w:val="0"/>
                <w:kern w:val="0"/>
                <w:sz w:val="28"/>
                <w:szCs w:val="28"/>
              </w:rPr>
              <w:t>“人工智能+”治理能力：</w:t>
            </w:r>
            <w:r>
              <w:rPr>
                <w:rFonts w:eastAsia="方正仿宋_GBK"/>
                <w:snapToGrid w:val="0"/>
                <w:kern w:val="0"/>
                <w:sz w:val="28"/>
                <w:szCs w:val="28"/>
              </w:rPr>
              <w:t>基于政务大模型打造一批政务服务智能应用场景，优化“高效办成一件事”智能服务功能。推进人工智能大模型在生态环境监测监控、环境影响评价、环境执法、政务咨询、环境分析模拟等领域示范应用。基于应急管理部“久安”大模型，聚焦应急管理领域实战需求，开展重大场景增强训练，打造智慧应急大脑。</w:t>
            </w:r>
          </w:p>
          <w:p w14:paraId="60DD72EF">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snapToGrid w:val="0"/>
                <w:kern w:val="0"/>
                <w:sz w:val="28"/>
                <w:szCs w:val="28"/>
              </w:rPr>
              <w:t>“人工智能+”国际合作：</w:t>
            </w:r>
            <w:r>
              <w:rPr>
                <w:rFonts w:eastAsia="方正仿宋_GBK"/>
                <w:snapToGrid w:val="0"/>
                <w:kern w:val="0"/>
                <w:sz w:val="28"/>
                <w:szCs w:val="28"/>
              </w:rPr>
              <w:t>建强西太湖（常州）人工智能国际社区，与高校共建西太湖（常州）人工智能产业技术研究院，设立长三角创新基地，链接全国顶尖人工智能资源。深挖人工智能+新能源、医疗健康、机器人、智电汽车等领域应用场景，打造人工智能+行业应用示范项目。依托园区招引投资机构、科创项目、服务平台等产业生态，吸引国内外优秀青年团队、科研成果，促进优质项目与企业扎根。</w:t>
            </w:r>
          </w:p>
        </w:tc>
      </w:tr>
    </w:tbl>
    <w:p w14:paraId="0E681A8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加快构建数字基础设施体系。</w:t>
      </w:r>
      <w:r>
        <w:rPr>
          <w:rFonts w:eastAsia="方正仿宋_GBK"/>
          <w:snapToGrid w:val="0"/>
          <w:kern w:val="0"/>
          <w:sz w:val="32"/>
          <w:szCs w:val="32"/>
        </w:rPr>
        <w:t>深化“千兆城市”建设，推进“双千兆”网络规模部署，规模化部署万兆无源光网，布局工业互联网、车联网、能源网等行业专网。强化5G行业虚拟专网建设，推动5G网络深度覆盖。深入推进IPv6规模部署和融合应用，加大IPv6+、SRv6、网络切片等创新技术应用，持续优化IPv6网络性能和服务能力。探索建设“AI+超互联城市”，构建算电协同、绿色低碳的AIDC底座，推动AIDC产业创新和科技创新加速融合。按照“城市+园区”布局，推进中国电信华东（常州）5G智算中心、中国移动长三角（常州）智算中心等城市智算中心建设。加快传统基础设施数字化改造智能化升级，建设“5G+工业互联网”基础设施。推动重点园区建设“5G+AI制造”先导区，打造跨区共享的产业大数据平台。</w:t>
      </w:r>
    </w:p>
    <w:p w14:paraId="5BB6C204">
      <w:pPr>
        <w:overflowPunct w:val="0"/>
        <w:autoSpaceDE w:val="0"/>
        <w:autoSpaceDN w:val="0"/>
        <w:adjustRightInd w:val="0"/>
        <w:snapToGrid w:val="0"/>
        <w:spacing w:before="240" w:after="240" w:line="570" w:lineRule="exact"/>
        <w:jc w:val="center"/>
        <w:outlineLvl w:val="1"/>
        <w:rPr>
          <w:rFonts w:hint="eastAsia" w:ascii="方正楷体_GBK" w:eastAsia="方正楷体_GBK"/>
          <w:snapToGrid w:val="0"/>
          <w:kern w:val="0"/>
          <w:sz w:val="32"/>
          <w:szCs w:val="32"/>
        </w:rPr>
      </w:pPr>
      <w:bookmarkStart w:id="21" w:name="_Toc23851"/>
      <w:r>
        <w:rPr>
          <w:rFonts w:hint="eastAsia" w:ascii="方正楷体_GBK" w:eastAsia="方正楷体_GBK"/>
          <w:snapToGrid w:val="0"/>
          <w:kern w:val="0"/>
          <w:sz w:val="32"/>
          <w:szCs w:val="32"/>
        </w:rPr>
        <w:t>第四节  着力优化产业空间布局</w:t>
      </w:r>
      <w:bookmarkEnd w:id="21"/>
    </w:p>
    <w:p w14:paraId="2E5796F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优化产业空间布局。</w:t>
      </w:r>
      <w:r>
        <w:rPr>
          <w:rFonts w:eastAsia="方正仿宋_GBK"/>
          <w:snapToGrid w:val="0"/>
          <w:kern w:val="0"/>
          <w:sz w:val="32"/>
          <w:szCs w:val="32"/>
        </w:rPr>
        <w:t>推进产业布局向园区（开发区）和工业重镇集中，促进产业集聚集群发展，打造县域特色优势产业，构建集聚成势、分工明确、协同高效、特色鲜明的产业空间新体系。按照《常州市国土空间总体规划（2021—2035年）》明确的“三个产业创新核、六个制造业发展片区”产业发展空间格局，完善“工业集聚区—工业区块线—工业用地”三级产业空间布局。加强工业区块线管理，引导工业区块线外工业用地向线内集中。以园区（开发区）为重点推进连片工业净地整治，推进产业用地储供一体化。</w:t>
      </w:r>
    </w:p>
    <w:p w14:paraId="36EC8500">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推进工业用地提质增效。</w:t>
      </w:r>
      <w:r>
        <w:rPr>
          <w:rFonts w:eastAsia="方正仿宋_GBK"/>
          <w:snapToGrid w:val="0"/>
          <w:kern w:val="0"/>
          <w:sz w:val="32"/>
          <w:szCs w:val="32"/>
        </w:rPr>
        <w:t>统筹产业布局、综合交通、设施配置和土地使用，优先保障先进制造业和科技创新产业发展空间，为传统产业转型升级提供土地政策保障。强化工业用地精准配置，严格工业区块线分级管控，有序推进闲置用地清理、低效用地腾退、存量用地增效，妥善处理好刚性与弹性、近期与远期的关系。探索实施“标准地+双信地+定制地”出让模式。强化产业用地全生命周期监管，全面实行“出让合同+产出监管协议”管理。</w:t>
      </w:r>
    </w:p>
    <w:p w14:paraId="65D62E8E">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创新产业园区体制机制。</w:t>
      </w:r>
      <w:r>
        <w:rPr>
          <w:rFonts w:eastAsia="方正仿宋_GBK"/>
          <w:snapToGrid w:val="0"/>
          <w:kern w:val="0"/>
          <w:sz w:val="32"/>
          <w:szCs w:val="32"/>
        </w:rPr>
        <w:t>进一步理顺开发区管理职能，推动开发区实行大部制、扁平化管理。深化开发园区管理制度改革，依法赋予经济管理、投资服务等权限，鼓励统筹使用各类编制资源，激发人员队伍活力，提高园区管理效率和服务水平。优化园区绩效评价机制，进一步引导开发区明确自身定位，聚焦主导产业，优化园区布局，提升产业层次，建设一批承载力强、集聚度高、创新驱动有力的高水平特色产业园区。推动园区在产业发展、基础设施建设、公共服务等方面协同合作，鼓励园区建立产业“飞地”模式。鼓励社会资本参与园区开发建设和运营管理。完善园区产业服务体系，打造集“研发设计－生产制造－展销体验－物流配送”于一体的产业生态平台，提升园区资源整合和要素配置能力，推动产业园区加速向现代产业社区转型。</w:t>
      </w:r>
    </w:p>
    <w:p w14:paraId="6B2073AA">
      <w:pPr>
        <w:overflowPunct w:val="0"/>
        <w:autoSpaceDE w:val="0"/>
        <w:autoSpaceDN w:val="0"/>
        <w:adjustRightInd w:val="0"/>
        <w:snapToGrid w:val="0"/>
        <w:spacing w:before="240" w:after="240" w:line="570" w:lineRule="exact"/>
        <w:jc w:val="center"/>
        <w:rPr>
          <w:rFonts w:hint="eastAsia" w:ascii="方正黑体_GBK" w:eastAsia="方正黑体_GBK"/>
          <w:snapToGrid w:val="0"/>
          <w:kern w:val="0"/>
          <w:sz w:val="32"/>
          <w:szCs w:val="32"/>
        </w:rPr>
      </w:pPr>
      <w:r>
        <w:rPr>
          <w:rFonts w:eastAsia="方正仿宋_GBK"/>
          <w:snapToGrid w:val="0"/>
          <w:kern w:val="0"/>
          <w:sz w:val="32"/>
          <w:szCs w:val="32"/>
        </w:rPr>
        <w:br w:type="page"/>
      </w:r>
      <w:bookmarkStart w:id="22" w:name="_Toc13402"/>
      <w:r>
        <w:rPr>
          <w:rFonts w:hint="eastAsia" w:ascii="方正黑体_GBK" w:eastAsia="方正黑体_GBK"/>
          <w:snapToGrid w:val="0"/>
          <w:kern w:val="0"/>
          <w:sz w:val="32"/>
          <w:szCs w:val="32"/>
        </w:rPr>
        <w:t>第三章  突出产科融合  建设区域性科技创新高地</w:t>
      </w:r>
      <w:bookmarkEnd w:id="22"/>
    </w:p>
    <w:p w14:paraId="381CC4D2">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snapToGrid w:val="0"/>
          <w:kern w:val="0"/>
          <w:sz w:val="32"/>
          <w:szCs w:val="32"/>
        </w:rPr>
        <w:t>把因地制宜发展新质生产力摆在更加突出的战略位置，统筹推动产业创新和科技创新深度融合，充分用好重大科创平台载体，加强重大原始创新攻坚、关键核心技术突破、产学研合作，推动创新链、产业链、人才链、资金链四链融合，建设区域性科技创新高地。</w:t>
      </w:r>
    </w:p>
    <w:p w14:paraId="16F467F6">
      <w:pPr>
        <w:overflowPunct w:val="0"/>
        <w:autoSpaceDE w:val="0"/>
        <w:autoSpaceDN w:val="0"/>
        <w:adjustRightInd w:val="0"/>
        <w:snapToGrid w:val="0"/>
        <w:spacing w:before="240" w:after="240" w:line="570" w:lineRule="exact"/>
        <w:jc w:val="center"/>
        <w:rPr>
          <w:rFonts w:hint="eastAsia" w:ascii="方正楷体_GBK" w:eastAsia="方正楷体_GBK"/>
          <w:snapToGrid w:val="0"/>
          <w:kern w:val="0"/>
          <w:sz w:val="32"/>
          <w:szCs w:val="32"/>
        </w:rPr>
      </w:pPr>
      <w:bookmarkStart w:id="23" w:name="_Toc4221"/>
      <w:r>
        <w:rPr>
          <w:rFonts w:hint="eastAsia" w:ascii="方正楷体_GBK" w:eastAsia="方正楷体_GBK"/>
          <w:snapToGrid w:val="0"/>
          <w:kern w:val="0"/>
          <w:sz w:val="32"/>
          <w:szCs w:val="32"/>
        </w:rPr>
        <w:t>第一节  强化企业创新主体地位</w:t>
      </w:r>
      <w:bookmarkEnd w:id="23"/>
    </w:p>
    <w:p w14:paraId="68124864">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bCs/>
          <w:snapToGrid w:val="0"/>
          <w:kern w:val="0"/>
          <w:sz w:val="32"/>
          <w:szCs w:val="32"/>
        </w:rPr>
        <w:t>大力建设企业研发机构。</w:t>
      </w:r>
      <w:r>
        <w:rPr>
          <w:rFonts w:eastAsia="方正仿宋_GBK"/>
          <w:snapToGrid w:val="0"/>
          <w:kern w:val="0"/>
          <w:sz w:val="32"/>
          <w:szCs w:val="32"/>
        </w:rPr>
        <w:t>引导企业建立研发组织规范、资源配置合理、持续有效运行的研发管理体系。实施规模以上工业企业研发机构覆盖率提升专项行动，探索企业自建研发机构备案机制，深化市工程技术研究中心认定改革，支持龙头企业建设企业研究院，争创省级及以上高水平企业研发机构。支持院士工作站、重点实验室、企业联合创新中心、工程技术研究中心、企业技术中心、校企研发中心等研发机构和平台建设。争取央企作为顶天立地科技创新基地、重点领域链主的创新优势资源，推进一批央企加强工程应用研究。全面落实企业研发费用加计扣除、基础研究税收优惠、企业研发费用奖补等惠企政策，推动“应享尽享”“免申即享”。</w:t>
      </w:r>
    </w:p>
    <w:p w14:paraId="5D5DDC5C">
      <w:pPr>
        <w:overflowPunct w:val="0"/>
        <w:autoSpaceDE w:val="0"/>
        <w:autoSpaceDN w:val="0"/>
        <w:adjustRightInd w:val="0"/>
        <w:snapToGrid w:val="0"/>
        <w:spacing w:line="560" w:lineRule="exact"/>
        <w:ind w:firstLine="641"/>
        <w:rPr>
          <w:rFonts w:eastAsia="方正仿宋_GBK"/>
          <w:snapToGrid w:val="0"/>
          <w:spacing w:val="-4"/>
          <w:kern w:val="0"/>
          <w:sz w:val="32"/>
          <w:szCs w:val="32"/>
        </w:rPr>
      </w:pPr>
      <w:r>
        <w:rPr>
          <w:rFonts w:eastAsia="方正仿宋_GBK"/>
          <w:bCs/>
          <w:snapToGrid w:val="0"/>
          <w:kern w:val="0"/>
          <w:sz w:val="32"/>
          <w:szCs w:val="32"/>
        </w:rPr>
        <w:t>梯次培育创新企业矩阵。</w:t>
      </w:r>
      <w:r>
        <w:rPr>
          <w:rFonts w:eastAsia="方正仿宋_GBK"/>
          <w:snapToGrid w:val="0"/>
          <w:kern w:val="0"/>
          <w:sz w:val="32"/>
          <w:szCs w:val="32"/>
        </w:rPr>
        <w:t>突出企业科技创新主体地位，构建“科技型中小企业—高新技术企业—瞪羚企业—（潜在）独角兽企业—科技领军企业”分类梯次培育机制。开展科技招商行动，</w:t>
      </w:r>
      <w:r>
        <w:rPr>
          <w:rFonts w:eastAsia="方正仿宋_GBK"/>
          <w:snapToGrid w:val="0"/>
          <w:spacing w:val="-4"/>
          <w:kern w:val="0"/>
          <w:sz w:val="32"/>
          <w:szCs w:val="32"/>
        </w:rPr>
        <w:t>面向全市重点产业领域大力开展“双招双引”。实施科技型企业“倍增行动”、科技型中小企业“小升高”“高升强”行动，落实促进独角兽企业成长发展政策措施，挖掘、培养一批高成长性企业。重点支持未来产业领域高成长性科技型企业研发创新，形成以科技领军企业为龙头的创新主体梯队。到2030年，科技型中小企业超10000家，高新技术企业超8000家，独角兽（或潜在独角兽）企业超150家，形成“大企业顶天立地、中小企业铺天盖地”的产业生态。</w:t>
      </w:r>
    </w:p>
    <w:p w14:paraId="4A0C8C4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发挥科技领军企业引领作用。</w:t>
      </w:r>
      <w:r>
        <w:rPr>
          <w:rFonts w:eastAsia="方正仿宋_GBK"/>
          <w:snapToGrid w:val="0"/>
          <w:kern w:val="0"/>
          <w:sz w:val="32"/>
          <w:szCs w:val="32"/>
        </w:rPr>
        <w:t>支持领军企业、链主企业等整合创新资源，牵头组建体系化、任务型的创新联合体，以突破关键技术和延伸产业链为重点凝练技术攻关任务，合力攻克一批“卡脖子”技术难题，引领带动整体产业技术创新。支持行业领军企业牵头建设省和国家产业创新中心、技术创新中心和制造业创新中心，鼓励有条件的组建行业研究院、建设自主品牌先进技术研究院，提升共性基础技术研发能力。积极培育平台型领军企业，搭建开源共享的重大开放创新平台，主动融入全球研发创新网络，深度嵌入国际产业分工。完善科技企业上市培育机制，加强对拟上市企业的辅导服务和政策支持，推动更多科技领军企业登陆境内外主流资本市场。</w:t>
      </w:r>
    </w:p>
    <w:p w14:paraId="36822EDC">
      <w:pPr>
        <w:overflowPunct w:val="0"/>
        <w:autoSpaceDE w:val="0"/>
        <w:autoSpaceDN w:val="0"/>
        <w:adjustRightInd w:val="0"/>
        <w:snapToGrid w:val="0"/>
        <w:spacing w:before="240" w:after="240" w:line="570" w:lineRule="exact"/>
        <w:jc w:val="center"/>
        <w:rPr>
          <w:rFonts w:ascii="方正楷体_GBK" w:eastAsia="方正楷体_GBK"/>
          <w:snapToGrid w:val="0"/>
          <w:kern w:val="0"/>
          <w:sz w:val="32"/>
          <w:szCs w:val="32"/>
        </w:rPr>
      </w:pPr>
      <w:bookmarkStart w:id="24" w:name="_Toc14580"/>
      <w:r>
        <w:rPr>
          <w:rFonts w:ascii="方正楷体_GBK" w:eastAsia="方正楷体_GBK"/>
          <w:snapToGrid w:val="0"/>
          <w:kern w:val="0"/>
          <w:sz w:val="32"/>
          <w:szCs w:val="32"/>
        </w:rPr>
        <w:t xml:space="preserve">第二节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大力提升科创平台载体质效</w:t>
      </w:r>
      <w:bookmarkEnd w:id="24"/>
    </w:p>
    <w:p w14:paraId="3E4C0881">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建设“一核、一园、多区”全域联动创新布局。</w:t>
      </w:r>
      <w:r>
        <w:rPr>
          <w:rFonts w:eastAsia="方正仿宋_GBK"/>
          <w:snapToGrid w:val="0"/>
          <w:kern w:val="0"/>
          <w:sz w:val="32"/>
          <w:szCs w:val="32"/>
        </w:rPr>
        <w:t>依托常州科教城、中以常州创新园和高新区等创新型园区，构建“中心辐射、多点支撑、全域协同”的创新空间布局，形成“一核、一园、多区”为支撑的全域联动创新布局，强化园区科技创新和成果转化功能，创建</w:t>
      </w:r>
      <w:r>
        <w:rPr>
          <w:rFonts w:eastAsia="方正仿宋_GBK"/>
          <w:snapToGrid w:val="0"/>
          <w:kern w:val="0"/>
          <w:sz w:val="32"/>
          <w:szCs w:val="32"/>
          <w:lang w:val="zh-CN"/>
        </w:rPr>
        <w:t>“产业</w:t>
      </w:r>
      <w:r>
        <w:rPr>
          <w:rFonts w:eastAsia="方正仿宋_GBK"/>
          <w:snapToGrid w:val="0"/>
          <w:kern w:val="0"/>
          <w:sz w:val="32"/>
          <w:szCs w:val="32"/>
        </w:rPr>
        <w:t>科技创新”试验区（园区）。</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0A25C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1B3B44D0">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专栏3-1  提升“一核一园多区”创新能级</w:t>
            </w:r>
          </w:p>
          <w:p w14:paraId="02D5994F">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bCs/>
                <w:snapToGrid w:val="0"/>
                <w:kern w:val="0"/>
                <w:sz w:val="28"/>
                <w:szCs w:val="28"/>
              </w:rPr>
              <w:t>“一核”：</w:t>
            </w:r>
            <w:r>
              <w:rPr>
                <w:rFonts w:eastAsia="方正仿宋_GBK"/>
                <w:bCs/>
                <w:snapToGrid w:val="0"/>
                <w:kern w:val="0"/>
                <w:sz w:val="28"/>
                <w:szCs w:val="28"/>
              </w:rPr>
              <w:t>常州科教城。</w:t>
            </w:r>
            <w:r>
              <w:rPr>
                <w:rFonts w:eastAsia="方正仿宋_GBK"/>
                <w:snapToGrid w:val="0"/>
                <w:kern w:val="0"/>
                <w:sz w:val="28"/>
                <w:szCs w:val="28"/>
              </w:rPr>
              <w:t>以“创新之核”为定位，全力打造江苏省教育科技人才体制机制一体改革综合试点单位。通过整合高校、科研院所、企业研发中心等资源，积极推动产教融合、科教融汇，持续实施高层次人才“双岗互聘计划”，加快市域产教联合体和行业产教融合共同体建设，构建“教育+研发+产业”三位一体的创新生态和“城校共生、产教融合”发展模式，成为驱动常州产业升级的核心引擎。支持重点建设“科技创新、高等（高职）教育、产业培育、成果转化、人才集聚、开放合作”六个新高地，重点发展人工智能、人形机器人、脑机接口、商业航天等新兴产业和未来产业。</w:t>
            </w:r>
          </w:p>
          <w:p w14:paraId="4DA6D797">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bCs/>
                <w:snapToGrid w:val="0"/>
                <w:kern w:val="0"/>
                <w:sz w:val="28"/>
                <w:szCs w:val="28"/>
              </w:rPr>
              <w:t>“一园”：</w:t>
            </w:r>
            <w:r>
              <w:rPr>
                <w:rFonts w:eastAsia="方正仿宋_GBK"/>
                <w:bCs/>
                <w:snapToGrid w:val="0"/>
                <w:kern w:val="0"/>
                <w:sz w:val="28"/>
                <w:szCs w:val="28"/>
              </w:rPr>
              <w:t>中以常州创新园。</w:t>
            </w:r>
            <w:r>
              <w:rPr>
                <w:rFonts w:eastAsia="方正仿宋_GBK"/>
                <w:snapToGrid w:val="0"/>
                <w:kern w:val="0"/>
                <w:sz w:val="28"/>
                <w:szCs w:val="28"/>
              </w:rPr>
              <w:t>围绕“中以创新合作领航者”“科技创新开放环境改革示范”“常州人工智能发展核心社区”发展定位，主动融入全球科技创新网络，加强国际创新资源集聚、创新经验模式借鉴和创新合作辐射带动，充分发挥中以常州创新园作为中以合作“标志性项目”示范作用，积极争取国家层面相关改革试点，推动开展以中以合作为特色的科技创新开放环境改革示范，率先探索打造全国开放创新示范园区。依托西太湖（常州）人工智能产业技术研究院、通用决策智能研究所、中国人工智能学会长三角创新基地、理想汽车“AI For Auto”创新联合体等高等级平台，加快构建“4+6+X”创新生态体系（即4项基础底座、6大功能平台、X个智能体应用场景）。</w:t>
            </w:r>
          </w:p>
          <w:p w14:paraId="61B47D7A">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bCs/>
                <w:snapToGrid w:val="0"/>
                <w:kern w:val="0"/>
                <w:sz w:val="28"/>
                <w:szCs w:val="28"/>
              </w:rPr>
              <w:t>“多区”：</w:t>
            </w:r>
            <w:r>
              <w:rPr>
                <w:rFonts w:eastAsia="方正仿宋_GBK"/>
                <w:bCs/>
                <w:snapToGrid w:val="0"/>
                <w:kern w:val="0"/>
                <w:sz w:val="28"/>
                <w:szCs w:val="28"/>
              </w:rPr>
              <w:t>以国家级和省级高新区、经开区以及国际合作园区为主阵地，加强与苏南国家自主创新示范区、苏锡常通科创圈的联动协同。</w:t>
            </w:r>
            <w:r>
              <w:rPr>
                <w:rFonts w:eastAsia="方正仿宋_GBK"/>
                <w:snapToGrid w:val="0"/>
                <w:kern w:val="0"/>
                <w:sz w:val="28"/>
                <w:szCs w:val="28"/>
              </w:rPr>
              <w:t>支持在常高新区实施高新区新赛道培育行动和“一园区一产业一赛道”工程。以实施“名园名院名企”联动创新发展工程推动“双高协同”创新，以高新区“新赛道培育”和高校“新工科建设”为突破口，建立“产业需求—学科供给”动态匹配机制，实现学科链与产业链协同演进。推动高新区优势产业集群与高校优势学科集群深度对接，构建“企业出题、高校解题、市场阅卷”的产学研协同模式。加快高新区新质转型和高校综合改革，构建完善一个产业方向、一个科创平台、一名领军人才、一个转化基金、一批标杆项目“五个一”融合发展体系，引领带动全市省级以上高新区和高等院校协同创新发展。助力省级以上高新区争先进位，支持溧阳高新区争创国家级高新区。</w:t>
            </w:r>
          </w:p>
        </w:tc>
      </w:tr>
    </w:tbl>
    <w:p w14:paraId="2959E373">
      <w:pPr>
        <w:overflowPunct w:val="0"/>
        <w:autoSpaceDE w:val="0"/>
        <w:autoSpaceDN w:val="0"/>
        <w:adjustRightInd w:val="0"/>
        <w:snapToGrid w:val="0"/>
        <w:spacing w:line="570" w:lineRule="exact"/>
        <w:ind w:firstLine="641"/>
        <w:rPr>
          <w:rFonts w:eastAsia="方正仿宋_GBK"/>
          <w:snapToGrid w:val="0"/>
          <w:kern w:val="0"/>
          <w:sz w:val="32"/>
          <w:szCs w:val="32"/>
          <w:u w:val="single"/>
        </w:rPr>
      </w:pPr>
      <w:r>
        <w:rPr>
          <w:rFonts w:eastAsia="方正仿宋_GBK"/>
          <w:bCs/>
          <w:snapToGrid w:val="0"/>
          <w:kern w:val="0"/>
          <w:sz w:val="32"/>
          <w:szCs w:val="32"/>
        </w:rPr>
        <w:t>构建“2+3+N”科技创新平台体系。</w:t>
      </w:r>
      <w:r>
        <w:rPr>
          <w:rFonts w:eastAsia="方正仿宋_GBK"/>
          <w:snapToGrid w:val="0"/>
          <w:kern w:val="0"/>
          <w:sz w:val="32"/>
          <w:szCs w:val="32"/>
        </w:rPr>
        <w:t>推动“两室三中心”建设，支持智能制造龙城实验室创建省实验室，建设全国重要影响力的高性能工业母机重要理论与技术策源地和人工智能前沿交叉技术创新公共服务平台。支持光伏科学与技术全国重点实验室进一步融入国家战略科技力量体系，推动光伏电池关键技术、光电材料取得重大突破，跻身国际顶尖光伏电池科学与技术研究机构行列。推动长三角碳纤维及复合材料技术创新中心组织实施重大研发项目，争创国家技术创新中心。推动江苏省合成生物技术创新中心、先进动力和储能电池技术创新中心建设，加强合成生物、动力电池等领域研发攻关。瞄准国家、省重点实验室布局，聚焦未来产业领域，新建和培育一批符合发展趋势、集聚创新人才、具有应用基础研究能力的市重点实验室，打造省重点实验室后备梯队。支持龙头骨干创新企业争创省重点实验室。构建跨学科、大协作和政产学研融通创新合作机制，促进重点实验室与区域特色园区、行业骨干企业互动。主动对接省实验室联盟，积极吸纳市外实验室资源与常州科技、产业融合。</w:t>
      </w:r>
    </w:p>
    <w:p w14:paraId="6E62A83E">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推动新型研发机构高质量发展。</w:t>
      </w:r>
      <w:r>
        <w:rPr>
          <w:rFonts w:eastAsia="方正仿宋_GBK"/>
          <w:snapToGrid w:val="0"/>
          <w:kern w:val="0"/>
          <w:sz w:val="32"/>
          <w:szCs w:val="32"/>
        </w:rPr>
        <w:t>瞄准未来产业领域，有效整合创新资源，支持新型研发机构建设。加快推进常州市具身智能机器人科创中心、武进南大未来技术创新研究院、通用决策智能研究所等平台建设，推进江苏中科智能科学技术应用研究院等与中科工业人工智能研究院加强深度合作。推动新型研发机构与龙头企业共建院企联合研发中心，深度参与企业创新。推动新型研发机构市场化机制改革，引进企业和高技术含量项目，打造一批国内一流的研发机构。</w:t>
      </w:r>
    </w:p>
    <w:p w14:paraId="6EDAD421">
      <w:pPr>
        <w:overflowPunct w:val="0"/>
        <w:autoSpaceDE w:val="0"/>
        <w:autoSpaceDN w:val="0"/>
        <w:adjustRightInd w:val="0"/>
        <w:snapToGrid w:val="0"/>
        <w:spacing w:line="570" w:lineRule="exact"/>
        <w:ind w:firstLine="641"/>
        <w:rPr>
          <w:rFonts w:eastAsia="方正仿宋_GBK"/>
          <w:strike/>
          <w:snapToGrid w:val="0"/>
          <w:kern w:val="0"/>
          <w:sz w:val="32"/>
          <w:szCs w:val="32"/>
        </w:rPr>
      </w:pPr>
      <w:r>
        <w:rPr>
          <w:rFonts w:eastAsia="方正仿宋_GBK"/>
          <w:bCs/>
          <w:snapToGrid w:val="0"/>
          <w:kern w:val="0"/>
          <w:sz w:val="32"/>
          <w:szCs w:val="32"/>
        </w:rPr>
        <w:t>建设高水平科技创业平台。</w:t>
      </w:r>
      <w:r>
        <w:rPr>
          <w:rFonts w:eastAsia="方正仿宋_GBK"/>
          <w:snapToGrid w:val="0"/>
          <w:kern w:val="0"/>
          <w:sz w:val="32"/>
          <w:szCs w:val="32"/>
        </w:rPr>
        <w:t>着力完善孵化育成体系，加大对科技型企业孵化器的支持力度，构建覆盖市级、省级、省级标杆、工信部标准级和卓越级的全链条跟踪培育与能力提升机制。聚焦高端装备、新能源、新材料、生物医药等重点产业领域，鼓励行业龙头企业、上市公司围绕产业链布局建设孵化器，支持科研机构与优质运营机构面向未来产业设立专业孵化器。提升既有孵化器运营水平，鼓励开展“超前孵化”。强化应用场景驱动的创业孵化，支持面向前沿领域的技术孵化型、创投孵化型、产业链孵化型、专业孵化型等多元创业服务机构建设，常态化举办“双创”品牌赛事活动。</w:t>
      </w:r>
    </w:p>
    <w:p w14:paraId="79FE180F">
      <w:pPr>
        <w:overflowPunct w:val="0"/>
        <w:autoSpaceDE w:val="0"/>
        <w:autoSpaceDN w:val="0"/>
        <w:adjustRightInd w:val="0"/>
        <w:snapToGrid w:val="0"/>
        <w:spacing w:before="240" w:after="240" w:line="570" w:lineRule="exact"/>
        <w:jc w:val="center"/>
        <w:outlineLvl w:val="1"/>
        <w:rPr>
          <w:rFonts w:hint="eastAsia" w:ascii="方正楷体_GBK" w:eastAsia="方正楷体_GBK"/>
          <w:snapToGrid w:val="0"/>
          <w:kern w:val="0"/>
          <w:sz w:val="32"/>
          <w:szCs w:val="32"/>
        </w:rPr>
      </w:pPr>
      <w:bookmarkStart w:id="25" w:name="_Toc8989"/>
      <w:r>
        <w:rPr>
          <w:rFonts w:hint="eastAsia" w:ascii="方正楷体_GBK" w:eastAsia="方正楷体_GBK"/>
          <w:snapToGrid w:val="0"/>
          <w:kern w:val="0"/>
          <w:sz w:val="32"/>
          <w:szCs w:val="32"/>
        </w:rPr>
        <w:t>第三节  加快打造创新人才高地</w:t>
      </w:r>
      <w:bookmarkEnd w:id="25"/>
    </w:p>
    <w:p w14:paraId="5D09C002">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加大“引才”力度，深化产才融合。</w:t>
      </w:r>
      <w:r>
        <w:rPr>
          <w:rFonts w:eastAsia="方正仿宋_GBK"/>
          <w:snapToGrid w:val="0"/>
          <w:kern w:val="0"/>
          <w:sz w:val="32"/>
          <w:szCs w:val="32"/>
        </w:rPr>
        <w:t>迭代完善“龙城英才计划”政策体系。大力引进具备原始创新能力、行业破局能力的顶尖战略人才，给予“一人一策”支持，力争到“十五五”期末全市战略人才总量、全职院士数量显著提升。发挥“技术转移官”招才支点作用，更大力度招引新能源、高端装备、人工智能等领域创新创业人才，加快打造特色产业人才集聚区。深入实施“常青工程”，聚焦企业发展和促进就业需要，大力招引产业技能人才、经营管理人才。持续加大青年人才集聚力度，努力建设一支数量充足、结构合理、素质优良、具有竞争力的青年人才队伍。</w:t>
      </w:r>
      <w:bookmarkStart w:id="26" w:name="OLE_LINK8"/>
      <w:r>
        <w:rPr>
          <w:rFonts w:eastAsia="方正仿宋_GBK"/>
          <w:snapToGrid w:val="0"/>
          <w:kern w:val="0"/>
          <w:sz w:val="32"/>
          <w:szCs w:val="32"/>
        </w:rPr>
        <w:t>“十五五”期间</w:t>
      </w:r>
      <w:bookmarkEnd w:id="26"/>
      <w:r>
        <w:rPr>
          <w:rFonts w:eastAsia="方正仿宋_GBK"/>
          <w:snapToGrid w:val="0"/>
          <w:kern w:val="0"/>
          <w:sz w:val="32"/>
          <w:szCs w:val="32"/>
        </w:rPr>
        <w:t>力争引进各类人才超50万人，每年引进领军型创新创业人才项目（团队）不少于500个。</w:t>
      </w:r>
    </w:p>
    <w:p w14:paraId="3F5D727A">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拓展“育才”成效，提升队伍质态。</w:t>
      </w:r>
      <w:r>
        <w:rPr>
          <w:rFonts w:eastAsia="方正仿宋_GBK"/>
          <w:snapToGrid w:val="0"/>
          <w:kern w:val="0"/>
          <w:sz w:val="32"/>
          <w:szCs w:val="32"/>
        </w:rPr>
        <w:t>充分发挥企业育才主体作用，更大力度支持企业自主育才，鼓励企业选送优秀人才参加技能提升、职称培训、学历深造。充分发挥常州职教名城优势，深化产教融合，校企合作培养技能人才。鼓励龙头企业、链主企业联合高校院所创办特色产业学院、企业大学和高水平实训基地，深入开展新产业、新职业、新技能、新工科培训。实施“龙城工匠”培育工程，注重培育一批“数字工匠”，打造更多新一代领军型工匠，形成工匠人才雁形矩阵，全力打造新时代工匠之城。发挥金融赋能人才发展功效，常态化举办“华罗庚创新创业周”、高层次人才创新创业大赛和项目路演等活动，进一步丰富“人才贷”“人才投”等金融支持手段，加大对初创型、种子期项目的精准滴灌。构建更加科学合理的育才体系，根据行业特点量身定制育才政策。</w:t>
      </w:r>
    </w:p>
    <w:p w14:paraId="61EF81B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完善“用才”机制，激发创新活力。</w:t>
      </w:r>
      <w:r>
        <w:rPr>
          <w:rFonts w:eastAsia="方正仿宋_GBK"/>
          <w:snapToGrid w:val="0"/>
          <w:kern w:val="0"/>
          <w:sz w:val="32"/>
          <w:szCs w:val="32"/>
        </w:rPr>
        <w:t>深化“双岗互聘”柔性用才机制，每年遴选1000名左右博士层次人才，在高科技企业、高校及科研院所间兼职互聘。创新实施“揭榜挂帅”“赛马制”等竞争模式，支持龙头企业牵头组建人才攻关联合体。广泛开展各种建功立业和群众性创新创造活动，开展劳动和技能竞赛、职工创新成果认定。坚持“破四唯”与“立新标”并举，建立健全以创新能力、质量、实效、贡献为导向的人才评价体系。进一步完善人才分层分类认定，赋予用人单位更多人才评价权、举荐自主权，加强对行业突出贡献人才、高技能人才等激励。用好新型研发平台、概念验证中心、公共测试平台等服务载体，为各类人才施展才华、建功立业搭建更加广阔的舞台。</w:t>
      </w:r>
    </w:p>
    <w:p w14:paraId="1E5578A3">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优化“留才”生态，促进才城共荣。</w:t>
      </w:r>
      <w:bookmarkStart w:id="27" w:name="OLE_LINK1"/>
      <w:r>
        <w:rPr>
          <w:rFonts w:eastAsia="方正仿宋_GBK"/>
          <w:snapToGrid w:val="0"/>
          <w:kern w:val="0"/>
          <w:sz w:val="32"/>
          <w:szCs w:val="32"/>
        </w:rPr>
        <w:t>建设人才友好型城市，健全稳定持续的人才投入机制，将行业骨干、技能工匠、新业态从业者等全类型人才纳入扶持范畴，打造“广泛覆盖、精准滴灌、市区协同”的政策保障体系。深化人才公寓服务赋能，提升青年驿站供给水平，擦亮人才安居特色品牌。到2030年，全市人才公寓保有量不低于11万套，青年驿站供给数不少于2000套（间）。</w:t>
      </w:r>
      <w:bookmarkEnd w:id="27"/>
      <w:r>
        <w:rPr>
          <w:rFonts w:eastAsia="方正仿宋_GBK"/>
          <w:snapToGrid w:val="0"/>
          <w:kern w:val="0"/>
          <w:sz w:val="32"/>
          <w:szCs w:val="32"/>
        </w:rPr>
        <w:t>聚焦人才实际需求，提升优质公共服务供给水平。开通人才服务线上“总入口”，实现政策查询、补贴申领、项目申报、资源对接</w:t>
      </w:r>
      <w:bookmarkStart w:id="28" w:name="OLE_LINK3"/>
      <w:r>
        <w:rPr>
          <w:rFonts w:eastAsia="方正仿宋_GBK"/>
          <w:snapToGrid w:val="0"/>
          <w:kern w:val="0"/>
          <w:sz w:val="32"/>
          <w:szCs w:val="32"/>
        </w:rPr>
        <w:t>一键办理。</w:t>
      </w:r>
      <w:bookmarkEnd w:id="28"/>
      <w:bookmarkStart w:id="29" w:name="OLE_LINK5"/>
      <w:bookmarkStart w:id="30" w:name="OLE_LINK4"/>
      <w:r>
        <w:rPr>
          <w:rFonts w:eastAsia="方正仿宋_GBK"/>
          <w:snapToGrid w:val="0"/>
          <w:kern w:val="0"/>
          <w:sz w:val="32"/>
          <w:szCs w:val="32"/>
        </w:rPr>
        <w:t>高标准建设常州国际人才港</w:t>
      </w:r>
      <w:bookmarkEnd w:id="29"/>
      <w:r>
        <w:rPr>
          <w:rFonts w:eastAsia="方正仿宋_GBK"/>
          <w:snapToGrid w:val="0"/>
          <w:kern w:val="0"/>
          <w:sz w:val="32"/>
          <w:szCs w:val="32"/>
        </w:rPr>
        <w:t>。</w:t>
      </w:r>
      <w:bookmarkEnd w:id="30"/>
      <w:r>
        <w:rPr>
          <w:rFonts w:eastAsia="方正仿宋_GBK"/>
          <w:snapToGrid w:val="0"/>
          <w:kern w:val="0"/>
          <w:sz w:val="32"/>
          <w:szCs w:val="32"/>
        </w:rPr>
        <w:t>加强对人才的政治引领、政治吸纳，常态化开展“爱国·奋斗·奉献”主题教育活动，大力弘扬科学家精神、劳模精神、劳动精神、工匠精神。健全人才表彰激励机制，优化完善人才礼遇政策。常态化宣传人才典型、工作成效和政策亮点，营造尊才爱才兴才的浓厚社会氛围。</w:t>
      </w:r>
    </w:p>
    <w:p w14:paraId="73801B48">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31" w:name="_Toc11113"/>
      <w:r>
        <w:rPr>
          <w:rFonts w:ascii="方正楷体_GBK" w:eastAsia="方正楷体_GBK"/>
          <w:snapToGrid w:val="0"/>
          <w:kern w:val="0"/>
          <w:sz w:val="32"/>
          <w:szCs w:val="32"/>
        </w:rPr>
        <w:t>第四节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营造一流创业创新生态</w:t>
      </w:r>
      <w:bookmarkEnd w:id="31"/>
    </w:p>
    <w:p w14:paraId="69E266B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推进教育科技人才体制机制一体改革。</w:t>
      </w:r>
      <w:r>
        <w:rPr>
          <w:rFonts w:eastAsia="方正仿宋_GBK"/>
          <w:snapToGrid w:val="0"/>
          <w:kern w:val="0"/>
          <w:sz w:val="32"/>
          <w:szCs w:val="32"/>
        </w:rPr>
        <w:t>加快构建支持全面创新体制机制，加强创新资源统筹和力量组织，提升在常“双一流”校区、高水平大学和一流应用型本科高校办学能级，深入实施全省优势学科、品牌专业建设工程，建优一批优势学科专业集群，强化高等教育对科技、人才的支撑作用。强化高校、科研机构、创新平台、企业、科技计划人才集聚培养功能，培养造就更多科技领军人才、卓越工程师、大国工匠、高技能人才，建设一流产业技术工人队伍。支持常州科教城建设江苏省教育科技人才体制机制一体改革综合试点单位，探索事业性质科研机构企业化管理。支持龙城科创学院持续开展“新工科”教育，打造独角兽“种子工程”，形成“一校一地一平台一园区”融合创新模式。加快转变政府科技管理职能，完善财政科技经费分配和管理使用机制，扩大财政科研项目经费“包干制”范围。依托“探索频道”湖畔沙龙等平台，促进科研创新、成果转化、人才培养。</w:t>
      </w:r>
    </w:p>
    <w:p w14:paraId="2146D10A">
      <w:pPr>
        <w:overflowPunct w:val="0"/>
        <w:autoSpaceDE w:val="0"/>
        <w:autoSpaceDN w:val="0"/>
        <w:adjustRightInd w:val="0"/>
        <w:snapToGrid w:val="0"/>
        <w:spacing w:line="550" w:lineRule="exact"/>
        <w:ind w:firstLine="641"/>
        <w:rPr>
          <w:rFonts w:eastAsia="方正仿宋_GBK"/>
          <w:snapToGrid w:val="0"/>
          <w:kern w:val="0"/>
          <w:sz w:val="32"/>
          <w:szCs w:val="32"/>
        </w:rPr>
      </w:pPr>
      <w:r>
        <w:rPr>
          <w:rFonts w:eastAsia="方正仿宋_GBK"/>
          <w:bCs/>
          <w:snapToGrid w:val="0"/>
          <w:kern w:val="0"/>
          <w:sz w:val="32"/>
          <w:szCs w:val="32"/>
        </w:rPr>
        <w:t>增强科技金融服务和发展耐心资本。</w:t>
      </w:r>
      <w:r>
        <w:rPr>
          <w:rFonts w:eastAsia="方正仿宋_GBK"/>
          <w:snapToGrid w:val="0"/>
          <w:kern w:val="0"/>
          <w:sz w:val="32"/>
          <w:szCs w:val="32"/>
        </w:rPr>
        <w:t>完善科技金融服务协作机制，加强科技型企业信用评价体系建设，探索建立科技型中小企业贷款风险分担和补偿机制，深化新型政银担企合作。探索科技金融产品和服务创新，推进知识产权质押融资、科技保险等新模式发展。</w:t>
      </w:r>
      <w:bookmarkStart w:id="32" w:name="OLE_LINK2"/>
      <w:r>
        <w:rPr>
          <w:rFonts w:eastAsia="方正仿宋_GBK"/>
          <w:snapToGrid w:val="0"/>
          <w:kern w:val="0"/>
          <w:sz w:val="32"/>
          <w:szCs w:val="32"/>
        </w:rPr>
        <w:t>引导政府性融资担保机构加大服务科技型小微企业力度</w:t>
      </w:r>
      <w:bookmarkEnd w:id="32"/>
      <w:r>
        <w:rPr>
          <w:rFonts w:eastAsia="方正仿宋_GBK"/>
          <w:snapToGrid w:val="0"/>
          <w:kern w:val="0"/>
          <w:sz w:val="32"/>
          <w:szCs w:val="32"/>
        </w:rPr>
        <w:t>。高质量建设龙城金谷，打造以龙城科创基金为纽带、社会资本集聚的发展格局，积极争取国家级、省级长期资本支持，壮大全周期基金产业集群。用好区域股权市场培育功能。支持符合条件的企业赴境内外资本市场上市融资。定期发布科技企业融资需求清单，常态化举办科技金融和项目路演活动。完善长期资本投早、投小、投长期、投硬科技的支持政策，健全重大技术攻关风险分散机制，建立科技保险政策体系。借鉴“拨投结合”模式，有效提升财政资金使用效率。</w:t>
      </w:r>
    </w:p>
    <w:p w14:paraId="59AF2088">
      <w:pPr>
        <w:overflowPunct w:val="0"/>
        <w:autoSpaceDE w:val="0"/>
        <w:autoSpaceDN w:val="0"/>
        <w:adjustRightInd w:val="0"/>
        <w:snapToGrid w:val="0"/>
        <w:spacing w:line="550" w:lineRule="exact"/>
        <w:ind w:firstLine="641"/>
        <w:rPr>
          <w:rFonts w:eastAsia="方正仿宋_GBK"/>
          <w:snapToGrid w:val="0"/>
          <w:kern w:val="0"/>
          <w:sz w:val="32"/>
          <w:szCs w:val="32"/>
        </w:rPr>
      </w:pPr>
      <w:r>
        <w:rPr>
          <w:rFonts w:eastAsia="方正仿宋_GBK"/>
          <w:bCs/>
          <w:snapToGrid w:val="0"/>
          <w:kern w:val="0"/>
          <w:sz w:val="32"/>
          <w:szCs w:val="32"/>
        </w:rPr>
        <w:t>完善科技成果转化机制和科技服务体系。</w:t>
      </w:r>
      <w:r>
        <w:rPr>
          <w:rFonts w:eastAsia="方正仿宋_GBK"/>
          <w:snapToGrid w:val="0"/>
          <w:kern w:val="0"/>
          <w:sz w:val="32"/>
          <w:szCs w:val="32"/>
        </w:rPr>
        <w:t>支持在常高校、科研院所深化科技成果转化机制改革，建立职务科技成果资产单列管理制度，深化职务科技成果赋权改革。鼓励和引导高校、科研院所按照“先使用后付费”方式把科技成果许可给中小微企业使用。加快布局建设一批概念验证、中试平台，组织开展未来产业概念验证公共技术服务平台认定，建设市级概念验证中心，争创省概念验证中心。支持龙头企业、科研院所建设服务行业发展的省级以上制造业中试平台。加速科研项目“熟化”，提升成果转化率。完善首台（套）、首批次、首版次应用政策。完善技术转移体系建设，支持在常高校、科研机构和科技企业设立技术转移部门，大力发展社会化技术转移机构。建设国家知识产权强市，持续完善知识产权服务体系，加大高价值专利培育力度，加强关键领域自主知识产权创造、布局、市场化运营，引导企业积极开展海外知识产权布局。</w:t>
      </w:r>
    </w:p>
    <w:p w14:paraId="08B72451">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深化区域开放创新合作。</w:t>
      </w:r>
      <w:r>
        <w:rPr>
          <w:rFonts w:eastAsia="方正仿宋_GBK"/>
          <w:snapToGrid w:val="0"/>
          <w:kern w:val="0"/>
          <w:sz w:val="32"/>
          <w:szCs w:val="32"/>
        </w:rPr>
        <w:t>融入国家战略布局，主动承担和参与国家、省重大科技任务，协同推进战略科技力量培育。主动对接上海，深度参与长三角科技创新共同体建设，加强与长三角国家技术创新中心深度合作，加快推进长三角（常州）创新中心、上海市研发公共服务平台武进科创促进中心等平台建设。积极开展“基础研究+技术攻关+成果产业化+科技金融”的全过程创新生态链合作，推动先进技术成果在常转化及产业化，推动与复旦大学、上海交通大学等共建创新平台，深化与中国科学院、清华大学、西安交通大学、省产研院等科技合作。积极融入全球创新网络，加强与重点国别、“一带一路”沿线国家和地区的全方位科技合作。加快中以常州创新园建设，升级“中以常州创新园共建计划”，积极争取国家改革试点落地园区；推进江苏省中以产业技术研究院、广以常州研究院、通用决策智能研究所等创新平台建设；常态化举办中以创新合作周、常州人工智能创新合作周等各类交流活动和创新创业邀请赛。支持弗劳恩霍夫研究院分支机构、牛津大学科技创新（常州）中心、中德产业创新与合作中心等国际技术转移机构建设。支持以色列江苏创新中心等离岸创新中心建设，鼓励企业“走出去”设立海外研发机构。</w:t>
      </w:r>
    </w:p>
    <w:p w14:paraId="0C7EA330">
      <w:pPr>
        <w:overflowPunct w:val="0"/>
        <w:autoSpaceDE w:val="0"/>
        <w:autoSpaceDN w:val="0"/>
        <w:adjustRightInd w:val="0"/>
        <w:snapToGrid w:val="0"/>
        <w:spacing w:before="240" w:after="240" w:line="570" w:lineRule="exact"/>
        <w:jc w:val="center"/>
        <w:outlineLvl w:val="1"/>
        <w:rPr>
          <w:rFonts w:hint="eastAsia" w:ascii="方正黑体_GBK" w:eastAsia="方正黑体_GBK"/>
          <w:snapToGrid w:val="0"/>
          <w:kern w:val="0"/>
          <w:sz w:val="32"/>
          <w:szCs w:val="32"/>
        </w:rPr>
      </w:pPr>
      <w:bookmarkStart w:id="33" w:name="_Toc10718"/>
      <w:r>
        <w:rPr>
          <w:rFonts w:hint="eastAsia" w:ascii="方正黑体_GBK" w:eastAsia="方正黑体_GBK"/>
          <w:snapToGrid w:val="0"/>
          <w:kern w:val="0"/>
          <w:sz w:val="32"/>
          <w:szCs w:val="32"/>
        </w:rPr>
        <w:t>第四章  提升城市能级  建设现代化区域中心城市</w:t>
      </w:r>
      <w:bookmarkEnd w:id="33"/>
    </w:p>
    <w:p w14:paraId="2B1BD5D4">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坚持城市工作“五个转变、五个更加”的重要原则，紧扣“一个优化、六个建设”的重要任务，突出高质量发展主题和内涵式发展主线，更加注重集约高效、统筹协调，以空间格局优化、区域协调发展增动能，以基础设施完善、城市有机更新提品质，全面提升城市能级和综合承载力。</w:t>
      </w:r>
    </w:p>
    <w:p w14:paraId="67EE813C">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34" w:name="_Toc25953"/>
      <w:r>
        <w:rPr>
          <w:rFonts w:ascii="方正楷体_GBK" w:eastAsia="方正楷体_GBK"/>
          <w:snapToGrid w:val="0"/>
          <w:kern w:val="0"/>
          <w:sz w:val="32"/>
          <w:szCs w:val="32"/>
        </w:rPr>
        <w:t xml:space="preserve">第一节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优化调整城乡空间格局</w:t>
      </w:r>
      <w:bookmarkEnd w:id="34"/>
    </w:p>
    <w:p w14:paraId="01962B9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优化全域国土空间格局。</w:t>
      </w:r>
      <w:r>
        <w:rPr>
          <w:rFonts w:eastAsia="方正仿宋_GBK"/>
          <w:snapToGrid w:val="0"/>
          <w:kern w:val="0"/>
          <w:sz w:val="32"/>
          <w:szCs w:val="32"/>
        </w:rPr>
        <w:t>深入践行人民城市理念，按照“城乡融合、区域协同”原则，落实产城人融合发展要求，构建“中心优化、南北提质、东西融合、全域一体”空间格局，大力提升小城镇综合功能和特色风貌，放大功能互补、错位发展、各具特色的组合效应。提升老城厢、市民广场等片区功能品质，打造城市</w:t>
      </w:r>
      <w:r>
        <w:rPr>
          <w:rFonts w:eastAsia="方正仿宋_GBK"/>
          <w:snapToGrid w:val="0"/>
          <w:spacing w:val="-6"/>
          <w:kern w:val="0"/>
          <w:sz w:val="32"/>
          <w:szCs w:val="32"/>
        </w:rPr>
        <w:t>活力中心区，推动高铁新城、西太湖片区等区域特色发展。武进、新北打造科产城人融合发展引领区，天宁、钟楼、常经开注重城区内涵提升与外围乡镇协同联动，推进常金同城化、常溧一体化发展。</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7A986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5971C3FC">
            <w:pPr>
              <w:overflowPunct w:val="0"/>
              <w:autoSpaceDE w:val="0"/>
              <w:autoSpaceDN w:val="0"/>
              <w:adjustRightInd w:val="0"/>
              <w:snapToGrid w:val="0"/>
              <w:spacing w:before="120" w:after="120" w:line="500" w:lineRule="exact"/>
              <w:jc w:val="center"/>
              <w:outlineLvl w:val="1"/>
              <w:rPr>
                <w:rFonts w:eastAsia="方正黑体_GBK"/>
                <w:snapToGrid w:val="0"/>
                <w:kern w:val="0"/>
                <w:sz w:val="28"/>
                <w:szCs w:val="28"/>
              </w:rPr>
            </w:pPr>
            <w:r>
              <w:rPr>
                <w:rFonts w:eastAsia="方正黑体_GBK"/>
                <w:snapToGrid w:val="0"/>
                <w:kern w:val="0"/>
                <w:sz w:val="28"/>
                <w:szCs w:val="28"/>
              </w:rPr>
              <w:t>专栏4-1  城市重要空间功能板块规划建设引导</w:t>
            </w:r>
          </w:p>
          <w:p w14:paraId="4FB3FACC">
            <w:pPr>
              <w:overflowPunct w:val="0"/>
              <w:autoSpaceDE w:val="0"/>
              <w:autoSpaceDN w:val="0"/>
              <w:adjustRightInd w:val="0"/>
              <w:snapToGrid w:val="0"/>
              <w:spacing w:line="500" w:lineRule="exact"/>
              <w:ind w:firstLine="561"/>
              <w:rPr>
                <w:rFonts w:eastAsia="方正仿宋_GBK"/>
                <w:snapToGrid w:val="0"/>
                <w:kern w:val="0"/>
                <w:sz w:val="28"/>
                <w:szCs w:val="28"/>
              </w:rPr>
            </w:pPr>
            <w:r>
              <w:rPr>
                <w:rFonts w:hint="eastAsia" w:ascii="方正楷体_GBK" w:eastAsia="方正楷体_GBK"/>
                <w:bCs/>
                <w:snapToGrid w:val="0"/>
                <w:kern w:val="0"/>
                <w:sz w:val="28"/>
                <w:szCs w:val="28"/>
              </w:rPr>
              <w:t>天宁区、钟楼区：</w:t>
            </w:r>
            <w:r>
              <w:rPr>
                <w:rFonts w:eastAsia="方正仿宋_GBK"/>
                <w:snapToGrid w:val="0"/>
                <w:kern w:val="0"/>
                <w:sz w:val="28"/>
                <w:szCs w:val="28"/>
              </w:rPr>
              <w:t>传承老城厢深厚人文底蕴，盘活存量、拓展空间，打造文商旅消费中心、都市产业基地。</w:t>
            </w:r>
          </w:p>
          <w:p w14:paraId="58B3C757">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武进区：</w:t>
            </w:r>
            <w:r>
              <w:rPr>
                <w:rFonts w:eastAsia="方正仿宋_GBK"/>
                <w:snapToGrid w:val="0"/>
                <w:kern w:val="0"/>
                <w:sz w:val="28"/>
                <w:szCs w:val="28"/>
              </w:rPr>
              <w:t>以武进高新区、西太湖片区、常州科教城、中以常州创新园为引领，推动科技创新与产业创新深度融合，打造长三角重要的科创策源地和产业创新高地。</w:t>
            </w:r>
          </w:p>
          <w:p w14:paraId="470B260E">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常州高新区：</w:t>
            </w:r>
            <w:r>
              <w:rPr>
                <w:rFonts w:eastAsia="方正仿宋_GBK"/>
                <w:snapToGrid w:val="0"/>
                <w:kern w:val="0"/>
                <w:sz w:val="28"/>
                <w:szCs w:val="28"/>
              </w:rPr>
              <w:t>用好产业及区位优势，依托高铁新城，发展新兴产业未来产业，建设宜居美丽韧性城市，打造产城融合新高地、开放活力桥头堡。</w:t>
            </w:r>
          </w:p>
          <w:p w14:paraId="49636682">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常州经开区：</w:t>
            </w:r>
            <w:r>
              <w:rPr>
                <w:rFonts w:eastAsia="方正仿宋_GBK"/>
                <w:snapToGrid w:val="0"/>
                <w:kern w:val="0"/>
                <w:sz w:val="28"/>
                <w:szCs w:val="28"/>
              </w:rPr>
              <w:t>发挥“东大门”优势，全力做好“园区更新”“城市更新”文章，打造智能制造基地、绿色转型样板。</w:t>
            </w:r>
          </w:p>
          <w:p w14:paraId="68817FC4">
            <w:pPr>
              <w:overflowPunct w:val="0"/>
              <w:autoSpaceDE w:val="0"/>
              <w:autoSpaceDN w:val="0"/>
              <w:adjustRightInd w:val="0"/>
              <w:snapToGrid w:val="0"/>
              <w:spacing w:line="500" w:lineRule="exact"/>
              <w:ind w:firstLine="561"/>
              <w:rPr>
                <w:rFonts w:hint="eastAsia" w:eastAsia="方正仿宋_GBK"/>
                <w:snapToGrid w:val="0"/>
                <w:kern w:val="0"/>
                <w:sz w:val="28"/>
                <w:szCs w:val="28"/>
              </w:rPr>
            </w:pPr>
            <w:r>
              <w:rPr>
                <w:rFonts w:ascii="方正楷体_GBK" w:eastAsia="方正楷体_GBK"/>
                <w:bCs/>
                <w:snapToGrid w:val="0"/>
                <w:kern w:val="0"/>
                <w:sz w:val="28"/>
                <w:szCs w:val="28"/>
              </w:rPr>
              <w:t>金坛区：</w:t>
            </w:r>
            <w:r>
              <w:rPr>
                <w:rFonts w:eastAsia="方正仿宋_GBK"/>
                <w:snapToGrid w:val="0"/>
                <w:kern w:val="0"/>
                <w:sz w:val="28"/>
                <w:szCs w:val="28"/>
              </w:rPr>
              <w:t>加快常金同城化发展，推动区域能级跃升，打造现代智造新高地、生态活力新城区。</w:t>
            </w:r>
          </w:p>
          <w:p w14:paraId="7325A52A">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溧阳市：</w:t>
            </w:r>
            <w:r>
              <w:rPr>
                <w:rFonts w:eastAsia="方正仿宋_GBK"/>
                <w:snapToGrid w:val="0"/>
                <w:kern w:val="0"/>
                <w:sz w:val="28"/>
                <w:szCs w:val="28"/>
              </w:rPr>
              <w:t>加快常溧一体化发展，坚持“生态+创新”双轮驱动，打造生态休闲旅游目的地、新兴制造业基地。</w:t>
            </w:r>
          </w:p>
          <w:p w14:paraId="64094568">
            <w:pPr>
              <w:overflowPunct w:val="0"/>
              <w:autoSpaceDE w:val="0"/>
              <w:autoSpaceDN w:val="0"/>
              <w:adjustRightInd w:val="0"/>
              <w:snapToGrid w:val="0"/>
              <w:jc w:val="center"/>
              <w:rPr>
                <w:rFonts w:eastAsia="方正仿宋_GBK"/>
                <w:snapToGrid w:val="0"/>
                <w:kern w:val="0"/>
                <w:sz w:val="32"/>
                <w:szCs w:val="32"/>
              </w:rPr>
            </w:pPr>
            <w:r>
              <w:rPr>
                <w:snapToGrid w:val="0"/>
                <w:kern w:val="0"/>
              </w:rPr>
              <w:drawing>
                <wp:inline distT="0" distB="0" distL="114300" distR="114300">
                  <wp:extent cx="5155565" cy="5260340"/>
                  <wp:effectExtent l="0" t="0" r="0" b="16510"/>
                  <wp:docPr id="1" name="图片 1" descr="6d581760e7f0f615aa6db506d71ef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d581760e7f0f615aa6db506d71ef89c"/>
                          <pic:cNvPicPr>
                            <a:picLocks noChangeAspect="1"/>
                          </pic:cNvPicPr>
                        </pic:nvPicPr>
                        <pic:blipFill>
                          <a:blip r:embed="rId4"/>
                          <a:srcRect b="9763"/>
                          <a:stretch>
                            <a:fillRect/>
                          </a:stretch>
                        </pic:blipFill>
                        <pic:spPr>
                          <a:xfrm>
                            <a:off x="0" y="0"/>
                            <a:ext cx="5155565" cy="5260340"/>
                          </a:xfrm>
                          <a:prstGeom prst="rect">
                            <a:avLst/>
                          </a:prstGeom>
                          <a:noFill/>
                          <a:ln>
                            <a:noFill/>
                          </a:ln>
                        </pic:spPr>
                      </pic:pic>
                    </a:graphicData>
                  </a:graphic>
                </wp:inline>
              </w:drawing>
            </w:r>
          </w:p>
        </w:tc>
      </w:tr>
    </w:tbl>
    <w:p w14:paraId="206BF469">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推动老城厢焕发活力。</w:t>
      </w:r>
      <w:r>
        <w:rPr>
          <w:rFonts w:eastAsia="方正仿宋_GBK"/>
          <w:snapToGrid w:val="0"/>
          <w:kern w:val="0"/>
          <w:sz w:val="32"/>
          <w:szCs w:val="32"/>
        </w:rPr>
        <w:t>推动老城厢复兴，促进文旅商居融合发展，打造“人文城厢”“活力城厢”“品质城厢”“宜居城厢”。重点探索人文经济复兴举措，围绕文化和工业资源利用、文化场景缝合、特色业态塑造等，推动工业遗产与城市更新深度融合。把握大运河文化带建设契机，构建水岸联动特色游线体系，打造多层级多类型文商旅融合产品。优化组织老城厢各类特色主题街道，串联整合老城厢重要特色资源点，构建体系完善、具有特色的慢行网络。持续提升居住环境品质、提高生活服务水平、提优公共交往空间。</w:t>
      </w:r>
    </w:p>
    <w:p w14:paraId="06546E3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持续推进高铁新城建设。</w:t>
      </w:r>
      <w:r>
        <w:rPr>
          <w:rFonts w:eastAsia="方正仿宋_GBK"/>
          <w:snapToGrid w:val="0"/>
          <w:kern w:val="0"/>
          <w:sz w:val="32"/>
          <w:szCs w:val="32"/>
        </w:rPr>
        <w:t>着力发展绿色智慧能源、低碳智能智造、生命健康等产业，加速集聚功能总部、头部机构、高能级创新平台，布局新商业、新功能、新业态，打造站城湖一体、商务休闲、功能复合的城市门户。优化提升区域交通网络和配套设施，放大常泰长江大桥通车后高铁新城联通南北、串联东西的支点作用。加大公共服务能力供给，推进市第一人民医院高新院区（新北区人民医院）、市第二工人文化宫、常州工学院二期等项目建设。充分利用新龙生态林、新龙湖水上运动中心等生态空间，持续开展音乐节、皮划艇等文体旅活动。加快推进国家长江文化公园建设，打造长江常州岸线文脉新标识。</w:t>
      </w:r>
    </w:p>
    <w:p w14:paraId="6035EE1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深化常金同城化发展和常溧一体化进程。</w:t>
      </w:r>
      <w:r>
        <w:rPr>
          <w:rFonts w:eastAsia="方正仿宋_GBK"/>
          <w:snapToGrid w:val="0"/>
          <w:kern w:val="0"/>
          <w:sz w:val="32"/>
          <w:szCs w:val="32"/>
        </w:rPr>
        <w:t>推进苏锡常城际铁路规划调整、常溧通道快速化研究，加快扬乐高速金坛经济开发区枢纽至儒林枢纽段扩建工程建设。推进区域联动发展，整合平台载体、盘活存量资源，聚焦新能源汽车、光伏新能源等优势产业，加快重大项目布局，实现联动发展。推进医疗、教育与社会保障等基本公共服务便利共享，加快主城区优质公共服务向金坛、溧阳延伸，推动江苏省人民医院溧阳分院、上海市第一人民医院金坛医院重点专科建设，加快投用江苏省中医院溧阳分院、金坛第一人民医院医共体集团创伤中心（苏南骨伤科中心），全面落实城乡居民基本养老金同城化待遇。</w:t>
      </w:r>
    </w:p>
    <w:p w14:paraId="5B75EC30">
      <w:pPr>
        <w:overflowPunct w:val="0"/>
        <w:autoSpaceDE w:val="0"/>
        <w:autoSpaceDN w:val="0"/>
        <w:adjustRightInd w:val="0"/>
        <w:snapToGrid w:val="0"/>
        <w:spacing w:before="240" w:after="240" w:line="570" w:lineRule="exact"/>
        <w:jc w:val="center"/>
        <w:outlineLvl w:val="1"/>
        <w:rPr>
          <w:rFonts w:hint="eastAsia" w:ascii="方正楷体_GBK" w:eastAsia="方正楷体_GBK"/>
          <w:snapToGrid w:val="0"/>
          <w:kern w:val="0"/>
          <w:sz w:val="32"/>
          <w:szCs w:val="32"/>
        </w:rPr>
      </w:pPr>
      <w:bookmarkStart w:id="35" w:name="_Toc22373"/>
      <w:r>
        <w:rPr>
          <w:rFonts w:hint="eastAsia" w:ascii="方正楷体_GBK" w:eastAsia="方正楷体_GBK"/>
          <w:snapToGrid w:val="0"/>
          <w:kern w:val="0"/>
          <w:sz w:val="32"/>
          <w:szCs w:val="32"/>
        </w:rPr>
        <w:t>第二节  融入区域一体化发展</w:t>
      </w:r>
      <w:bookmarkEnd w:id="35"/>
    </w:p>
    <w:p w14:paraId="2EB4FBB2">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联动推进长江经济带高质量发展和长三角一体化发展。</w:t>
      </w:r>
      <w:r>
        <w:rPr>
          <w:rFonts w:eastAsia="方正仿宋_GBK"/>
          <w:snapToGrid w:val="0"/>
          <w:kern w:val="0"/>
          <w:sz w:val="32"/>
          <w:szCs w:val="32"/>
        </w:rPr>
        <w:t>深度对接上海“五个中心”建设，以产业科技、金融服务、对外开放、文化交流、公共服务等领域合作为重点，主动承接上海辐射效应。依托沿沪宁产业创新带、环太湖科创圈交汇点区位优势，深度融入长</w:t>
      </w:r>
      <w:bookmarkStart w:id="36" w:name="OLE_LINK36"/>
      <w:bookmarkStart w:id="37" w:name="OLE_LINK35"/>
      <w:r>
        <w:rPr>
          <w:rFonts w:eastAsia="方正仿宋_GBK"/>
          <w:snapToGrid w:val="0"/>
          <w:kern w:val="0"/>
          <w:sz w:val="32"/>
          <w:szCs w:val="32"/>
        </w:rPr>
        <w:t>三角科技创新和产业创新体系，</w:t>
      </w:r>
      <w:bookmarkEnd w:id="36"/>
      <w:bookmarkEnd w:id="37"/>
      <w:r>
        <w:rPr>
          <w:rFonts w:eastAsia="方正仿宋_GBK"/>
          <w:snapToGrid w:val="0"/>
          <w:kern w:val="0"/>
          <w:sz w:val="32"/>
          <w:szCs w:val="32"/>
        </w:rPr>
        <w:t>围绕人工智能、数字经济、生物医药等领域，持续健全长三角区域创新共同体、多层次产业创新大平台共建机制</w:t>
      </w:r>
      <w:bookmarkStart w:id="38" w:name="OLE_LINK31"/>
      <w:bookmarkStart w:id="39" w:name="OLE_LINK32"/>
      <w:r>
        <w:rPr>
          <w:rFonts w:eastAsia="方正仿宋_GBK"/>
          <w:snapToGrid w:val="0"/>
          <w:kern w:val="0"/>
          <w:sz w:val="32"/>
          <w:szCs w:val="32"/>
        </w:rPr>
        <w:t>，打通“基础研究—技术攻关—应用开发—供需协同</w:t>
      </w:r>
      <w:bookmarkEnd w:id="38"/>
      <w:bookmarkEnd w:id="39"/>
      <w:r>
        <w:rPr>
          <w:rFonts w:eastAsia="方正仿宋_GBK"/>
          <w:snapToGrid w:val="0"/>
          <w:kern w:val="0"/>
          <w:sz w:val="32"/>
          <w:szCs w:val="32"/>
        </w:rPr>
        <w:t>”转化路径。借鉴长三角生态绿色一体化发展示范区制度创新经验，参与共建苏浙皖省际毗邻协同发展区。</w:t>
      </w:r>
    </w:p>
    <w:p w14:paraId="6A01B05C">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深度融入省内协调发展战略。</w:t>
      </w:r>
      <w:bookmarkStart w:id="40" w:name="OLE_LINK41"/>
      <w:bookmarkStart w:id="41" w:name="OLE_LINK42"/>
      <w:r>
        <w:rPr>
          <w:rFonts w:eastAsia="方正仿宋_GBK"/>
          <w:snapToGrid w:val="0"/>
          <w:kern w:val="0"/>
          <w:sz w:val="32"/>
          <w:szCs w:val="32"/>
        </w:rPr>
        <w:t>落实省“1+3”重点功能区战略</w:t>
      </w:r>
      <w:bookmarkEnd w:id="40"/>
      <w:bookmarkEnd w:id="41"/>
      <w:r>
        <w:rPr>
          <w:rFonts w:eastAsia="方正仿宋_GBK"/>
          <w:snapToGrid w:val="0"/>
          <w:kern w:val="0"/>
          <w:sz w:val="32"/>
          <w:szCs w:val="32"/>
        </w:rPr>
        <w:t>部署，积极参与共建南京都市圈，深入推进苏锡常都市圈建设、锡常泰跨江融合发展、常盐南北结对帮扶合作，</w:t>
      </w:r>
      <w:bookmarkStart w:id="42" w:name="OLE_LINK46"/>
      <w:bookmarkStart w:id="43" w:name="OLE_LINK47"/>
      <w:bookmarkStart w:id="44" w:name="OLE_LINK48"/>
      <w:r>
        <w:rPr>
          <w:rFonts w:eastAsia="方正仿宋_GBK"/>
          <w:snapToGrid w:val="0"/>
          <w:kern w:val="0"/>
          <w:sz w:val="32"/>
          <w:szCs w:val="32"/>
        </w:rPr>
        <w:t>推动形成优势互补、高质量发展的</w:t>
      </w:r>
      <w:bookmarkEnd w:id="42"/>
      <w:r>
        <w:rPr>
          <w:rFonts w:eastAsia="方正仿宋_GBK"/>
          <w:snapToGrid w:val="0"/>
          <w:kern w:val="0"/>
          <w:sz w:val="32"/>
          <w:szCs w:val="32"/>
        </w:rPr>
        <w:t>区域</w:t>
      </w:r>
      <w:bookmarkEnd w:id="43"/>
      <w:bookmarkEnd w:id="44"/>
      <w:r>
        <w:rPr>
          <w:rFonts w:eastAsia="方正仿宋_GBK"/>
          <w:snapToGrid w:val="0"/>
          <w:kern w:val="0"/>
          <w:sz w:val="32"/>
          <w:szCs w:val="32"/>
        </w:rPr>
        <w:t>空间布局。支持溧阳、金坛高水平融入南京都市圈建设，加快在宁“科创飞地”布局和建设，加强新能源等优势产业和龙头企业跨区域配套和协作，推动交通基础设施、社会民生等领域一体化建设。推进苏锡常泰协同发展，依托各地特色产业优势，支持高端装备制造、汽车关键零部件、生物医药、电子信息等产业相互布局，共同打造国家级先进制造业集群。推动常州盐城工业园区进一步壮大高端装备、新能源、新材料、新一代信息技术等主导产业，拓展南北融合发展新领域新路径。</w:t>
      </w:r>
    </w:p>
    <w:p w14:paraId="55AC55F8">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做好京津冀和粤港澳协同。</w:t>
      </w:r>
      <w:r>
        <w:rPr>
          <w:rFonts w:eastAsia="方正仿宋_GBK"/>
          <w:snapToGrid w:val="0"/>
          <w:kern w:val="0"/>
          <w:sz w:val="32"/>
          <w:szCs w:val="32"/>
        </w:rPr>
        <w:t>加强与京津冀、粤港澳大湾区高校、科研院所、国家实验室等交流对接，争取在常设立分所、分中心，构建协同创新共同体。持续完善央地合作机制，高效承接优质制造业、服务业转移项目。充分发挥华南理工大学校友创新创业（常州）基地、常州金坛（大湾区）科创飞地等平台作用，扩大“苏港澳高校合作联盟”平台效应，主动融入苏港澳科技人才培育、教育科技协同、产学研合作等，吸引更多粤港澳资源要素向常州集聚。完善便利港澳居民在常工作生活的政策和环境。</w:t>
      </w:r>
    </w:p>
    <w:p w14:paraId="0B35E318">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统筹做好对口支援协作合作工作。</w:t>
      </w:r>
      <w:r>
        <w:rPr>
          <w:rFonts w:eastAsia="方正仿宋_GBK"/>
          <w:snapToGrid w:val="0"/>
          <w:kern w:val="0"/>
          <w:sz w:val="32"/>
          <w:szCs w:val="32"/>
        </w:rPr>
        <w:t>贯彻落实党中央、国务院关于区域协调发展、对口支援和东西部协作的决策部署，统筹做好新疆、青海和三峡库区等省市结对地区的对口支援工作，深化各民族交往交流交融；深化与陕西省安康市、青海省海南州和果洛州等对口县市的东西部协作，持续巩固拓展脱贫攻坚成果，加快推进乡村全面振兴；加强与辽宁省葫芦岛市等地区的对口合作，实现优势互补、合作共赢。聚焦产业就业、消费帮扶、医疗教育、民生改善等重点领域，进一步拓展对口支援协作合作的广度和深度。深化医疗教育人才“组团式”支援，并向科技、文化、产业发展、园区管理等领域拓展。创新利益共享机制，探索以托管、代管等方式推进合作共建产业园区。</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03C6F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35BEC036">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专栏4-2  区域协调发展重点平台载体</w:t>
            </w:r>
          </w:p>
          <w:p w14:paraId="1C0B79A5">
            <w:pPr>
              <w:overflowPunct w:val="0"/>
              <w:autoSpaceDE w:val="0"/>
              <w:autoSpaceDN w:val="0"/>
              <w:adjustRightInd w:val="0"/>
              <w:snapToGrid w:val="0"/>
              <w:spacing w:line="500" w:lineRule="exact"/>
              <w:ind w:firstLine="561"/>
              <w:rPr>
                <w:rFonts w:eastAsia="方正仿宋_GBK"/>
                <w:snapToGrid w:val="0"/>
                <w:kern w:val="0"/>
                <w:sz w:val="28"/>
                <w:szCs w:val="28"/>
              </w:rPr>
            </w:pPr>
            <w:r>
              <w:rPr>
                <w:rFonts w:hint="eastAsia" w:ascii="方正楷体_GBK" w:eastAsia="方正楷体_GBK"/>
                <w:snapToGrid w:val="0"/>
                <w:kern w:val="0"/>
                <w:sz w:val="28"/>
                <w:szCs w:val="28"/>
              </w:rPr>
              <w:t>资源链接：</w:t>
            </w:r>
            <w:r>
              <w:rPr>
                <w:rFonts w:eastAsia="方正仿宋_GBK"/>
                <w:snapToGrid w:val="0"/>
                <w:kern w:val="0"/>
                <w:sz w:val="28"/>
                <w:szCs w:val="28"/>
              </w:rPr>
              <w:t>长三角（常州）创新中心、常州西太湖（深圳）协同创新中心、香港常州科创人才服务站、江苏中科智能科学技术应用研究院</w:t>
            </w:r>
          </w:p>
          <w:p w14:paraId="3B7DCD5B">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科创飞地：</w:t>
            </w:r>
            <w:r>
              <w:rPr>
                <w:rFonts w:eastAsia="方正仿宋_GBK"/>
                <w:snapToGrid w:val="0"/>
                <w:kern w:val="0"/>
                <w:sz w:val="28"/>
                <w:szCs w:val="28"/>
              </w:rPr>
              <w:t>武进（上海）国际创新中心、深圳市深溧孵化器管理有限公司、常州钟楼（上海）科创中心、香港天宁科技创新中心、常州经开区（深圳）创新中心</w:t>
            </w:r>
          </w:p>
          <w:p w14:paraId="497547D5">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合作园区：</w:t>
            </w:r>
            <w:r>
              <w:rPr>
                <w:rFonts w:eastAsia="方正仿宋_GBK"/>
                <w:snapToGrid w:val="0"/>
                <w:kern w:val="0"/>
                <w:sz w:val="28"/>
                <w:szCs w:val="28"/>
              </w:rPr>
              <w:t>乌恰工业园区、共和县产业融合发展示范园、五里工业集中区苏陕协作共建产业园区、常盐工业园</w:t>
            </w:r>
          </w:p>
        </w:tc>
      </w:tr>
    </w:tbl>
    <w:p w14:paraId="4EA35030">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45" w:name="_Toc30752"/>
      <w:r>
        <w:rPr>
          <w:rFonts w:ascii="方正楷体_GBK" w:eastAsia="方正楷体_GBK"/>
          <w:snapToGrid w:val="0"/>
          <w:kern w:val="0"/>
          <w:sz w:val="32"/>
          <w:szCs w:val="32"/>
        </w:rPr>
        <w:t>第三节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强化现代基础设施支撑</w:t>
      </w:r>
      <w:bookmarkEnd w:id="45"/>
    </w:p>
    <w:p w14:paraId="54F756FC">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构建陆海空铁邮集疏运体系。</w:t>
      </w:r>
      <w:r>
        <w:rPr>
          <w:rFonts w:eastAsia="方正仿宋_GBK"/>
          <w:snapToGrid w:val="0"/>
          <w:kern w:val="0"/>
          <w:sz w:val="32"/>
          <w:szCs w:val="32"/>
        </w:rPr>
        <w:t>提升铁路枢纽港站集疏运效率，加快推进常泰铁路、镇宣铁路、沪苏锡常城际铁路等建设，推动常州南站、金坛站、溧阳站等成为铁路枢纽站。提升港口集疏运效率，推进常州港整合提升，加快溧阳港、金坛港、东港等既有港口升级，规划建设武进港、新北港，形成布局合理、功能完善的“1+5”港口枢纽体系，谋划港口、后方产业园区通港达园的短支航道建设，推进老运河短支线、红星河、前进河项目。提升货运枢纽集疏运能力，开工建设常州国际铁路枢纽港（多式联运基地）。完善航线网络体系建设，建成奔牛机场航站区改扩建工程，实施溧阳长荡湖机场飞行区扩建工程，规划研究武进通用机场。推动集疏散公路建设，完善重点枢纽、内河港口作业区、低空经济集聚区、平急两用基地、铁路货场集疏散公路建设。到2030年，“快进快出、衔接顺畅、绿色高效”的陆海空铁邮一体化集疏运体系基本形成，核心铁路站、港口、机场等综合交通枢纽集疏运时效、通达性和承载能力明显增强。</w:t>
      </w:r>
    </w:p>
    <w:p w14:paraId="1A430199">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完善内外交通基础设施体系。</w:t>
      </w:r>
      <w:r>
        <w:rPr>
          <w:rFonts w:eastAsia="方正仿宋_GBK"/>
          <w:snapToGrid w:val="0"/>
          <w:kern w:val="0"/>
          <w:sz w:val="32"/>
          <w:szCs w:val="32"/>
        </w:rPr>
        <w:t>补齐南北铁路通道短板，续建盐宜铁路，加快常泰铁路、镇宣铁路镇江至溧阳段前期工作。提升干线航道等级，续建德胜河，开工建设锡溧漕河、芜申线改扩建等项目。加强高速公路通道通行能力，续建丹金高速、锡宜高速、沪武高速，新开工建设宁常、金宜和长深、江宜、常溧等高速改扩建项目，规划储备泰常高速。加快推动“联网补网”，争取苏锡常城际铁路完成规划调整并开工建设，推动地铁5号线建成运营，推进普通国省道改扩建，实施S239溧阳南段、G233、S263、S357等项目，规划储备S265溧阳段、S340金坛城镇段、S232、龙城大道东延、天宁大道等项目。提升农村公路安全与舒适性，打造“常路长安”品牌。</w:t>
      </w:r>
    </w:p>
    <w:p w14:paraId="58D220A1">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建设全国性综合交通枢纽城市。</w:t>
      </w:r>
      <w:bookmarkStart w:id="46" w:name="OLE_LINK53"/>
      <w:bookmarkStart w:id="47" w:name="OLE_LINK54"/>
      <w:r>
        <w:rPr>
          <w:rFonts w:eastAsia="方正仿宋_GBK"/>
          <w:snapToGrid w:val="0"/>
          <w:kern w:val="0"/>
          <w:sz w:val="32"/>
          <w:szCs w:val="32"/>
        </w:rPr>
        <w:t>构建立体覆盖的“海陆空”国际通道、“十字型”国际运输通道、多向区域运输通道等，提升内畅外联水平。依托沿江港口、机场、重点铁路站点打造铁公水空四大核心门户，依托商贸物流园、内河港等形成辐射市域范围、快速集散的物流核心节点，建设承担货物内外运输服务和城市配送功能的物流配送中心，建成通达国内外、覆盖市域郊的多层级、现代化综合客运枢纽体系。发展枢纽经济，推动建设产业驱动型、智慧赋能型、绿色低碳型枢纽，实现“产业—枢纽—城市”深度融合。加快建设管理先进、反应迅速、运行有序、高效快捷、节能低碳的智慧绿色枢纽。</w:t>
      </w:r>
      <w:bookmarkEnd w:id="46"/>
      <w:bookmarkEnd w:id="47"/>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7014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trHeight w:val="454" w:hRule="atLeast"/>
          <w:jc w:val="center"/>
        </w:trPr>
        <w:tc>
          <w:tcPr>
            <w:tcW w:w="8823" w:type="dxa"/>
            <w:noWrap w:val="0"/>
            <w:vAlign w:val="top"/>
          </w:tcPr>
          <w:p w14:paraId="54923A2F">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专栏4-3  交通基础设施建设重点工程（项目）</w:t>
            </w:r>
          </w:p>
          <w:p w14:paraId="7F14CED4">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枢纽项目：</w:t>
            </w:r>
            <w:r>
              <w:rPr>
                <w:rFonts w:eastAsia="方正仿宋_GBK"/>
                <w:snapToGrid w:val="0"/>
                <w:kern w:val="0"/>
                <w:sz w:val="28"/>
                <w:szCs w:val="28"/>
              </w:rPr>
              <w:t>常州国际铁路枢纽港（多式联运基地）、常州港整合提升工程、武进港、新北港、常泰铁路常州南站枢纽</w:t>
            </w:r>
          </w:p>
          <w:p w14:paraId="67A76A3D">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高速公路：</w:t>
            </w:r>
            <w:r>
              <w:rPr>
                <w:rFonts w:eastAsia="方正仿宋_GBK"/>
                <w:snapToGrid w:val="0"/>
                <w:kern w:val="0"/>
                <w:sz w:val="28"/>
                <w:szCs w:val="28"/>
              </w:rPr>
              <w:t>宁常高速、扬乐高速（丹阳至金坛段、金坛至宜兴段），长深、江宜、常溧高速改扩建，储备泰常高速</w:t>
            </w:r>
          </w:p>
          <w:p w14:paraId="01793A28">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普通国省道：</w:t>
            </w:r>
            <w:r>
              <w:rPr>
                <w:rFonts w:eastAsia="方正仿宋_GBK"/>
                <w:snapToGrid w:val="0"/>
                <w:kern w:val="0"/>
                <w:sz w:val="28"/>
                <w:szCs w:val="28"/>
              </w:rPr>
              <w:t>S239溧阳南段、G233、S263、S357，规划储备S265溧阳段、S340金坛城镇段、S232、龙城大道东延、天宁大道</w:t>
            </w:r>
          </w:p>
          <w:p w14:paraId="5B03FFA3">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铁路：</w:t>
            </w:r>
            <w:r>
              <w:rPr>
                <w:rFonts w:eastAsia="方正仿宋_GBK"/>
                <w:snapToGrid w:val="0"/>
                <w:kern w:val="0"/>
                <w:sz w:val="28"/>
                <w:szCs w:val="28"/>
              </w:rPr>
              <w:t>盐宜铁路、镇宣铁路镇江至溧阳段、常泰铁路、沪苏锡常城际铁路</w:t>
            </w:r>
          </w:p>
          <w:p w14:paraId="252C75F9">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航道：</w:t>
            </w:r>
            <w:r>
              <w:rPr>
                <w:rFonts w:eastAsia="方正仿宋_GBK"/>
                <w:snapToGrid w:val="0"/>
                <w:kern w:val="0"/>
                <w:sz w:val="28"/>
                <w:szCs w:val="28"/>
              </w:rPr>
              <w:t>德胜河航道整治工程、锡溧漕河航道整治工程、芜申线溧阳段航道整治工程</w:t>
            </w:r>
          </w:p>
          <w:p w14:paraId="2D5E3BF4">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航空：</w:t>
            </w:r>
            <w:r>
              <w:rPr>
                <w:rFonts w:eastAsia="方正仿宋_GBK"/>
                <w:snapToGrid w:val="0"/>
                <w:kern w:val="0"/>
                <w:sz w:val="28"/>
                <w:szCs w:val="28"/>
              </w:rPr>
              <w:t>常州奔牛国际机场航站区改扩建工程、溧阳长荡湖机场飞行区扩建工程、武进通用机场、金坛通用机场</w:t>
            </w:r>
          </w:p>
        </w:tc>
      </w:tr>
    </w:tbl>
    <w:p w14:paraId="6587B23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完善区域水利基础设施体系。</w:t>
      </w:r>
      <w:r>
        <w:rPr>
          <w:rFonts w:eastAsia="方正仿宋_GBK"/>
          <w:snapToGrid w:val="0"/>
          <w:kern w:val="0"/>
          <w:sz w:val="32"/>
          <w:szCs w:val="32"/>
        </w:rPr>
        <w:t>持续推进现代水网建设，加强长江常州段河势稳定监测与应急治理，有序推进市域骨干河道综合整治，进一步健全水网布局，提升水旱灾害防御、水资源调配、水生态修复支撑保障能力。完善城市防洪除涝工程体系，推进西太湖片区、金坛城区防洪提标建设。完善农村水利设施，推进农村生态河道建设。持续强化长江魏村、长荡湖涑渎、大溪水库、沙河水库、滆湖应急备用水源等城市饮用水水源地保护与管理。加快智慧水利建设。</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682"/>
      </w:tblGrid>
      <w:tr w14:paraId="06FC7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31" w:type="dxa"/>
            <w:noWrap w:val="0"/>
            <w:vAlign w:val="top"/>
          </w:tcPr>
          <w:p w14:paraId="61BF3818">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 xml:space="preserve">专栏4-4 </w:t>
            </w:r>
            <w:r>
              <w:rPr>
                <w:rFonts w:hint="eastAsia" w:eastAsia="方正黑体_GBK"/>
                <w:snapToGrid w:val="0"/>
                <w:kern w:val="0"/>
                <w:sz w:val="28"/>
                <w:szCs w:val="28"/>
              </w:rPr>
              <w:t xml:space="preserve"> </w:t>
            </w:r>
            <w:r>
              <w:rPr>
                <w:rFonts w:eastAsia="方正黑体_GBK"/>
                <w:snapToGrid w:val="0"/>
                <w:kern w:val="0"/>
                <w:sz w:val="28"/>
                <w:szCs w:val="28"/>
              </w:rPr>
              <w:t>水利基础设施建设重点工程（项目）</w:t>
            </w:r>
          </w:p>
          <w:p w14:paraId="0B932CC6">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仿宋_GBK"/>
                <w:snapToGrid w:val="0"/>
                <w:kern w:val="0"/>
                <w:sz w:val="28"/>
                <w:szCs w:val="28"/>
              </w:rPr>
              <w:t>江南运河防洪治理项目，扁担河治理工程，大溪水库扩容，滆湖近岸带水生态修复工程，长荡湖（溧阳市）退圩还湖及环湖堤防工程，沿江灌区建设项目。</w:t>
            </w:r>
          </w:p>
        </w:tc>
      </w:tr>
    </w:tbl>
    <w:p w14:paraId="4EA6A28D">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48" w:name="_Toc17487"/>
      <w:r>
        <w:rPr>
          <w:rFonts w:ascii="方正楷体_GBK" w:eastAsia="方正楷体_GBK"/>
          <w:snapToGrid w:val="0"/>
          <w:kern w:val="0"/>
          <w:sz w:val="32"/>
          <w:szCs w:val="32"/>
        </w:rPr>
        <w:t xml:space="preserve">第四节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实施城市更新行动</w:t>
      </w:r>
      <w:bookmarkEnd w:id="48"/>
    </w:p>
    <w:p w14:paraId="497C179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加快好房子建设。</w:t>
      </w:r>
      <w:r>
        <w:rPr>
          <w:rFonts w:eastAsia="方正仿宋_GBK"/>
          <w:snapToGrid w:val="0"/>
          <w:kern w:val="0"/>
          <w:sz w:val="32"/>
          <w:szCs w:val="32"/>
        </w:rPr>
        <w:t>构建房地产发展新模式，围绕供给端提质增效，积极推进房地产“热力图”和房产超市建设，推动房产交易便利化、安全化。构建完善高品质住宅规划建设政策体系，提高住房建设标准，加快推进高品质住房建设，满足多样化改善性住房需求。积极拓展住房困难工薪群体购房资助工作，拓宽房源，切实保障刚性住房需求。</w:t>
      </w:r>
    </w:p>
    <w:p w14:paraId="196C34F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推动好小区建设。</w:t>
      </w:r>
      <w:r>
        <w:rPr>
          <w:rFonts w:eastAsia="方正仿宋_GBK"/>
          <w:snapToGrid w:val="0"/>
          <w:kern w:val="0"/>
          <w:sz w:val="32"/>
          <w:szCs w:val="32"/>
        </w:rPr>
        <w:t>推动老旧小区宜居改善，延伸完善“一老一小”等生活圈配套服务，增设助餐、家政等公共服务设施，完善亲子活动、公共阅读、健身场所等服务功能，打造共享公共空间。依托阳光物业平台，全力推动物业服务信息公开、小区公共收益公开。全面推行“阳光信托制”“阳光酬金制”物业管理新模式，积极探索物业企业选聘和维修资金监管新机制，完善主管部门、街道（镇）、社区（村委）、物管会（业委会）、业主等共同参与的物业服务质量评价体系。</w:t>
      </w:r>
    </w:p>
    <w:p w14:paraId="2500E21A">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加强好社区建设。</w:t>
      </w:r>
      <w:r>
        <w:rPr>
          <w:rFonts w:eastAsia="方正仿宋_GBK"/>
          <w:snapToGrid w:val="0"/>
          <w:kern w:val="0"/>
          <w:sz w:val="32"/>
          <w:szCs w:val="32"/>
        </w:rPr>
        <w:t>开展完整社区专项体检，围绕“一老一小”“全龄友好”等需求，积极建设儿童友好、老年友好型社区，构建“15分钟便民生活圈”。充分发挥新北区江湾社区国家级试点经验，打造一批设施完善、环境宜居、服务便利、治理有效的“好社区”。改善居民生活环境，针对性补充公共活动空间和绿地，完善无障碍设施和慢行系统。建设社区智慧管理服务平台，打造“智慧社区”。加强社区文化建设，打造城市书房、文化驿站等新型文化空间。创新多元化消费场景、激发社区经济活力。</w:t>
      </w:r>
    </w:p>
    <w:p w14:paraId="15C4B94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深化好城区建设。</w:t>
      </w:r>
      <w:r>
        <w:rPr>
          <w:rFonts w:eastAsia="方正仿宋_GBK"/>
          <w:snapToGrid w:val="0"/>
          <w:kern w:val="0"/>
          <w:sz w:val="32"/>
          <w:szCs w:val="32"/>
        </w:rPr>
        <w:t>一体推进城市体检与城市更新，积极引导社会资本参与城市更新。有序开展城市更新和老城厢复兴发展行动，积极探索城中村自主更新路径，累计完成城中村改造2万户。摸清城镇开发边界内既有建筑底数，形成可盘活利用的既有建筑清单，探索优化改造审批流程。深化全域一体化生命线安全工程，推进地下管网与综合管廊建设改造，构建“综合监管+智慧监测”体系，加快江边污水厂五期、城区污水厂提标等重点工程建设。健全城市公园和绿道网络体系，推进绿地开放共享和城市小微公共空间改造、口袋公园等“小而美”项目建设。加快住房和城乡建设领域人工智能应用。到2030年，新建及改造公园绿地15个。</w:t>
      </w:r>
    </w:p>
    <w:p w14:paraId="7984F6F7">
      <w:pPr>
        <w:overflowPunct w:val="0"/>
        <w:autoSpaceDE w:val="0"/>
        <w:autoSpaceDN w:val="0"/>
        <w:adjustRightInd w:val="0"/>
        <w:snapToGrid w:val="0"/>
        <w:spacing w:before="240" w:after="240" w:line="570" w:lineRule="exact"/>
        <w:jc w:val="center"/>
        <w:outlineLvl w:val="1"/>
        <w:rPr>
          <w:rFonts w:hint="eastAsia" w:ascii="方正黑体_GBK" w:eastAsia="方正黑体_GBK"/>
          <w:snapToGrid w:val="0"/>
          <w:kern w:val="0"/>
          <w:sz w:val="32"/>
          <w:szCs w:val="32"/>
        </w:rPr>
      </w:pPr>
      <w:r>
        <w:rPr>
          <w:rFonts w:eastAsia="方正仿宋_GBK"/>
          <w:snapToGrid w:val="0"/>
          <w:kern w:val="0"/>
          <w:sz w:val="32"/>
          <w:szCs w:val="32"/>
        </w:rPr>
        <w:br w:type="page"/>
      </w:r>
      <w:bookmarkStart w:id="49" w:name="_Toc23694"/>
      <w:r>
        <w:rPr>
          <w:rFonts w:hint="eastAsia" w:ascii="方正黑体_GBK" w:eastAsia="方正黑体_GBK"/>
          <w:snapToGrid w:val="0"/>
          <w:kern w:val="0"/>
          <w:sz w:val="32"/>
          <w:szCs w:val="32"/>
        </w:rPr>
        <w:t>第五章  全方位扩大内需  服务构建新发展格局</w:t>
      </w:r>
      <w:bookmarkEnd w:id="49"/>
    </w:p>
    <w:p w14:paraId="1EFBE00D">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坚持以新需求引领新供给，以新供给创造新需求，牢牢把握扩大内需这个战略基点，持续深挖内需潜能，促进消费和投资、供给和需求良性互动，深入参与全国统一大市场，积极融入服务新发展格局。</w:t>
      </w:r>
    </w:p>
    <w:p w14:paraId="373D181A">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50" w:name="_Toc17822"/>
      <w:r>
        <w:rPr>
          <w:rFonts w:ascii="方正楷体_GBK" w:eastAsia="方正楷体_GBK"/>
          <w:snapToGrid w:val="0"/>
          <w:kern w:val="0"/>
          <w:sz w:val="32"/>
          <w:szCs w:val="32"/>
        </w:rPr>
        <w:t>第一节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全面激发消费潜能</w:t>
      </w:r>
      <w:bookmarkEnd w:id="50"/>
    </w:p>
    <w:p w14:paraId="0EB9CD46">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培育壮大消费新业态。</w:t>
      </w:r>
      <w:r>
        <w:rPr>
          <w:rFonts w:eastAsia="方正仿宋_GBK"/>
          <w:snapToGrid w:val="0"/>
          <w:kern w:val="0"/>
          <w:sz w:val="32"/>
          <w:szCs w:val="32"/>
        </w:rPr>
        <w:t>促进数字消费扩容升级，积极发展网络视听产业，培育壮大在线教育、在线医疗、远程办公等服务消费。鼓励商圈、综合体等商贸流通企业积极应用人工智能、AR/VR、数字孪生等技术，创造虚实结合、沉浸互动的消费体验。积极发展健康消费，鼓励商业综合体、购物中心设立银发消费专区，加快消费场所适老化改造。创新发展绿色消费，推广智能家居、智能家电、智能网联新能源汽车等产品，持续推进消费品以旧换新和龙城嗨购节系列主题消费活动，稳住新能源汽车、电子产品等大宗消费。大力发展首发经济、情绪经济、赛事经济、直播经济，创新发展低空经济、宠物经济、国潮文创、冰雪运动、票根经济等新业态新模式，鼓励个性化、圈层化、悦己型消费场景创新。</w:t>
      </w:r>
    </w:p>
    <w:p w14:paraId="2FBF1642">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提档升级消费载体。</w:t>
      </w:r>
      <w:r>
        <w:rPr>
          <w:rFonts w:eastAsia="方正仿宋_GBK"/>
          <w:snapToGrid w:val="0"/>
          <w:kern w:val="0"/>
          <w:sz w:val="32"/>
          <w:szCs w:val="32"/>
        </w:rPr>
        <w:t>推动传统商圈商街数字化、智能化转型升级，推动南北大街等商圈能级提升，支持西太湖片区、高铁新城等区域加快形成地标性消费空间。优化离境退税店布局，打造入境消费友好型商圈，吸引更多境外人员入境消费。持续完善社区商业体系，完善社区商业服务功能，重点发展生鲜超市、社区食堂等基本保障类业态，鼓励建设社区共享厨房、便民洗衣房，引入无人便利店、智能菜柜等智慧零售设施。</w:t>
      </w:r>
    </w:p>
    <w:p w14:paraId="648C970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完善消费促进保障机制。</w:t>
      </w:r>
      <w:r>
        <w:rPr>
          <w:rFonts w:eastAsia="方正仿宋_GBK"/>
          <w:snapToGrid w:val="0"/>
          <w:kern w:val="0"/>
          <w:sz w:val="32"/>
          <w:szCs w:val="32"/>
        </w:rPr>
        <w:t>多措并举促进就业与增收，增强居民消费能力。健全多层次社保体系，减轻居民消费负担，提振消费信心。落实消费补贴政策、带薪休假制度，继续落实新能源汽车购车补贴、餐饮消费券发放、数字人民币红包激励等。优化消费供给质量，推动企业创新产品和服务，满足个性化、多样化消费需求，扩大服务消费，发展文旅、健康、养老等高品质服务。</w:t>
      </w:r>
    </w:p>
    <w:p w14:paraId="5D8471DE">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持续优化消费环境。</w:t>
      </w:r>
      <w:r>
        <w:rPr>
          <w:rFonts w:eastAsia="方正仿宋_GBK"/>
          <w:snapToGrid w:val="0"/>
          <w:kern w:val="0"/>
          <w:sz w:val="32"/>
          <w:szCs w:val="32"/>
        </w:rPr>
        <w:t>积极发展消费主导型经济，打造区域消费中心城市。推行诚信经营和诚信消费，强化消费者权益保护，健全维权机制。严格市场监管，加大对假冒伪劣、虚假宣传、价格欺诈等违法行为打击力度，加强线上平台、新兴消费领域监管。</w:t>
      </w:r>
    </w:p>
    <w:p w14:paraId="47893D75">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51" w:name="_Toc15484"/>
      <w:r>
        <w:rPr>
          <w:rFonts w:ascii="方正楷体_GBK" w:eastAsia="方正楷体_GBK"/>
          <w:snapToGrid w:val="0"/>
          <w:kern w:val="0"/>
          <w:sz w:val="32"/>
          <w:szCs w:val="32"/>
        </w:rPr>
        <w:t>第二节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精准扩大有效投资</w:t>
      </w:r>
      <w:bookmarkEnd w:id="51"/>
    </w:p>
    <w:p w14:paraId="029501BC">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强化政府投资引领撬动作用。</w:t>
      </w:r>
      <w:r>
        <w:rPr>
          <w:rFonts w:eastAsia="方正仿宋_GBK"/>
          <w:snapToGrid w:val="0"/>
          <w:kern w:val="0"/>
          <w:sz w:val="32"/>
          <w:szCs w:val="32"/>
        </w:rPr>
        <w:t>坚持保安全、惠民生、防风险，优化投资结构，推动“投资于物与投资于人”深度融合。围绕国家重大战略实施和重点领域安全能力建设谋划、储备、推动项目建设，有效发挥超长期特别国债在稳定经济运行、优化产业结构等方面关键作用，推动“两重”项目落地建设。用足用好中央预算内投资、政策性金融工具等政策，积极扩大有效投资。加强政府投资全生命周期管理，强化政府投资资金平衡保障，进一步规范政府投资行为，提高政府投资效益。</w:t>
      </w:r>
    </w:p>
    <w:p w14:paraId="3F7F0016">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强化产业项目招引。</w:t>
      </w:r>
      <w:r>
        <w:rPr>
          <w:rFonts w:eastAsia="方正仿宋_GBK"/>
          <w:snapToGrid w:val="0"/>
          <w:kern w:val="0"/>
          <w:sz w:val="32"/>
          <w:szCs w:val="32"/>
        </w:rPr>
        <w:t>加大招商引资力度，深化以商引商、产业链招商等市场化招商模式，招引一批技术含量高、市场前景好的优质项目。加大与央企合作发展力度，深化央地协同新格局，争取更多央企资源和区域性功能总部落户。服务挖掘存量项目，推动现有企业增资扩产、技术改造、设备更新、智改数转。强化项目全要素精准保障，加强算力、绿电、碳指标等新型要素供给。</w:t>
      </w:r>
    </w:p>
    <w:p w14:paraId="376724F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充分激发民间投资活力。</w:t>
      </w:r>
      <w:r>
        <w:rPr>
          <w:rFonts w:eastAsia="方正仿宋_GBK"/>
          <w:snapToGrid w:val="0"/>
          <w:kern w:val="0"/>
          <w:sz w:val="32"/>
          <w:szCs w:val="32"/>
        </w:rPr>
        <w:t>常态化向民间资本推介项目，支持民间资本参与重大项目建设。围绕重点领域和重点产业链，支持推动民营企业牵头承担国家重大技术攻关任务，推动民间资本从“参与建设”向“创新引领”转型。完善支持小微企业融资协调工作机制，满足民间资本投融资需求。支持符合条件的民间投资项目发行基础设施领域不动产投资信托基金（REITs）。规范落实政府和社会资本合作新机制。</w:t>
      </w:r>
    </w:p>
    <w:p w14:paraId="5D374807">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52" w:name="_Toc11108"/>
      <w:r>
        <w:rPr>
          <w:rFonts w:ascii="方正楷体_GBK" w:eastAsia="方正楷体_GBK"/>
          <w:snapToGrid w:val="0"/>
          <w:kern w:val="0"/>
          <w:sz w:val="32"/>
          <w:szCs w:val="32"/>
        </w:rPr>
        <w:t xml:space="preserve">第三节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健全优化现代流通体系</w:t>
      </w:r>
      <w:bookmarkEnd w:id="52"/>
    </w:p>
    <w:p w14:paraId="2210B4B8">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构建现代高效物流体系。</w:t>
      </w:r>
      <w:r>
        <w:rPr>
          <w:rFonts w:eastAsia="方正仿宋_GBK"/>
          <w:snapToGrid w:val="0"/>
          <w:kern w:val="0"/>
          <w:sz w:val="32"/>
          <w:szCs w:val="32"/>
        </w:rPr>
        <w:t>抢抓生产服务型国家物流枢纽建设机遇，构建“通道+枢纽+网络”现代物流体系，推动提质降本增效。大力发展多式联运、低空物流和供应链物流等新业态。引导物流企业为制造企业提供采购、生产、仓储、分销、配送一体化解决方案，深度融入本地新能源、智能制造等优势产业带，提升供应链协同效率，做大做强一批具有数字化解决方案的物流服务平台，推动智慧物流管理升级。加快建设完善农村现代流通网络，完善县、乡、村三级物流网络，构建完善区域配送中心+直供基地的农产品供应配送体系。建强长三角凌家塘冷链物流中心国家骨干冷链物流基地。</w:t>
      </w:r>
    </w:p>
    <w:p w14:paraId="626717CC">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推动内外贸一体化发展。</w:t>
      </w:r>
      <w:r>
        <w:rPr>
          <w:rFonts w:eastAsia="方正仿宋_GBK"/>
          <w:snapToGrid w:val="0"/>
          <w:kern w:val="0"/>
          <w:sz w:val="32"/>
          <w:szCs w:val="32"/>
        </w:rPr>
        <w:t>引导企业积极开拓国内外市场，支持跨境电商中小微企业合规高效出口，培育本土跨境电商平台企业。支持电商平台与制造企业开展专业服务外包合作。培育内外贸一体化试点企业，支持外贸企业加强资源整合，优化国际营销体系，增强全球供应链组织能力。发展“保税仓+直播”“前店后仓”等新模式，扩大消费品进口。</w:t>
      </w:r>
    </w:p>
    <w:p w14:paraId="4DD7751F">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53" w:name="_Toc26385"/>
      <w:r>
        <w:rPr>
          <w:rFonts w:ascii="方正楷体_GBK" w:eastAsia="方正楷体_GBK"/>
          <w:snapToGrid w:val="0"/>
          <w:kern w:val="0"/>
          <w:sz w:val="32"/>
          <w:szCs w:val="32"/>
        </w:rPr>
        <w:t xml:space="preserve">第四节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提高供给质量效率</w:t>
      </w:r>
      <w:bookmarkEnd w:id="53"/>
    </w:p>
    <w:p w14:paraId="63661B30">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夯实质量基础。</w:t>
      </w:r>
      <w:r>
        <w:rPr>
          <w:rFonts w:eastAsia="方正仿宋_GBK"/>
          <w:snapToGrid w:val="0"/>
          <w:kern w:val="0"/>
          <w:sz w:val="32"/>
          <w:szCs w:val="32"/>
        </w:rPr>
        <w:t>加强检验检测能力布局和科研攻关，开展计量强基工程，高质量建设国家智能工业机器人产业计量测试中心、国家轨道交通装备关键机械系统及部件产业计量测试中心、国家氢能装备产品质量检验检测中心，以及新能源汽车、光储充产品、水产品省级质检中心。聚焦轨道交通、先进碳材料、绿色建材、工业母机、新能源无人车及飞行器、人工智能等领域，新增一批质量技术公共服务平台。</w:t>
      </w:r>
    </w:p>
    <w:p w14:paraId="3831C899">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bCs/>
          <w:snapToGrid w:val="0"/>
          <w:kern w:val="0"/>
          <w:sz w:val="32"/>
          <w:szCs w:val="32"/>
        </w:rPr>
        <w:t>提高质量供给。</w:t>
      </w:r>
      <w:r>
        <w:rPr>
          <w:rFonts w:eastAsia="方正仿宋_GBK"/>
          <w:snapToGrid w:val="0"/>
          <w:kern w:val="0"/>
          <w:sz w:val="32"/>
          <w:szCs w:val="32"/>
        </w:rPr>
        <w:t>建立健全区域质量状况评价机制，全面提高供给质量效益。持续推进质量强企、强链、强县，实施进口产品国产替代工程。支持企业牵头组建质量技术创新联合体，推动产业链供应链质量一致性管控，实施一批质量攻关项目。构建质量强企梯度培育体系，引导企业积极争创质量奖、江苏省质量信用企业等。加快新兴领域标准制定，主导和参与发布国际标准不少于6项，主导和参与国家标准制修订不少于500项。聚焦特色产业集群，开展质量技术帮扶“提质强企”行动。</w:t>
      </w:r>
    </w:p>
    <w:p w14:paraId="7C219BEF">
      <w:pPr>
        <w:overflowPunct w:val="0"/>
        <w:autoSpaceDE w:val="0"/>
        <w:autoSpaceDN w:val="0"/>
        <w:adjustRightInd w:val="0"/>
        <w:snapToGrid w:val="0"/>
        <w:spacing w:line="560" w:lineRule="exact"/>
        <w:ind w:firstLine="641"/>
        <w:rPr>
          <w:rFonts w:hint="eastAsia" w:eastAsia="方正仿宋_GBK"/>
          <w:snapToGrid w:val="0"/>
          <w:kern w:val="0"/>
          <w:sz w:val="32"/>
          <w:szCs w:val="32"/>
        </w:rPr>
      </w:pPr>
      <w:r>
        <w:rPr>
          <w:rFonts w:eastAsia="方正仿宋_GBK"/>
          <w:bCs/>
          <w:snapToGrid w:val="0"/>
          <w:kern w:val="0"/>
          <w:sz w:val="32"/>
          <w:szCs w:val="32"/>
        </w:rPr>
        <w:t>打造质量品牌。</w:t>
      </w:r>
      <w:r>
        <w:rPr>
          <w:rFonts w:eastAsia="方正仿宋_GBK"/>
          <w:snapToGrid w:val="0"/>
          <w:kern w:val="0"/>
          <w:sz w:val="32"/>
          <w:szCs w:val="32"/>
        </w:rPr>
        <w:t>支持本地自主品牌发展，鼓励企业加大品牌建设投入，完善品牌保护、品牌传播体系，打造更多叫得响的品牌。推动老字号守正创新发展，提升品牌影响力。加强地理标志培育和规范管理，实施“地理标志+”融合工程。持续推动服务业品牌提质升级。到2030年，全市有效商标达25万件，有效马德里商标达600件，新增江苏精品认证100个。</w:t>
      </w:r>
    </w:p>
    <w:p w14:paraId="7EB3722F">
      <w:pPr>
        <w:overflowPunct w:val="0"/>
        <w:autoSpaceDE w:val="0"/>
        <w:autoSpaceDN w:val="0"/>
        <w:adjustRightInd w:val="0"/>
        <w:snapToGrid w:val="0"/>
        <w:spacing w:before="240" w:after="240" w:line="570" w:lineRule="exact"/>
        <w:jc w:val="center"/>
        <w:outlineLvl w:val="1"/>
        <w:rPr>
          <w:rFonts w:hint="eastAsia" w:ascii="方正黑体_GBK" w:eastAsia="方正黑体_GBK"/>
          <w:snapToGrid w:val="0"/>
          <w:kern w:val="0"/>
          <w:sz w:val="32"/>
          <w:szCs w:val="32"/>
        </w:rPr>
      </w:pPr>
      <w:bookmarkStart w:id="54" w:name="_Toc21007"/>
      <w:r>
        <w:rPr>
          <w:rFonts w:ascii="方正黑体_GBK" w:eastAsia="方正黑体_GBK"/>
          <w:snapToGrid w:val="0"/>
          <w:kern w:val="0"/>
          <w:sz w:val="32"/>
          <w:szCs w:val="32"/>
        </w:rPr>
        <w:br w:type="page"/>
      </w:r>
      <w:r>
        <w:rPr>
          <w:rFonts w:hint="eastAsia" w:ascii="方正黑体_GBK" w:eastAsia="方正黑体_GBK"/>
          <w:snapToGrid w:val="0"/>
          <w:kern w:val="0"/>
          <w:sz w:val="32"/>
          <w:szCs w:val="32"/>
        </w:rPr>
        <w:t>第六章  深化改革开放  打造一流营商环境</w:t>
      </w:r>
      <w:bookmarkEnd w:id="54"/>
    </w:p>
    <w:p w14:paraId="75D08E83">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snapToGrid w:val="0"/>
          <w:kern w:val="0"/>
          <w:sz w:val="32"/>
          <w:szCs w:val="32"/>
        </w:rPr>
        <w:t>深入学习贯彻习近平总书记关于全面深化改革的一系列新思想、新观点、新论断，把握要素市场化配置综合改革试点机遇，在建设全国统一大市场、优化营商环境和高水平对外开放等方面持续发力、攻坚克难，促进国内国际市场高效链接、双向开放，资源要素高效配置、有序流动。</w:t>
      </w:r>
    </w:p>
    <w:p w14:paraId="70FCDD6B">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55" w:name="_Toc20857"/>
      <w:r>
        <w:rPr>
          <w:rFonts w:ascii="方正楷体_GBK" w:eastAsia="方正楷体_GBK"/>
          <w:snapToGrid w:val="0"/>
          <w:kern w:val="0"/>
          <w:sz w:val="32"/>
          <w:szCs w:val="32"/>
        </w:rPr>
        <w:t xml:space="preserve">第一节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推进重点领域改革</w:t>
      </w:r>
      <w:bookmarkEnd w:id="55"/>
    </w:p>
    <w:p w14:paraId="4B85701F">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bCs/>
          <w:snapToGrid w:val="0"/>
          <w:kern w:val="0"/>
          <w:sz w:val="32"/>
          <w:szCs w:val="32"/>
        </w:rPr>
        <w:t>深化要素市场化配置综合改革</w:t>
      </w:r>
      <w:r>
        <w:rPr>
          <w:rFonts w:eastAsia="方正仿宋_GBK"/>
          <w:snapToGrid w:val="0"/>
          <w:kern w:val="0"/>
          <w:sz w:val="32"/>
          <w:szCs w:val="32"/>
        </w:rPr>
        <w:t>。适应新能源、合成生物、人工智能、低空经济等新产业新业态，强化绿电、技术、算力、空域等新型生产要素供给。以全域空间治理现代化为抓手，积极探索建立更加灵活精准的用地供给机制，着力破除土地要素在城乡、区域、产业间自由流动的体制机制障碍。完善人才引进、培养、激励等制度，在落户、医疗、住房等方面提供一站式便利化服务。加快发展技术要素市场，高效推动技术要素向现实生产力转化。加快企业股改上市，推动上市公司做大做优做强，鼓励上市公司利用股票增发、可转债、科创债、资产证券化（ABS）等资本市场融资工具开展科技创新、转型升级和并购重组。加快发展数据要素市场，推动建立数据合作机制，促进各类数据汇聚共享和开发利用，依法推进公共数据资源授权运营。加快金融机构数字化转型，推动数字人民币研发和应用，构建安全高效的数字支付体系，依法合规推进金融数据共享，健全数字金融治理体系。完善主要由市场供求关系决定要素价格机制，推动政府定价机制由制定具体价格水平向制定定价规则转变，深化重要公用事业、公益性服务等价格改革，健全价格监测预警和应急调控机制，做好重点民生商品保供稳价。</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7454F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6F8E2DAA">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专栏6-1  要素市场化配置重点改革事项</w:t>
            </w:r>
          </w:p>
          <w:p w14:paraId="1720A4CD">
            <w:pPr>
              <w:overflowPunct w:val="0"/>
              <w:autoSpaceDE w:val="0"/>
              <w:autoSpaceDN w:val="0"/>
              <w:adjustRightInd w:val="0"/>
              <w:snapToGrid w:val="0"/>
              <w:spacing w:line="500" w:lineRule="exact"/>
              <w:ind w:firstLine="561"/>
              <w:rPr>
                <w:rFonts w:eastAsia="方正仿宋_GBK"/>
                <w:snapToGrid w:val="0"/>
                <w:kern w:val="0"/>
                <w:sz w:val="28"/>
                <w:szCs w:val="28"/>
              </w:rPr>
            </w:pPr>
            <w:r>
              <w:rPr>
                <w:rFonts w:hint="eastAsia" w:ascii="方正楷体_GBK" w:eastAsia="方正楷体_GBK"/>
                <w:bCs/>
                <w:snapToGrid w:val="0"/>
                <w:kern w:val="0"/>
                <w:sz w:val="28"/>
                <w:szCs w:val="28"/>
              </w:rPr>
              <w:t>深化职业教育产教融合。</w:t>
            </w:r>
            <w:r>
              <w:rPr>
                <w:rFonts w:eastAsia="方正仿宋_GBK"/>
                <w:snapToGrid w:val="0"/>
                <w:kern w:val="0"/>
                <w:sz w:val="28"/>
                <w:szCs w:val="28"/>
              </w:rPr>
              <w:t>探索市域现代职教体系建设新模式，加快“产教城”一体化发展，出台产教融合促进条例，成立产教融合研究院，构建产教融合大数据平台，整体提升职业教育供给、创新、服务能力。</w:t>
            </w:r>
          </w:p>
          <w:p w14:paraId="4339E308">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推动优质民营企业上市融资。</w:t>
            </w:r>
            <w:r>
              <w:rPr>
                <w:rFonts w:eastAsia="方正仿宋_GBK"/>
                <w:snapToGrid w:val="0"/>
                <w:kern w:val="0"/>
                <w:sz w:val="28"/>
                <w:szCs w:val="28"/>
              </w:rPr>
              <w:t>围绕“1028”产业体系、“6+X”未来产业建立上市后备企业库。建立服务企业上市工作联动机制。建立完善常州资本市场“四链融合”要素平台。推进上市公司并购重组整合上下游资源，增强产业链供应链韧性，提升行业竞争力。</w:t>
            </w:r>
          </w:p>
          <w:p w14:paraId="2FC82384">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推进国家碳达峰试点城市建设。</w:t>
            </w:r>
            <w:r>
              <w:rPr>
                <w:rFonts w:eastAsia="方正仿宋_GBK"/>
                <w:snapToGrid w:val="0"/>
                <w:kern w:val="0"/>
                <w:sz w:val="28"/>
                <w:szCs w:val="28"/>
              </w:rPr>
              <w:t>稳步扩大可再生能源装机规模，加快推广微电网、绿电直连、车网互动（V2G）等新模式，增强清洁能源供给与消纳能力，全面提升能源系统绿色化、智能化水平。推动产业结构逐渐向绿色化、高端化迈进，（近）零碳园区、（近）零碳工厂建设形成规模效应，绿色产业竞争力进一步增强。碳排放权、用水权、排污权等要素市场体系不断完善，碳预算管理与ESG机制有效运行，绿色金融产品供给持续丰富，市场化减排机制初步成熟。</w:t>
            </w:r>
          </w:p>
          <w:p w14:paraId="5587EDAF">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推动车网互动规模化应用。</w:t>
            </w:r>
            <w:r>
              <w:rPr>
                <w:rFonts w:eastAsia="方正仿宋_GBK"/>
                <w:snapToGrid w:val="0"/>
                <w:kern w:val="0"/>
                <w:sz w:val="28"/>
                <w:szCs w:val="28"/>
              </w:rPr>
              <w:t>组建“车—桩—网—储—检”产业生态联盟，推广有序充电与V2G放电，加快V2G设施及“光储充放”微电网建设。支持负荷聚合商发展，完善电动汽车参与需求响应与电力市场机制。在场景应用、产业协同、关键技术、市场机制等方面实现重点突破，增强对新型电力系统的支撑能力，形成一批覆盖多场景、高效协同、可复制推广的车网互动规模化应用示范，推动新能源汽车与电网双向协同。</w:t>
            </w:r>
          </w:p>
          <w:p w14:paraId="0CD52296">
            <w:pPr>
              <w:overflowPunct w:val="0"/>
              <w:autoSpaceDE w:val="0"/>
              <w:autoSpaceDN w:val="0"/>
              <w:adjustRightInd w:val="0"/>
              <w:snapToGrid w:val="0"/>
              <w:spacing w:line="500" w:lineRule="exact"/>
              <w:ind w:firstLine="561"/>
              <w:rPr>
                <w:rFonts w:eastAsia="方正仿宋_GBK"/>
                <w:snapToGrid w:val="0"/>
                <w:kern w:val="0"/>
                <w:sz w:val="28"/>
                <w:szCs w:val="28"/>
                <w:lang w:val="zh-TW"/>
              </w:rPr>
            </w:pPr>
            <w:r>
              <w:rPr>
                <w:rFonts w:ascii="方正楷体_GBK" w:eastAsia="方正楷体_GBK"/>
                <w:bCs/>
                <w:snapToGrid w:val="0"/>
                <w:kern w:val="0"/>
                <w:sz w:val="28"/>
                <w:szCs w:val="28"/>
              </w:rPr>
              <w:t>开展“新工科”人才培养创新。</w:t>
            </w:r>
            <w:r>
              <w:rPr>
                <w:rFonts w:eastAsia="方正仿宋_GBK"/>
                <w:snapToGrid w:val="0"/>
                <w:kern w:val="0"/>
                <w:sz w:val="28"/>
                <w:szCs w:val="28"/>
                <w:lang w:val="zh-TW"/>
              </w:rPr>
              <w:t>持续深化</w:t>
            </w:r>
            <w:r>
              <w:rPr>
                <w:rFonts w:eastAsia="方正仿宋_GBK"/>
                <w:snapToGrid w:val="0"/>
                <w:kern w:val="0"/>
                <w:sz w:val="28"/>
                <w:szCs w:val="28"/>
              </w:rPr>
              <w:t>市级层面“</w:t>
            </w:r>
            <w:r>
              <w:rPr>
                <w:rFonts w:eastAsia="方正仿宋_GBK"/>
                <w:snapToGrid w:val="0"/>
                <w:kern w:val="0"/>
                <w:sz w:val="28"/>
                <w:szCs w:val="28"/>
                <w:lang w:val="zh-TW" w:eastAsia="zh-TW"/>
              </w:rPr>
              <w:t>一地一校一平台一园区</w:t>
            </w:r>
            <w:r>
              <w:rPr>
                <w:rFonts w:eastAsia="方正仿宋_GBK"/>
                <w:snapToGrid w:val="0"/>
                <w:kern w:val="0"/>
                <w:sz w:val="28"/>
                <w:szCs w:val="28"/>
              </w:rPr>
              <w:t>”融合创新模式，形成以</w:t>
            </w:r>
            <w:r>
              <w:rPr>
                <w:rFonts w:eastAsia="方正仿宋_GBK"/>
                <w:snapToGrid w:val="0"/>
                <w:kern w:val="0"/>
                <w:sz w:val="28"/>
                <w:szCs w:val="28"/>
                <w:lang w:val="zh-TW"/>
              </w:rPr>
              <w:t>跨学科融合、项目制引领、硬科技创新</w:t>
            </w:r>
            <w:r>
              <w:rPr>
                <w:rFonts w:eastAsia="方正仿宋_GBK"/>
                <w:snapToGrid w:val="0"/>
                <w:kern w:val="0"/>
                <w:sz w:val="28"/>
                <w:szCs w:val="28"/>
              </w:rPr>
              <w:t>为</w:t>
            </w:r>
            <w:r>
              <w:rPr>
                <w:rFonts w:eastAsia="方正仿宋_GBK"/>
                <w:snapToGrid w:val="0"/>
                <w:kern w:val="0"/>
                <w:sz w:val="28"/>
                <w:szCs w:val="28"/>
                <w:lang w:val="zh-TW"/>
              </w:rPr>
              <w:t>特色的</w:t>
            </w:r>
            <w:r>
              <w:rPr>
                <w:rFonts w:eastAsia="方正仿宋_GBK"/>
                <w:snapToGrid w:val="0"/>
                <w:kern w:val="0"/>
                <w:sz w:val="28"/>
                <w:szCs w:val="28"/>
              </w:rPr>
              <w:t>“新工科”人才培养机制、</w:t>
            </w:r>
            <w:r>
              <w:rPr>
                <w:rFonts w:eastAsia="方正仿宋_GBK"/>
                <w:snapToGrid w:val="0"/>
                <w:kern w:val="0"/>
                <w:sz w:val="28"/>
                <w:szCs w:val="28"/>
                <w:lang w:val="zh-TW" w:eastAsia="zh-TW"/>
              </w:rPr>
              <w:t>创新创业项目培育机制</w:t>
            </w:r>
            <w:r>
              <w:rPr>
                <w:rFonts w:eastAsia="方正仿宋_GBK"/>
                <w:snapToGrid w:val="0"/>
                <w:kern w:val="0"/>
                <w:sz w:val="28"/>
                <w:szCs w:val="28"/>
                <w:lang w:val="zh-TW"/>
              </w:rPr>
              <w:t>。</w:t>
            </w:r>
          </w:p>
          <w:p w14:paraId="1CC0BCB7">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推动可信数据空间建设。</w:t>
            </w:r>
            <w:r>
              <w:rPr>
                <w:rFonts w:eastAsia="方正仿宋_GBK"/>
                <w:snapToGrid w:val="0"/>
                <w:kern w:val="0"/>
                <w:sz w:val="28"/>
                <w:szCs w:val="28"/>
              </w:rPr>
              <w:t>围绕身份、目录、接口“三统一”标准规范，通过“试技术融合、试场景支撑、试标准验证、试机制建设”，构建覆盖全市、辐射全国的数据基础设施底座。通过城市可信数据空间串联常州市龙头企业、链主企业和协会院所等主体，以智能制造、医疗健康、金融保险等特色专区建设为引领，不断丰富可信数据空间覆盖场景。</w:t>
            </w:r>
          </w:p>
        </w:tc>
      </w:tr>
    </w:tbl>
    <w:p w14:paraId="0F0EC64B">
      <w:pPr>
        <w:overflowPunct w:val="0"/>
        <w:autoSpaceDE w:val="0"/>
        <w:autoSpaceDN w:val="0"/>
        <w:adjustRightInd w:val="0"/>
        <w:snapToGrid w:val="0"/>
        <w:spacing w:line="570" w:lineRule="exact"/>
        <w:ind w:firstLine="641"/>
        <w:rPr>
          <w:rFonts w:eastAsia="方正仿宋_GBK"/>
          <w:bCs/>
          <w:snapToGrid w:val="0"/>
          <w:kern w:val="0"/>
          <w:sz w:val="32"/>
          <w:szCs w:val="32"/>
        </w:rPr>
      </w:pPr>
      <w:r>
        <w:rPr>
          <w:rFonts w:eastAsia="方正仿宋_GBK"/>
          <w:bCs/>
          <w:snapToGrid w:val="0"/>
          <w:kern w:val="0"/>
          <w:sz w:val="32"/>
          <w:szCs w:val="32"/>
        </w:rPr>
        <w:t>加快应用场景培育和推广。</w:t>
      </w:r>
      <w:r>
        <w:rPr>
          <w:rFonts w:eastAsia="方正仿宋_GBK"/>
          <w:snapToGrid w:val="0"/>
          <w:kern w:val="0"/>
          <w:sz w:val="32"/>
          <w:szCs w:val="32"/>
        </w:rPr>
        <w:t>围绕国家5大领域22类重点场景，重点关注新能源、人工智能、合成生物、数字经济、城市更新、生产性服务业等特色重点，聚焦产业场景和社会场景，梳理场景供需清单，更好吸引民营企业参与场景培育开放、新场景大规模应用。根据场景供需清单，做好重大项目储备工作，激发民间投资活力、促进民间投资发展。畅通场景资源配置、强化要素保障和制度供给，拓宽市场准入，创新要素资源配置方式，更好释放场景创新应用潜力。</w:t>
      </w:r>
    </w:p>
    <w:p w14:paraId="561E8DDA">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加快推动政府职能转变。</w:t>
      </w:r>
      <w:r>
        <w:rPr>
          <w:rFonts w:eastAsia="方正仿宋_GBK"/>
          <w:snapToGrid w:val="0"/>
          <w:kern w:val="0"/>
          <w:sz w:val="32"/>
          <w:szCs w:val="32"/>
        </w:rPr>
        <w:t>完善各级政府及其部门权责清单动态管理机制，加强标准化建设，实现同一事项规范统一。推进机构、职能、权限、程序、责任法定化，依法设置机构、配置职能、明确权限和责任，全面深化事业单位改革。推进行政审批制度改革，深化政务服务“一网通办”，完善“政企通”企业综合服务平台。推进人工智能在政务领域应用，深化政府办公“一网协同”、城市运行“一网统管”，探索泛在感知网络和数字孪生模型，强化“天空陆河”一体化监测监控。落实财税体制改革，加强“四本预算”一体统筹，深化零基预算管理改革，完善转移支付制度，建立全口径地方债务监测监管体系和防范化解隐性债务风险长效机制，加快地方融资平台改革转型。全面推进税收征管数字化升级和智能化改造，完善税务监管体系、智能税费服务体系和税务执法制度机制，着力夯实征管基础、推进税费融合发展。深化地方金融体制改革，积极发展科技金融、绿色金融、普惠金融、养老金融、数字金融，加强优质金融服务。</w:t>
      </w:r>
    </w:p>
    <w:p w14:paraId="0BE718EC">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进一步深化国资国企改革。</w:t>
      </w:r>
      <w:r>
        <w:rPr>
          <w:rFonts w:eastAsia="方正仿宋_GBK"/>
          <w:snapToGrid w:val="0"/>
          <w:kern w:val="0"/>
          <w:sz w:val="32"/>
          <w:szCs w:val="32"/>
        </w:rPr>
        <w:t>优化国有企业功能定位和发展方向，聚焦主责主业，深入推动市属企业战略性重组和专业化整合，增强核心功能、提升核心竞争力，加快平台类国有企业转型为市场化经营主体。深入推进国有资产清查利用，多措并举促进存量资产盘活增效。聚焦新能源、新材料、高端装备制造、医疗器械、人工智能等领域，通过投资、并购、重组、整合等多种方式，推动更多国有资本投向优势产业。聚焦城市开发建设、交通文旅、社会民生、公共服务等领域，创新商业模式和消费应用场景，提升专业化运营能力。持续完善中国特色现代企业制度，将党的领导融入公司治理各环节，健全现代化公司治理结构，建强配优董事会，更好发挥外部董事队伍作用。进一步做好全面预算管理，加强全员、全要素、全生命周期成本管控。加快提升国资监管信息化、智能化水平，推进穿透式监管。深化三项制度改革，完善“一业一策、一企一策”考核评价体系。</w:t>
      </w:r>
    </w:p>
    <w:p w14:paraId="69A0BF0E">
      <w:pPr>
        <w:overflowPunct w:val="0"/>
        <w:autoSpaceDE w:val="0"/>
        <w:autoSpaceDN w:val="0"/>
        <w:adjustRightInd w:val="0"/>
        <w:snapToGrid w:val="0"/>
        <w:spacing w:before="240" w:after="240" w:line="570" w:lineRule="exact"/>
        <w:jc w:val="center"/>
        <w:outlineLvl w:val="1"/>
        <w:rPr>
          <w:rFonts w:hint="eastAsia" w:ascii="方正楷体_GBK" w:eastAsia="方正楷体_GBK"/>
          <w:snapToGrid w:val="0"/>
          <w:kern w:val="0"/>
          <w:sz w:val="32"/>
          <w:szCs w:val="32"/>
        </w:rPr>
      </w:pPr>
      <w:bookmarkStart w:id="56" w:name="_Toc701"/>
      <w:r>
        <w:rPr>
          <w:rFonts w:hint="eastAsia" w:ascii="方正楷体_GBK" w:eastAsia="方正楷体_GBK"/>
          <w:snapToGrid w:val="0"/>
          <w:kern w:val="0"/>
          <w:sz w:val="32"/>
          <w:szCs w:val="32"/>
        </w:rPr>
        <w:t>第二节  持续深化营商环境综合改革</w:t>
      </w:r>
      <w:bookmarkEnd w:id="56"/>
    </w:p>
    <w:p w14:paraId="7CE896E8">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营造市场化、法治化、国际化一流营商环境。</w:t>
      </w:r>
      <w:r>
        <w:rPr>
          <w:rFonts w:eastAsia="方正仿宋_GBK"/>
          <w:snapToGrid w:val="0"/>
          <w:kern w:val="0"/>
          <w:sz w:val="32"/>
          <w:szCs w:val="32"/>
        </w:rPr>
        <w:t>持续擦亮“常享办”营商环境品牌。延伸企业开办服务链条，深化企业开办、变更、注销、迁移、“个转企”等“一件事”改革，丰富电子营业执照和经营主体身份码（企业码）在高频涉企服务领域应用场景。强化“主题式、定制化”政策包供给，精准滴灌大中小微企业成长。优化“综合查一次”，大力推进包容审慎监管，建立健全柔性执法机制、信用承诺制度，完善调解、仲裁、行政裁决、行政复议、诉讼相衔接的纠纷解决机制。优化普惠金融产品服务供给，深入开展中小微企业金融服务能力提升工程。保障外资企业在要素获取、资质许可、标准制定、政府采购等方面国民待遇，完善境外人员入境生活便利制度，持续推进投资和贸易自由化便利化。探索开展“无感监测”，开发建设政务服务智能体，提升政府服务和监管能力。</w:t>
      </w:r>
    </w:p>
    <w:p w14:paraId="3AAA1DE7">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主动顺应统一大市场建设。</w:t>
      </w:r>
      <w:r>
        <w:rPr>
          <w:rFonts w:eastAsia="方正仿宋_GBK"/>
          <w:snapToGrid w:val="0"/>
          <w:kern w:val="0"/>
          <w:sz w:val="32"/>
          <w:szCs w:val="32"/>
        </w:rPr>
        <w:t>执行全国统一的市场准入负面清单制度，强化公平竞争审查刚性约束，保障各类经营主体依法平等获得准入权利。持续完善知识产权保护服务体系，打造知识产权“一站式”综合服务平台，加强涉外知识产权风险监测预警和纠纷应对指导援助。规范招标投标行为，完善评标定标机制。发挥行业协会自律作用，引导企业提升产品品质，实行优质优价。推动低端产能有序退出，实现市场动态出清。严格落实招商引资行为规范。支持企业开展国际认证、商标注册、专利申请，加快培育内外贸畅通、抗风险能力强的优质企业。综合整治“内卷式”竞争，引导各类经营主体转向以创新、品质、服务为核心的良性竞争，规范税收优惠政策，落实有利于统一大市场的财税制度。</w:t>
      </w:r>
    </w:p>
    <w:p w14:paraId="40A3D4B4">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促进民营经济健康发展。</w:t>
      </w:r>
      <w:r>
        <w:rPr>
          <w:rFonts w:eastAsia="方正仿宋_GBK"/>
          <w:snapToGrid w:val="0"/>
          <w:kern w:val="0"/>
          <w:sz w:val="32"/>
          <w:szCs w:val="32"/>
        </w:rPr>
        <w:t>坚持“两个毫不动摇”，深化新时代促进“两个健康”创新探索，全力营造亲商、安商、富商的发展环境。认真落实民营经济促进法，保障民营经济组织依法平等享受各类普惠性政策，依法平等使用生产要素和公共服务资源。大力弘扬企业家精神，健全民营经济组织梯度培育体系，深入实施民营企业家队伍建设“百千万工程”，迭代推进“薪火传承创新创业”行动计划，壮大新时代常商群体。支持中小企业和个体工商户发展，推动大中小企业协同融通发展。加强政企常态化沟通交流，健全问题收集和协调解决机制。加快构建亲清政商关系，坚持亲而有度、清而有为，严格落实正负面清单，深化运用守信激励与失信惩戒约束机制，支持企业家干事创业。优化银行信贷、产业发展基金、融资担保等联动的综合金融支撑体系，加大金融机构信贷投放力度。依法保护企业产权，保障企业合法经营。</w:t>
      </w:r>
    </w:p>
    <w:p w14:paraId="56063941">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57" w:name="_Toc20056"/>
      <w:r>
        <w:rPr>
          <w:rFonts w:ascii="方正楷体_GBK" w:eastAsia="方正楷体_GBK"/>
          <w:snapToGrid w:val="0"/>
          <w:kern w:val="0"/>
          <w:sz w:val="32"/>
          <w:szCs w:val="32"/>
        </w:rPr>
        <w:t xml:space="preserve">第三节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促进高水平对外开放</w:t>
      </w:r>
      <w:bookmarkEnd w:id="57"/>
    </w:p>
    <w:p w14:paraId="1D6829C3">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推进对外贸易创新发展。</w:t>
      </w:r>
      <w:r>
        <w:rPr>
          <w:rFonts w:eastAsia="方正仿宋_GBK"/>
          <w:snapToGrid w:val="0"/>
          <w:kern w:val="0"/>
          <w:sz w:val="32"/>
          <w:szCs w:val="32"/>
        </w:rPr>
        <w:t>加快从产品输出向“技术+品牌+服务”综合输出转型，增强全球价值链话语权。依托长三角（常州）跨境电商创新中心深化“跨境电商+产业带”融合，加快引进具有全球资源配置能力的头部平台企业和综合服务商。加力拓展外贸新增量，重点培育检验检测、云计算、人工智能、影视文化等服务贸易特色优势产业，争创国家数字贸易示范区。支持新能源汽车、锂电池、太阳能电池等“新三样”优势产业扩大出口，推动中国WTO/TBT-SPS国家通报咨询中心（常州）新能源电池技术性贸易措施研究评议基地建设，强化技贸措施研究应对。深入探索碳足迹管理、碳标识认证等，积极发展绿色贸易。推动企业加速合规体系建设，强化对贸易摩擦等各类风险的防范与应对。精准对接产业出海需求，持续加密国际货运航线、拓展国际货运班列，加快常州港汽车滚装及集装箱多功能码头建设，推动长三角新能源货物“一箱制”监管改革全域覆盖，主动衔接离境港集散体系，加快建设国际化口岸枢纽。</w:t>
      </w:r>
    </w:p>
    <w:p w14:paraId="7A20035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提高利用外资质量和水平。</w:t>
      </w:r>
      <w:r>
        <w:rPr>
          <w:rFonts w:eastAsia="方正仿宋_GBK"/>
          <w:snapToGrid w:val="0"/>
          <w:kern w:val="0"/>
          <w:sz w:val="32"/>
          <w:szCs w:val="32"/>
        </w:rPr>
        <w:t>面向重点国别、重点地区，深化全球产业链协同。引导外资更多投向高技术、高标准、绿色低碳等领域，加快引进一批数字服务、金融服务、物流供应链、医疗健康、国际教育、养老服务等现代服务业重点项目，力争纳入国家服务业扩大开放综合试点。加大外资总部和研发中心引进培育力度，打造省级外资总部经济集聚区。深入开展展会招商、科技招商、场景招商，鼓励外资企业利润再投资，推动外资并购、上市公司引入外国战略投资者，探索与主权财富基金等优质资本合作。完善外商投资促进与保护机制，持续打造“全球CEO常州行”等品牌活动，全面落实外资企业国民待遇。</w:t>
      </w:r>
    </w:p>
    <w:p w14:paraId="52681253">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深入实施“走出去”战略。</w:t>
      </w:r>
      <w:r>
        <w:rPr>
          <w:rFonts w:eastAsia="方正仿宋_GBK"/>
          <w:snapToGrid w:val="0"/>
          <w:kern w:val="0"/>
          <w:sz w:val="32"/>
          <w:szCs w:val="32"/>
        </w:rPr>
        <w:t>支持企业拓展国际化经营，深度参与国际分工合作与全球价值链重构，加速培育本土跨国公司。有序引导传统优势产业在“一带一路”重点地区建设加工基地、营销网络、能源供给体系，带动装备、技术、标准、服务协同出海。支持龙头企业开展境外并购与海外研发布局，构建全球化产研网络。推动企业向全球供应链管理中心、跨国公司总部转型。优化“走出去”综合服务平台功能，在重点国别建设10个以上海外交流中心和商务中心。加强企业境外投资方向引导与规范，推动境外产能理性化布局，强化境外投资风险防范与应对能力。积极参与中阿（阿联酋）产能合作示范园建设。有序推进跨境人民币业务发展，扩大金融高水平开放。</w:t>
      </w:r>
    </w:p>
    <w:p w14:paraId="7B668B9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构建高能级对外开放平台。</w:t>
      </w:r>
      <w:r>
        <w:rPr>
          <w:rFonts w:eastAsia="方正仿宋_GBK"/>
          <w:snapToGrid w:val="0"/>
          <w:kern w:val="0"/>
          <w:sz w:val="32"/>
          <w:szCs w:val="32"/>
        </w:rPr>
        <w:t>支持有条件的开发区试点对接国际高标准经贸规则，加强制度协同创新和复制推广。全力推动常州经开区、金坛经开区、溧阳高新区争创国家级开发区，高起点建设新北经开区、天宁高新区、钟楼高新区等新设省级开发区梯队，力争省级以上开发区综合评价争先进位。深入推进中以常州创新园建设，深度链接以色列创新资源，重点招引一批优质标杆项目，引育国际标杆人才。推动中瑞（常州）国际产业创新园、中日（常州）智能制造产业园、中欧（常州）检验检测认证国际合作产业园、中德（常州）创新产业园、中欧（常州）绿色创新园等国际合作园区高质量发展。积极推动华罗庚高新区、钟楼经开区、常州经开区等有条件的开发区培育一批新的国际合作亮点。支持常州、武进综保区拓展“保税研发”“保税维修”等高端功能，丰富“保税+”业态。</w:t>
      </w:r>
    </w:p>
    <w:p w14:paraId="11D8058D">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广泛开展国际交流合作。</w:t>
      </w:r>
      <w:r>
        <w:rPr>
          <w:rFonts w:eastAsia="方正仿宋_GBK"/>
          <w:snapToGrid w:val="0"/>
          <w:kern w:val="0"/>
          <w:sz w:val="32"/>
          <w:szCs w:val="32"/>
        </w:rPr>
        <w:t>围绕国家主场外交活动和重要高访团组等任务，精心策划组织配套活动。围绕重点国别、重点产业促进国际合作，策划举办系列“对话”活动，精准对接国际资源，推动中奥（常州）科技创新中心等国际合作新成果落地。发挥常州国际人才交流中心作用，强化国际人才招引，服务企业国际化发展人才需求。提升友城工作质效，推动友城关系由“友好”向“合作”深化拓展。积极承办羽毛球、网球、曲棍球等国际赛事，重点推进以足球为纽带的民间体育交流与合作。依托世界孟河医派发展联盟平台，推动常州中医药文化“走出去”。深化教育领域对外合作，拓展多元化校际交流渠道，做优做强国际学生文化交流项目。构建国际传播新格局，建强用好“Charming Changzhou”海外社交媒体矩阵，围绕省、市重大活动组织重大主题外宣，向全球讲好常州故事。</w:t>
      </w:r>
    </w:p>
    <w:p w14:paraId="52359112">
      <w:pPr>
        <w:overflowPunct w:val="0"/>
        <w:autoSpaceDE w:val="0"/>
        <w:autoSpaceDN w:val="0"/>
        <w:adjustRightInd w:val="0"/>
        <w:snapToGrid w:val="0"/>
        <w:spacing w:before="240" w:after="240" w:line="570" w:lineRule="exact"/>
        <w:jc w:val="center"/>
        <w:outlineLvl w:val="1"/>
        <w:rPr>
          <w:rFonts w:hint="eastAsia" w:ascii="方正黑体_GBK" w:eastAsia="方正黑体_GBK"/>
          <w:snapToGrid w:val="0"/>
          <w:kern w:val="0"/>
          <w:sz w:val="32"/>
          <w:szCs w:val="32"/>
        </w:rPr>
      </w:pPr>
      <w:bookmarkStart w:id="58" w:name="_Toc17280"/>
      <w:r>
        <w:rPr>
          <w:rFonts w:ascii="方正黑体_GBK" w:eastAsia="方正黑体_GBK"/>
          <w:snapToGrid w:val="0"/>
          <w:kern w:val="0"/>
          <w:sz w:val="32"/>
          <w:szCs w:val="32"/>
        </w:rPr>
        <w:br w:type="page"/>
      </w:r>
      <w:r>
        <w:rPr>
          <w:rFonts w:hint="eastAsia" w:ascii="方正黑体_GBK" w:eastAsia="方正黑体_GBK"/>
          <w:snapToGrid w:val="0"/>
          <w:kern w:val="0"/>
          <w:sz w:val="32"/>
          <w:szCs w:val="32"/>
        </w:rPr>
        <w:t>第七章  全面振兴乡村  促进城乡融合发展</w:t>
      </w:r>
      <w:bookmarkEnd w:id="58"/>
    </w:p>
    <w:p w14:paraId="1B6A847D">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以习近平总书记关于“三农”工作的重要论述为指引，继续坚持农业农村优先发展，坚持城乡融合发展，推动农业基础更加稳固、农村地区更加繁荣、农民生活更加富足，加快推进农业农村现代化。</w:t>
      </w:r>
    </w:p>
    <w:p w14:paraId="711475EE">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59" w:name="_Toc14735"/>
      <w:r>
        <w:rPr>
          <w:rFonts w:ascii="方正楷体_GBK" w:eastAsia="方正楷体_GBK"/>
          <w:snapToGrid w:val="0"/>
          <w:kern w:val="0"/>
          <w:sz w:val="32"/>
          <w:szCs w:val="32"/>
        </w:rPr>
        <w:t>第一节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做强现代农业</w:t>
      </w:r>
      <w:bookmarkEnd w:id="59"/>
    </w:p>
    <w:p w14:paraId="77FAA109">
      <w:pPr>
        <w:overflowPunct w:val="0"/>
        <w:autoSpaceDE w:val="0"/>
        <w:autoSpaceDN w:val="0"/>
        <w:adjustRightInd w:val="0"/>
        <w:snapToGrid w:val="0"/>
        <w:spacing w:line="580" w:lineRule="exact"/>
        <w:ind w:firstLine="641"/>
        <w:rPr>
          <w:rFonts w:eastAsia="方正仿宋_GBK"/>
          <w:snapToGrid w:val="0"/>
          <w:kern w:val="0"/>
          <w:sz w:val="32"/>
          <w:szCs w:val="32"/>
        </w:rPr>
      </w:pPr>
      <w:r>
        <w:rPr>
          <w:rFonts w:eastAsia="方正仿宋_GBK"/>
          <w:bCs/>
          <w:snapToGrid w:val="0"/>
          <w:kern w:val="0"/>
          <w:sz w:val="32"/>
          <w:szCs w:val="32"/>
        </w:rPr>
        <w:t>夯实粮食安全根基。</w:t>
      </w:r>
      <w:r>
        <w:rPr>
          <w:rFonts w:eastAsia="方正仿宋_GBK"/>
          <w:snapToGrid w:val="0"/>
          <w:kern w:val="0"/>
          <w:sz w:val="32"/>
          <w:szCs w:val="32"/>
        </w:rPr>
        <w:t>增强粮食等重要农产品供给保障能力。坚持产量产能、生产生态、增产增收一起抓，深入实施好“藏粮于地”“藏粮于技”战略，稳定粮食播种面积。加大绿色高质高效关键技术推广力度，大力实施新一轮粮食产能提升行动，强化农业防灾减灾能力建设。</w:t>
      </w:r>
      <w:r>
        <w:rPr>
          <w:rFonts w:eastAsia="方正仿宋_GBK"/>
          <w:snapToGrid w:val="0"/>
          <w:kern w:val="0"/>
          <w:sz w:val="32"/>
          <w:szCs w:val="32"/>
          <w:shd w:val="clear" w:color="FFFFFF" w:fill="auto"/>
        </w:rPr>
        <w:t>到2030年，全市粮食播种面积达到148万亩以上，</w:t>
      </w:r>
      <w:r>
        <w:rPr>
          <w:rFonts w:eastAsia="方正仿宋_GBK"/>
          <w:snapToGrid w:val="0"/>
          <w:kern w:val="0"/>
          <w:sz w:val="32"/>
          <w:szCs w:val="32"/>
        </w:rPr>
        <w:t>粮食综合生产能力完成省定目标。坚持农林牧渔并举，提高农产品产出多样性和生产效率，构建多元化食物供给体系。持续优化耕地和永久基本农田布局，实行耕地种植用途管控，坚决遏制永久基本农田“非粮化”，因地制宜推进撂荒耕地综合利用，提高耕地质量，实现耕地三位一体保护。统筹耕地保护集聚区建设、高标准农田建设、全域土地综合整治，高效推进补充耕地项目建设，分阶段逐步将永久基本农田建成高标准农田。</w:t>
      </w:r>
    </w:p>
    <w:p w14:paraId="26C92CEA">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bCs/>
          <w:snapToGrid w:val="0"/>
          <w:color w:val="000000"/>
          <w:kern w:val="0"/>
          <w:sz w:val="32"/>
          <w:szCs w:val="32"/>
        </w:rPr>
        <w:t>培育农业科技动能。</w:t>
      </w:r>
      <w:r>
        <w:rPr>
          <w:rFonts w:eastAsia="方正仿宋_GBK"/>
          <w:snapToGrid w:val="0"/>
          <w:color w:val="000000"/>
          <w:kern w:val="0"/>
          <w:sz w:val="32"/>
          <w:szCs w:val="32"/>
        </w:rPr>
        <w:t>推进农业科技力量协同创新，促进良田良种良机良法集成增效，深入推进现代农业科技创新中心建设，加快培育发展农业新质生产力。落实种业振兴行动，鼓励企业联合科研机构开展农作物、畜禽、渔业等新品种攻关，加强种质资源保护与利用。加强智能装备发展，鼓励企业加快高端智能农机装备、丘陵山区适用小型机械以及设施农业专用设备研发应用。拓展智慧农业应用场景，加快农业数字化转型，推进农业生产、经营、管理、服务全链条智慧化改造。</w:t>
      </w:r>
    </w:p>
    <w:p w14:paraId="4E38CE7D">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构建现代产业体系。</w:t>
      </w:r>
      <w:r>
        <w:rPr>
          <w:rFonts w:eastAsia="方正仿宋_GBK"/>
          <w:snapToGrid w:val="0"/>
          <w:color w:val="000000"/>
          <w:kern w:val="0"/>
          <w:sz w:val="32"/>
          <w:szCs w:val="32"/>
        </w:rPr>
        <w:t>推动现代农业园区</w:t>
      </w:r>
      <w:r>
        <w:rPr>
          <w:rFonts w:eastAsia="方正仿宋_GBK"/>
          <w:snapToGrid w:val="0"/>
          <w:kern w:val="0"/>
          <w:sz w:val="32"/>
          <w:szCs w:val="32"/>
        </w:rPr>
        <w:t>成为高能级农业产业平台，</w:t>
      </w:r>
      <w:r>
        <w:rPr>
          <w:rFonts w:eastAsia="方正仿宋_GBK"/>
          <w:snapToGrid w:val="0"/>
          <w:color w:val="000000"/>
          <w:kern w:val="0"/>
          <w:sz w:val="32"/>
          <w:szCs w:val="32"/>
        </w:rPr>
        <w:t>高标准建设常州国家农业科技园区、争创国家农业高新技术产业示范区，</w:t>
      </w:r>
      <w:r>
        <w:rPr>
          <w:rFonts w:eastAsia="方正仿宋_GBK"/>
          <w:snapToGrid w:val="0"/>
          <w:kern w:val="0"/>
          <w:sz w:val="32"/>
          <w:szCs w:val="32"/>
        </w:rPr>
        <w:t>提升金坛国家现代农业产业园、武进国家农村产业融合示范园等现代农业产业园区（示范园）建管水平，支持溧阳市、新北区争创国家现代农业产业园。提升农业全产业链价值，推动特色优势产业提质增效，大力发展品牌农业。推动一二三产业融合和农文旅融合发展，培育生态旅游、绿色康养、休闲农业等新产品、新场景、新业态。实施乡村“十线百景千店万人”计划，打造10条乡村旅游精品线路，建设100个美丽乡村景观，培育1000个乡村消费场景，培植万名乡村主理人，打响“乡约常州”农文旅品牌。加快农业绿色生态发展，加强农业生产投入品高效化科学利用，开展产地环境循环化生态改造，抓好农业废弃物资源化综合利用，保障农产品优质化安全供给。发挥供销社体系优势，健全农资保供稳价机制，加快培育一批农业社会化服务主体，构建全链条农业社会化服务网络。提升农合联运营发展水平，打造和推广常州特色农副产品区域品牌。</w:t>
      </w:r>
    </w:p>
    <w:p w14:paraId="06AB0BC8">
      <w:pPr>
        <w:overflowPunct w:val="0"/>
        <w:autoSpaceDE w:val="0"/>
        <w:autoSpaceDN w:val="0"/>
        <w:adjustRightInd w:val="0"/>
        <w:snapToGrid w:val="0"/>
        <w:spacing w:before="240" w:after="240" w:line="540" w:lineRule="exact"/>
        <w:jc w:val="center"/>
        <w:outlineLvl w:val="1"/>
        <w:rPr>
          <w:rFonts w:ascii="方正楷体_GBK" w:eastAsia="方正楷体_GBK"/>
          <w:snapToGrid w:val="0"/>
          <w:kern w:val="0"/>
          <w:sz w:val="32"/>
          <w:szCs w:val="32"/>
        </w:rPr>
      </w:pPr>
      <w:bookmarkStart w:id="60" w:name="_Toc32382"/>
      <w:r>
        <w:rPr>
          <w:rFonts w:ascii="方正楷体_GBK" w:eastAsia="方正楷体_GBK"/>
          <w:snapToGrid w:val="0"/>
          <w:kern w:val="0"/>
          <w:sz w:val="32"/>
          <w:szCs w:val="32"/>
        </w:rPr>
        <w:t>第二节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建设和美乡村</w:t>
      </w:r>
      <w:bookmarkEnd w:id="60"/>
    </w:p>
    <w:p w14:paraId="31026659">
      <w:pPr>
        <w:overflowPunct w:val="0"/>
        <w:autoSpaceDE w:val="0"/>
        <w:autoSpaceDN w:val="0"/>
        <w:adjustRightInd w:val="0"/>
        <w:snapToGrid w:val="0"/>
        <w:spacing w:line="550" w:lineRule="exact"/>
        <w:ind w:firstLine="641"/>
        <w:rPr>
          <w:rFonts w:eastAsia="方正仿宋_GBK"/>
          <w:snapToGrid w:val="0"/>
          <w:kern w:val="0"/>
          <w:sz w:val="32"/>
          <w:szCs w:val="32"/>
        </w:rPr>
      </w:pPr>
      <w:r>
        <w:rPr>
          <w:rFonts w:eastAsia="方正仿宋_GBK"/>
          <w:bCs/>
          <w:snapToGrid w:val="0"/>
          <w:kern w:val="0"/>
          <w:sz w:val="32"/>
          <w:szCs w:val="32"/>
        </w:rPr>
        <w:t>优化镇村布局。</w:t>
      </w:r>
      <w:r>
        <w:rPr>
          <w:rFonts w:eastAsia="方正仿宋_GBK"/>
          <w:snapToGrid w:val="0"/>
          <w:kern w:val="0"/>
          <w:sz w:val="32"/>
          <w:szCs w:val="32"/>
        </w:rPr>
        <w:t>以市域一体化发展为目标，推进完成环长荡湖地区空间协同研究，引导环湖地区空间融合。衔接国土空间总体规划，推动镇域国土空间规划与全域土地综合整治、单元规划协同编制。有序推进镇村布局规划调整，动态完善全市规划发展村庄、搬迁撤并类村庄和其它一般村庄的数量规模与空间布局。加强乡村规划管理，用好用实乡村规划师队伍。</w:t>
      </w:r>
    </w:p>
    <w:p w14:paraId="6CFE886E">
      <w:pPr>
        <w:overflowPunct w:val="0"/>
        <w:autoSpaceDE w:val="0"/>
        <w:autoSpaceDN w:val="0"/>
        <w:adjustRightInd w:val="0"/>
        <w:snapToGrid w:val="0"/>
        <w:spacing w:line="550" w:lineRule="exact"/>
        <w:ind w:firstLine="641"/>
        <w:rPr>
          <w:rFonts w:eastAsia="方正仿宋_GBK"/>
          <w:snapToGrid w:val="0"/>
          <w:color w:val="000000"/>
          <w:kern w:val="0"/>
          <w:sz w:val="32"/>
          <w:szCs w:val="32"/>
        </w:rPr>
      </w:pPr>
      <w:r>
        <w:rPr>
          <w:rFonts w:eastAsia="方正仿宋_GBK"/>
          <w:bCs/>
          <w:snapToGrid w:val="0"/>
          <w:kern w:val="0"/>
          <w:sz w:val="32"/>
          <w:szCs w:val="32"/>
        </w:rPr>
        <w:t>焕新人居环境。</w:t>
      </w:r>
      <w:r>
        <w:rPr>
          <w:rFonts w:eastAsia="方正仿宋_GBK"/>
          <w:snapToGrid w:val="0"/>
          <w:kern w:val="0"/>
          <w:sz w:val="32"/>
          <w:szCs w:val="32"/>
        </w:rPr>
        <w:t>学习“千万工程”经验，有序推进省级宜居宜业和美乡村及片区建设，着力打造乡村发展共同体、农民群众生活新空间。</w:t>
      </w:r>
      <w:r>
        <w:rPr>
          <w:rFonts w:eastAsia="方正仿宋_GBK"/>
          <w:snapToGrid w:val="0"/>
          <w:color w:val="000000"/>
          <w:kern w:val="0"/>
          <w:sz w:val="32"/>
          <w:szCs w:val="32"/>
        </w:rPr>
        <w:t>扎实推进农村居民住房条件改善，推广原址翻建、易地新建等多元改善路径，多渠道盘活闲置农房资源。聚焦农田风貌、水环境、公厕等关键环节，常态化开展村庄清洁行动，完善垃圾收运处置体系，全面消除农村黑臭水体，健全长效管护机制。</w:t>
      </w:r>
    </w:p>
    <w:p w14:paraId="3AB287B3">
      <w:pPr>
        <w:overflowPunct w:val="0"/>
        <w:autoSpaceDE w:val="0"/>
        <w:autoSpaceDN w:val="0"/>
        <w:adjustRightInd w:val="0"/>
        <w:snapToGrid w:val="0"/>
        <w:spacing w:line="540" w:lineRule="exact"/>
        <w:ind w:firstLine="641"/>
        <w:rPr>
          <w:rFonts w:eastAsia="方正仿宋_GBK"/>
          <w:snapToGrid w:val="0"/>
          <w:color w:val="000000"/>
          <w:kern w:val="0"/>
          <w:sz w:val="32"/>
          <w:szCs w:val="32"/>
        </w:rPr>
      </w:pPr>
      <w:r>
        <w:rPr>
          <w:rFonts w:eastAsia="方正仿宋_GBK"/>
          <w:bCs/>
          <w:snapToGrid w:val="0"/>
          <w:kern w:val="0"/>
          <w:sz w:val="32"/>
          <w:szCs w:val="32"/>
        </w:rPr>
        <w:t>健全乡村治理。</w:t>
      </w:r>
      <w:r>
        <w:rPr>
          <w:rFonts w:eastAsia="方正仿宋_GBK"/>
          <w:snapToGrid w:val="0"/>
          <w:color w:val="000000"/>
          <w:kern w:val="0"/>
          <w:sz w:val="32"/>
          <w:szCs w:val="32"/>
        </w:rPr>
        <w:t>坚持党对基层治理的全面领导，探索党建引领多元共治，推广“清单制”“积分制”经验，争创国家、省乡村治理建设试点示范。统筹推进新一轮全国文明单位、文明村镇等创建。深入推进农村移风易俗，创新微宣传形式，引导广大农民从善如流、择善而行，推动新风良俗蔚然成风。健全农村应急管理体系，</w:t>
      </w:r>
      <w:r>
        <w:rPr>
          <w:rFonts w:eastAsia="方正仿宋_GBK"/>
          <w:snapToGrid w:val="0"/>
          <w:kern w:val="0"/>
          <w:sz w:val="32"/>
          <w:szCs w:val="32"/>
        </w:rPr>
        <w:t>强化自然灾害防御，</w:t>
      </w:r>
      <w:r>
        <w:rPr>
          <w:rFonts w:eastAsia="方正仿宋_GBK"/>
          <w:snapToGrid w:val="0"/>
          <w:color w:val="000000"/>
          <w:kern w:val="0"/>
          <w:sz w:val="32"/>
          <w:szCs w:val="32"/>
        </w:rPr>
        <w:t>加强农村生产生活领域安全风险源头管控和排查整治。</w:t>
      </w:r>
    </w:p>
    <w:p w14:paraId="0F4B6ED5">
      <w:pPr>
        <w:overflowPunct w:val="0"/>
        <w:autoSpaceDE w:val="0"/>
        <w:autoSpaceDN w:val="0"/>
        <w:adjustRightInd w:val="0"/>
        <w:snapToGrid w:val="0"/>
        <w:spacing w:before="240" w:after="240" w:line="540" w:lineRule="exact"/>
        <w:jc w:val="center"/>
        <w:outlineLvl w:val="1"/>
        <w:rPr>
          <w:rFonts w:ascii="方正楷体_GBK" w:eastAsia="方正楷体_GBK"/>
          <w:snapToGrid w:val="0"/>
          <w:kern w:val="0"/>
          <w:sz w:val="32"/>
          <w:szCs w:val="32"/>
        </w:rPr>
      </w:pPr>
      <w:bookmarkStart w:id="61" w:name="_Toc843"/>
      <w:r>
        <w:rPr>
          <w:rFonts w:ascii="方正楷体_GBK" w:eastAsia="方正楷体_GBK"/>
          <w:snapToGrid w:val="0"/>
          <w:kern w:val="0"/>
          <w:sz w:val="32"/>
          <w:szCs w:val="32"/>
        </w:rPr>
        <w:t xml:space="preserve">第三节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推动富民强村</w:t>
      </w:r>
      <w:bookmarkEnd w:id="61"/>
    </w:p>
    <w:p w14:paraId="1590B2B0">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bCs/>
          <w:snapToGrid w:val="0"/>
          <w:color w:val="000000"/>
          <w:kern w:val="0"/>
          <w:sz w:val="32"/>
          <w:szCs w:val="32"/>
        </w:rPr>
        <w:t>激活土地资源活力。</w:t>
      </w:r>
      <w:r>
        <w:rPr>
          <w:rFonts w:eastAsia="方正仿宋_GBK"/>
          <w:snapToGrid w:val="0"/>
          <w:color w:val="000000"/>
          <w:kern w:val="0"/>
          <w:sz w:val="32"/>
          <w:szCs w:val="32"/>
        </w:rPr>
        <w:t>巩固完善农村基本经营制度，稳步推进第二轮土地承包到期后再延长30年试点，保持农户承包权稳定，并顺利延包。完善承包地所有权、承包权、经营权分置改革，多元化发展农业适度规模经营。依法推进集体经营性建设用地有序入市，健全土地增值收益分配机制，优先保障乡村发展用地需求。加强农村集体“三资”监督管理，规范农村产权交易。</w:t>
      </w:r>
    </w:p>
    <w:p w14:paraId="14267793">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bCs/>
          <w:snapToGrid w:val="0"/>
          <w:color w:val="000000"/>
          <w:kern w:val="0"/>
          <w:sz w:val="32"/>
          <w:szCs w:val="32"/>
        </w:rPr>
        <w:t>拓宽农民增收渠道。</w:t>
      </w:r>
      <w:r>
        <w:rPr>
          <w:rFonts w:eastAsia="方正仿宋_GBK"/>
          <w:snapToGrid w:val="0"/>
          <w:color w:val="000000"/>
          <w:kern w:val="0"/>
          <w:sz w:val="32"/>
          <w:szCs w:val="32"/>
        </w:rPr>
        <w:t>发展壮大新型农村集体经济，支持物业出租、资产参股等多元发展路径，鼓励组建“强村公司”，拓展集体增收渠道。完善联农带农机制，壮大国家、省农业龙头企业梯队，规范培育农民合作社、家庭农场，健全农业经营主体扶持政策同带动农户增收挂钩机制，促进农民稳定增收。到2030年，全市农村居民人均可支配收入稳定增长，城乡收入比继续收窄。</w:t>
      </w:r>
    </w:p>
    <w:p w14:paraId="5EB7ED1F">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bCs/>
          <w:snapToGrid w:val="0"/>
          <w:color w:val="000000"/>
          <w:kern w:val="0"/>
          <w:sz w:val="32"/>
          <w:szCs w:val="32"/>
        </w:rPr>
        <w:t>强化政策支持保障。</w:t>
      </w:r>
      <w:r>
        <w:rPr>
          <w:rFonts w:eastAsia="方正仿宋_GBK"/>
          <w:snapToGrid w:val="0"/>
          <w:color w:val="000000"/>
          <w:kern w:val="0"/>
          <w:sz w:val="32"/>
          <w:szCs w:val="32"/>
        </w:rPr>
        <w:t>完善强农惠农富农支持政策，健全财政优先保障、金融重点倾斜、社会积极参与的多元投入格局。强化价格、补贴、保险、农担政策支持和协同，保护和调动种粮农户积极性。鼓励农民多渠道自主创业和灵活就业，维护进城落户农民的土地承包权、宅基地使用权、集体收益分配权。发展壮大乡村人才队伍，加强高素质农民和新农人培育，激励各类人才下乡服务和创业就业。</w:t>
      </w:r>
    </w:p>
    <w:p w14:paraId="3F1927DC">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62" w:name="_Toc24396"/>
      <w:r>
        <w:rPr>
          <w:rFonts w:ascii="方正楷体_GBK" w:eastAsia="方正楷体_GBK"/>
          <w:snapToGrid w:val="0"/>
          <w:kern w:val="0"/>
          <w:sz w:val="32"/>
          <w:szCs w:val="32"/>
        </w:rPr>
        <w:t>第四节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促进城乡协调</w:t>
      </w:r>
      <w:bookmarkEnd w:id="62"/>
    </w:p>
    <w:p w14:paraId="2981F0A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加速城乡基础设施融合共建共享。</w:t>
      </w:r>
      <w:r>
        <w:rPr>
          <w:rFonts w:eastAsia="方正仿宋_GBK"/>
          <w:snapToGrid w:val="0"/>
          <w:kern w:val="0"/>
          <w:sz w:val="32"/>
          <w:szCs w:val="32"/>
        </w:rPr>
        <w:t>建立健全城乡基础设施一体化规划、建设、管护机制，推进城市供水、供气、排水和照明等基础设施向农村地区进一步延伸覆盖。完善乡村基础设施分级分类建设投入机制，鼓励引入专业化市场化管护模式。推动乡村路网与交通主骨架高效衔接，加强城乡公交线路与主要景点、产业园区、交通场站有效衔接。健全乡村物流基础设施和配送网络体系。构建城乡一体的新型数字基础设施，实施“光网乡村”提升工程，全面推进数字乡村建设。</w:t>
      </w:r>
    </w:p>
    <w:p w14:paraId="4A7C19B9">
      <w:pPr>
        <w:overflowPunct w:val="0"/>
        <w:autoSpaceDE w:val="0"/>
        <w:autoSpaceDN w:val="0"/>
        <w:adjustRightInd w:val="0"/>
        <w:snapToGrid w:val="0"/>
        <w:spacing w:line="570" w:lineRule="exact"/>
        <w:ind w:firstLine="641"/>
        <w:rPr>
          <w:rFonts w:eastAsia="方正仿宋_GBK"/>
          <w:snapToGrid w:val="0"/>
          <w:spacing w:val="-6"/>
          <w:kern w:val="0"/>
          <w:sz w:val="32"/>
          <w:szCs w:val="32"/>
        </w:rPr>
      </w:pPr>
      <w:r>
        <w:rPr>
          <w:rFonts w:eastAsia="方正仿宋_GBK"/>
          <w:bCs/>
          <w:snapToGrid w:val="0"/>
          <w:kern w:val="0"/>
          <w:sz w:val="32"/>
          <w:szCs w:val="32"/>
        </w:rPr>
        <w:t>推进城乡基本公共服务优质均衡发展。</w:t>
      </w:r>
      <w:r>
        <w:rPr>
          <w:rFonts w:eastAsia="方正仿宋_GBK"/>
          <w:snapToGrid w:val="0"/>
          <w:kern w:val="0"/>
          <w:sz w:val="32"/>
          <w:szCs w:val="32"/>
        </w:rPr>
        <w:t>实施“城乡学校携手共进计划”，推进城区学校校长、教师到农村学校或城区薄弱学校任职任教。推进紧密型县域医共体、专科共建型医联体建设，强化农村区域性医疗卫生中心、村卫生室和家庭医生工作室建设。探索城乡养老机构挂钩帮扶，推进农村特困人员供养设施升级改造，延伸居家社区养老服务功能。构建城乡一体、普惠均等的公共文化体育服务体系，推进公共文化服务补短板提效能。建立健全覆盖全民、统筹城乡、公平统一的多层次社会保障体系，</w:t>
      </w:r>
      <w:r>
        <w:rPr>
          <w:rFonts w:eastAsia="方正仿宋_GBK"/>
          <w:snapToGrid w:val="0"/>
          <w:spacing w:val="-6"/>
          <w:kern w:val="0"/>
          <w:sz w:val="32"/>
          <w:szCs w:val="32"/>
        </w:rPr>
        <w:t>落实城乡居民基本养老保险待遇确定和基础养老金正常调整机制。</w:t>
      </w:r>
    </w:p>
    <w:p w14:paraId="3B8A1269">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促进城乡资源高效统筹。</w:t>
      </w:r>
      <w:r>
        <w:rPr>
          <w:rFonts w:eastAsia="方正仿宋_GBK"/>
          <w:snapToGrid w:val="0"/>
          <w:kern w:val="0"/>
          <w:sz w:val="32"/>
          <w:szCs w:val="32"/>
        </w:rPr>
        <w:t>建立健全统一有序的城乡要素市场，推进“人地钱技”等多种要素在城乡间双向自由流动。健全城乡人才交流共享机制，统筹推动教育、医卫、文化、科技等领域人才下乡。加快推进国土空间全域综合整治，深入实施农村土地资源统筹配置。发挥财政支农先导作用，合理推动和引导市场资金投入乡村发展。加快推进金融赋能乡村振兴。加强科技示范、服务和资源配置能力，探索科技成果入乡转化的路径与模式。</w:t>
      </w:r>
    </w:p>
    <w:p w14:paraId="3A2BF13C">
      <w:pPr>
        <w:overflowPunct w:val="0"/>
        <w:autoSpaceDE w:val="0"/>
        <w:autoSpaceDN w:val="0"/>
        <w:adjustRightInd w:val="0"/>
        <w:snapToGrid w:val="0"/>
        <w:spacing w:before="240" w:after="240" w:line="570" w:lineRule="exact"/>
        <w:jc w:val="center"/>
        <w:outlineLvl w:val="1"/>
        <w:rPr>
          <w:rFonts w:hint="eastAsia" w:ascii="方正黑体_GBK" w:eastAsia="方正黑体_GBK"/>
          <w:snapToGrid w:val="0"/>
          <w:kern w:val="0"/>
          <w:sz w:val="32"/>
          <w:szCs w:val="32"/>
        </w:rPr>
      </w:pPr>
      <w:bookmarkStart w:id="63" w:name="_Toc7293"/>
      <w:r>
        <w:rPr>
          <w:rFonts w:hint="eastAsia" w:ascii="方正黑体_GBK" w:eastAsia="方正黑体_GBK"/>
          <w:snapToGrid w:val="0"/>
          <w:kern w:val="0"/>
          <w:sz w:val="32"/>
          <w:szCs w:val="32"/>
        </w:rPr>
        <w:t>第八章  践行“两山”理念  加快建设美丽常州</w:t>
      </w:r>
      <w:bookmarkEnd w:id="63"/>
    </w:p>
    <w:p w14:paraId="4F454F72">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深入践行习近平生态文明思想，坚定不移走生态优先、绿色发展之路，锚定“美丽常州取得明显成效”的目标，坚持“双碳”战略引领，实施碳排放总量和强度双控制度，加快经济社会发展全面绿色转型，持续完善生态环境治理体系，更大力度协同推进降碳、减污、扩绿、增长，促进人与自然和谐共生。</w:t>
      </w:r>
    </w:p>
    <w:p w14:paraId="52E25CF9">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64" w:name="_Toc32766"/>
      <w:r>
        <w:rPr>
          <w:rFonts w:ascii="方正楷体_GBK" w:eastAsia="方正楷体_GBK"/>
          <w:snapToGrid w:val="0"/>
          <w:kern w:val="0"/>
          <w:sz w:val="32"/>
          <w:szCs w:val="32"/>
        </w:rPr>
        <w:t xml:space="preserve">第一节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持续深化生态环境治理</w:t>
      </w:r>
      <w:bookmarkEnd w:id="64"/>
    </w:p>
    <w:p w14:paraId="707ECF5D">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持续深入推进污染防治攻坚。</w:t>
      </w:r>
      <w:r>
        <w:rPr>
          <w:rFonts w:eastAsia="方正仿宋_GBK"/>
          <w:snapToGrid w:val="0"/>
          <w:kern w:val="0"/>
          <w:sz w:val="32"/>
          <w:szCs w:val="32"/>
        </w:rPr>
        <w:t>全面落实精准科学依法治污，强化减污降碳协同、多污染物控制协同、区域治理协同，推动工业、城乡建设、交通运输、能源等重点领域绿色低碳转型。深入打好蓝天、碧水、净土保卫战。坚持以细颗粒物（PM</w:t>
      </w:r>
      <w:r>
        <w:rPr>
          <w:rFonts w:eastAsia="方正仿宋_GBK"/>
          <w:snapToGrid w:val="0"/>
          <w:kern w:val="0"/>
          <w:sz w:val="32"/>
          <w:szCs w:val="32"/>
          <w:vertAlign w:val="subscript"/>
        </w:rPr>
        <w:t>2.5</w:t>
      </w:r>
      <w:r>
        <w:rPr>
          <w:rFonts w:eastAsia="方正仿宋_GBK"/>
          <w:snapToGrid w:val="0"/>
          <w:kern w:val="0"/>
          <w:sz w:val="32"/>
          <w:szCs w:val="32"/>
        </w:rPr>
        <w:t>）浓度持续下降为主线，大力推动氮氧化物和挥发性有机物减排，协同控制臭氧污染，推动空气质量全面改善。到2030年，PM</w:t>
      </w:r>
      <w:r>
        <w:rPr>
          <w:rFonts w:eastAsia="方正仿宋_GBK"/>
          <w:snapToGrid w:val="0"/>
          <w:kern w:val="0"/>
          <w:sz w:val="32"/>
          <w:szCs w:val="32"/>
          <w:vertAlign w:val="subscript"/>
        </w:rPr>
        <w:t>2.5</w:t>
      </w:r>
      <w:r>
        <w:rPr>
          <w:rFonts w:eastAsia="方正仿宋_GBK"/>
          <w:snapToGrid w:val="0"/>
          <w:kern w:val="0"/>
          <w:sz w:val="32"/>
          <w:szCs w:val="32"/>
        </w:rPr>
        <w:t>浓度下降至30微克/立方米。统筹做好水资源、水环境、水生态治理。持续推进新一轮太湖综合治理和大运河生态保护提升，推进太湖、滆湖、长荡湖等主要湖泊及上游河网水系系统治理。坚定不移抓好长江大保护，实施好长江十年禁渔。到2030年，太湖、长荡湖水质稳定达到Ⅲ类，滆湖水质持续向好，河流总磷力争全面达到Ⅱ类，全市美丽河湖建成率达到50%左右，优良水体比例稳步提升。有效保障建设用地、农用地安全利用，强化地下水环境保护。实施固体废物综合治理行动，推动全域“无废城市”建设取得新成效。持续开展噪声污染防治行动。</w:t>
      </w:r>
    </w:p>
    <w:p w14:paraId="3AEB412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提升生态系统多样性稳定性持续性。</w:t>
      </w:r>
      <w:r>
        <w:rPr>
          <w:rFonts w:eastAsia="方正仿宋_GBK"/>
          <w:snapToGrid w:val="0"/>
          <w:kern w:val="0"/>
          <w:sz w:val="32"/>
          <w:szCs w:val="32"/>
        </w:rPr>
        <w:t>坚持山水林田湖草沙一体化保护和系统治理。持续推进生态环境分区管控与国民经济和社会发展规划、国土空间规划的动态衔接，统筹开展生态环境分区管控动态更新与定期评估。构建“一江一河，四湖五山”的美丽常州市域生态空间结构，提升生态系统功能和环境质量。推进“生态岛”试验区建设，建成10个生态安全缓冲区。持续开展生物多样性评估和分析，推进监测信息互联共享，加大珍稀濒危物种保护力度。推进生态保护红线保护成效评估，强化生态空间监督管控，持续开展“绿盾”自然保护地和生态保护红线环境破坏问题监督。到2030年，生态系统多样性稳定性持续性显著提升，生态质量指数总体保持稳定。争创一批国家生态文明建设示范区、“两山”实践创新基地。</w:t>
      </w:r>
    </w:p>
    <w:p w14:paraId="481D74EB">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bCs/>
          <w:snapToGrid w:val="0"/>
          <w:kern w:val="0"/>
          <w:sz w:val="32"/>
          <w:szCs w:val="32"/>
        </w:rPr>
        <w:t>推进环境治理体系现代化。</w:t>
      </w:r>
      <w:r>
        <w:rPr>
          <w:rFonts w:eastAsia="方正仿宋_GBK"/>
          <w:snapToGrid w:val="0"/>
          <w:kern w:val="0"/>
          <w:sz w:val="32"/>
          <w:szCs w:val="32"/>
        </w:rPr>
        <w:t>严格实施地方党政领导干部生态环境保护责任制规定，规范企业生态环境责任，落实企业环境信息依法披露、生态环境损害赔偿等制度。抓好中央生态环境保护督察和长江经济带生态环境警示片披露问题整改，纵深推进省级生态环境保护督察问题整改。推进现代化生态环境监管体系建设及人工智能场景应用。加快落实以排污许可制为核心的固定污染源监管制度，推进环评与排污许可“一次审批”。高标准建设污水收集处置、固废收储运用、环境监测监控等生态环境基础设施。加强环境风险企业、重点园区环境隐患排查治理，以及有毒有害化学物质、电磁辐射环境风险管理。健全环境健康监测调查、风险评估、预警发布和健康提示制度。构建“分级负责、属地为主、部门协同”的环境应急责任体系，完善园区三级防控和重点河流“三网三图”相互支撑、相辅相成的突发水污染事件应急防范体系建设。强化新污染物治理，积极应对气候变化。持续深化绿色金融创新，完善长三角区域生态环境保护协作机制，构建多元化共治格局，争创1—2个长三角美丽中国先行区建设示范标杆。</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40E3F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74109C11">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专栏8-1  生态环境治理重点工程（项目）</w:t>
            </w:r>
          </w:p>
          <w:p w14:paraId="424208AB">
            <w:pPr>
              <w:overflowPunct w:val="0"/>
              <w:autoSpaceDE w:val="0"/>
              <w:autoSpaceDN w:val="0"/>
              <w:adjustRightInd w:val="0"/>
              <w:snapToGrid w:val="0"/>
              <w:spacing w:line="500" w:lineRule="exact"/>
              <w:ind w:firstLine="561"/>
              <w:rPr>
                <w:rFonts w:eastAsia="方正仿宋_GBK"/>
                <w:snapToGrid w:val="0"/>
                <w:kern w:val="0"/>
                <w:sz w:val="28"/>
                <w:szCs w:val="28"/>
              </w:rPr>
            </w:pPr>
            <w:r>
              <w:rPr>
                <w:rFonts w:hint="eastAsia" w:ascii="方正楷体_GBK" w:eastAsia="方正楷体_GBK"/>
                <w:bCs/>
                <w:snapToGrid w:val="0"/>
                <w:kern w:val="0"/>
                <w:sz w:val="28"/>
                <w:szCs w:val="28"/>
              </w:rPr>
              <w:t>深入推进太湖综合治理：</w:t>
            </w:r>
            <w:r>
              <w:rPr>
                <w:rFonts w:eastAsia="方正仿宋_GBK"/>
                <w:snapToGrid w:val="0"/>
                <w:kern w:val="0"/>
                <w:sz w:val="28"/>
                <w:szCs w:val="28"/>
              </w:rPr>
              <w:t>竺山湖、滆湖、长荡湖及入湖河道综合整治，工业污水处理能力、重点行业整治提升等工业污染防治工程；城镇雨污分流改造及管网新建、修复改造等生活污染治理工程；水产养殖业污染治理、农业面源治理工程；湖泊水生态修复、河流底栖动物恢复等河湖生态保护修复工程。长荡湖（溧阳市）退圩还湖及环湖堤防工程。</w:t>
            </w:r>
          </w:p>
          <w:p w14:paraId="0E04730E">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bCs/>
                <w:snapToGrid w:val="0"/>
                <w:kern w:val="0"/>
                <w:sz w:val="28"/>
                <w:szCs w:val="28"/>
              </w:rPr>
              <w:t>持续推进美丽蓝天建设：</w:t>
            </w:r>
            <w:r>
              <w:rPr>
                <w:rFonts w:eastAsia="方正仿宋_GBK"/>
                <w:snapToGrid w:val="0"/>
                <w:kern w:val="0"/>
                <w:sz w:val="28"/>
                <w:szCs w:val="28"/>
              </w:rPr>
              <w:t>围绕低效产能与设施淘汰退出、锅炉窑炉清洁能源替代、重点行业污染防治、移动源污染治理、面源污染控制等开展各项治气工程。</w:t>
            </w:r>
          </w:p>
        </w:tc>
      </w:tr>
    </w:tbl>
    <w:p w14:paraId="1EEC4C3F">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65" w:name="_Toc6189"/>
      <w:r>
        <w:rPr>
          <w:rFonts w:ascii="方正楷体_GBK" w:eastAsia="方正楷体_GBK"/>
          <w:snapToGrid w:val="0"/>
          <w:kern w:val="0"/>
          <w:sz w:val="32"/>
          <w:szCs w:val="32"/>
        </w:rPr>
        <w:t xml:space="preserve">第二节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建设国家碳达峰试点城市</w:t>
      </w:r>
      <w:bookmarkEnd w:id="65"/>
    </w:p>
    <w:p w14:paraId="764D624E">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bCs/>
          <w:snapToGrid w:val="0"/>
          <w:kern w:val="0"/>
          <w:sz w:val="32"/>
          <w:szCs w:val="32"/>
        </w:rPr>
        <w:t>构建绿色低碳发展格局。</w:t>
      </w:r>
      <w:r>
        <w:rPr>
          <w:rFonts w:eastAsia="方正仿宋_GBK"/>
          <w:snapToGrid w:val="0"/>
          <w:kern w:val="0"/>
          <w:sz w:val="32"/>
          <w:szCs w:val="32"/>
        </w:rPr>
        <w:t>建立“碳核算+碳预算”管控机制，健全碳排放统计核算制度，编制能源平衡表，开展碳排放统计核算。编制碳预算管理方案，对基本排放、重点排放、增量排放实施差别化管控。建立碳评价管理制度，将碳排放评价有关要求纳入固定资产投资项目节能审查，将温室气体排放管控纳入环境影响评价，加强重点碳排放单位管理。探索建设全市能碳管理平台，分区域、分领域加大煤、电、气等基础能源数据以及水泥熟料、石灰、生铁等工业产品数据归集，开发碳排放核算系统，形成全市碳排放数据地图，探索建立碳排放趋势分析预测模型。统筹绿色发展和低碳转型支持，健全绿色金融标准体系，丰富绿色金融和转型金融产品服务。将国家碳达峰试点建设情况纳入碳达峰碳中和综合评价体系，加强监督评价结果应用，推动能耗双控向碳排放双控转变。2030年前二氧化碳排放量达到峰值。</w:t>
      </w:r>
    </w:p>
    <w:p w14:paraId="760E4F8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推动重点领域绿色转型。</w:t>
      </w:r>
      <w:r>
        <w:rPr>
          <w:rFonts w:eastAsia="方正仿宋_GBK"/>
          <w:snapToGrid w:val="0"/>
          <w:kern w:val="0"/>
          <w:sz w:val="32"/>
          <w:szCs w:val="32"/>
        </w:rPr>
        <w:t>坚决遏制“两高”项目盲目发展，严格新上项目能效准入，落实新上“两高”工业项目碳排放置换要求，提升能耗准入标准。深入推进“危污乱散低”综合治理，高标准推进常州经开区表面处理循环产业园、中吴武进表面处理循环产业技术研究示范中心等项目建设。实施传统产业焕新工程，推动钢铁、化工、建材、纺织等行业设备更新和工艺流程优化改造，积极培育绿色工厂，打造绿色工业园区，构建绿色低碳供应链，完善绿色制造体系。以建设西太湖省级城乡建设碳达峰碳中和先导区为抓手，全面推进绿色建筑高质量发展，积极推广建筑光伏一体化（BIPV）技术，推动零碳建筑、近零能耗建筑和高星级绿色建筑建设，推进既有居住建筑节能改造，到2030年，累计新增二星级及以上绿色建筑180万平方米，新建公共机构建筑可用屋顶面积光伏覆盖率力争达到80%。大力实施“绿色车轮”计划，到2030年，新增新能源、清洁能源动力的交通工具比例达到70%左右，绿色出行比例达到80%。</w:t>
      </w:r>
    </w:p>
    <w:p w14:paraId="17497688">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全面提速零碳引领进程。</w:t>
      </w:r>
      <w:r>
        <w:rPr>
          <w:rFonts w:eastAsia="方正仿宋_GBK"/>
          <w:snapToGrid w:val="0"/>
          <w:kern w:val="0"/>
          <w:sz w:val="32"/>
          <w:szCs w:val="32"/>
        </w:rPr>
        <w:t>加强ESG（环境、社会、公司治理）体系建设，支持各类企业开展ESG实践，探索制定ESG工作指南相关标准，加快长三角（常州）双碳·ESG国际产业创新园建设，打造长三角ESG产业集聚高地。持续推进首席双碳官制度建设，会同专业机构制定首席双碳官课程体系和认证体系，常态化组织业务能力培训，提升企业碳管理能力，力争推动规模以上工业企业首席双碳官制度实现全覆盖。持续推进（近）零碳园区、工厂试点建设，探索以绿色能源制造绿色产品的“以绿制绿”模式，到2030年，全市培育（近）零碳园区30个、（近）零碳工厂60家以上，积极争创一批国家、省级零碳园区（工厂）。深化锂电池国家级碳标识认证试点建设，推动重点产品碳足迹核算认证，鼓励动力电池、光伏等头部企业建立全生命周期碳足迹核算模型，到2030年完成150个以上产品碳足迹标识认证。拓展零碳试点范围，打造一批零碳机关、零碳社区、零碳学校等典型场景。</w:t>
      </w:r>
    </w:p>
    <w:p w14:paraId="6AAB536C">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66" w:name="_Toc3000"/>
      <w:r>
        <w:rPr>
          <w:rFonts w:ascii="方正楷体_GBK" w:eastAsia="方正楷体_GBK"/>
          <w:snapToGrid w:val="0"/>
          <w:kern w:val="0"/>
          <w:sz w:val="32"/>
          <w:szCs w:val="32"/>
        </w:rPr>
        <w:t>第三节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构建新型能源体系</w:t>
      </w:r>
      <w:bookmarkEnd w:id="66"/>
    </w:p>
    <w:p w14:paraId="31B351C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加快建设“源网荷储碳”新型电力系统。</w:t>
      </w:r>
      <w:r>
        <w:rPr>
          <w:rFonts w:eastAsia="方正仿宋_GBK"/>
          <w:snapToGrid w:val="0"/>
          <w:kern w:val="0"/>
          <w:sz w:val="32"/>
          <w:szCs w:val="32"/>
        </w:rPr>
        <w:t>提升电源灵活性与调节能力，以清洁低碳、高效调节、快速变负荷、启停调峰为主线任务，推动新建煤电机组深度调峰、快速爬坡等高效调节能力进一步提升，推动国能常州电厂开展新一代煤电试验示范。全力推动虚拟电厂因地制宜发展和市级虚拟电厂监测管理平台运行，聚合各类分散资源作为新型经营主体协同参与电力系统优化和电力市场交易，提升电力保供和新能源就地消纳能力。建设坚强智能与有源协同的电网架构，优化加强电网主网架，补齐结构短板，推动配电网在形态上从传统“无源”单向辐射网络向“有源”双向交互系统转变，构建主配微网协同的新型有源配电网调度模式。挖掘需求侧资源协同潜力，优化全市负荷布局，积极拓宽需求响应主体范围，构建需求侧灵活调节资源库，建立健全需求侧响应资源的调度运行机制和市场交易机制，实现需求侧响应能力达到最大用电负荷的8%。布局多元化新型储能增强系统调节能力，在确保安全的前提下，探索建设一批液流电池、固态电池、压缩空气储能、飞轮储能、重力储能、氢储能、电储热等多种技术路线的储能电站。推动能源清洁低碳转型与综合服务，将清洁低碳目标全面融入源、网、荷、储各环节，培育清洁低碳综合能源服务商，加强能力输出，助力新能源产品“卖全球”，系统性推动能源体系绿色低碳转型。高质量建设国家新型电力系统综合试点。</w:t>
      </w:r>
    </w:p>
    <w:p w14:paraId="20AD48E8">
      <w:pPr>
        <w:overflowPunct w:val="0"/>
        <w:autoSpaceDE w:val="0"/>
        <w:autoSpaceDN w:val="0"/>
        <w:adjustRightInd w:val="0"/>
        <w:snapToGrid w:val="0"/>
        <w:spacing w:line="570" w:lineRule="exact"/>
        <w:ind w:firstLine="641"/>
        <w:rPr>
          <w:rFonts w:hint="eastAsia" w:eastAsia="方正仿宋_GBK"/>
          <w:snapToGrid w:val="0"/>
          <w:kern w:val="0"/>
          <w:sz w:val="32"/>
          <w:szCs w:val="32"/>
        </w:rPr>
      </w:pPr>
      <w:r>
        <w:rPr>
          <w:rFonts w:eastAsia="方正仿宋_GBK"/>
          <w:bCs/>
          <w:snapToGrid w:val="0"/>
          <w:kern w:val="0"/>
          <w:sz w:val="32"/>
          <w:szCs w:val="32"/>
        </w:rPr>
        <w:t>优化完善能源基础设施。</w:t>
      </w:r>
      <w:r>
        <w:rPr>
          <w:rFonts w:eastAsia="方正仿宋_GBK"/>
          <w:snapToGrid w:val="0"/>
          <w:kern w:val="0"/>
          <w:sz w:val="32"/>
          <w:szCs w:val="32"/>
        </w:rPr>
        <w:t>创新应用人工智能技术，实现源网荷储协调发展、智慧运行，支撑新能源发电、新型储能、多元化负荷大规模友好接入，促进新能源发电的可靠并网及有序消纳。加强能源管理平台智慧化升级，强化能源数据分析建模，提高能源利用效率。积极争取省级层面对接内蒙古等地区风光大基地，新增布局特高压输送通道并落点常州，提升绿电输送能力。着力推进500千伏常州西主变扩建、220千伏龙锦变新建、220千伏芳渚变改造等重点工程建设。构建高质量电动汽车充换电体系，协同探索电动船舶、eVTOL、电动自行车充换电网络建设，重点推进中心城区加密和外围薄弱覆盖区域补短板，全面推广智能有序充电和V2G应用，建立绿色低碳智慧的现代交通运输用能体系。按需新增国家管网、省级管网分输端口，增建天然气门站设施，推进天然气长输管网互联互通形成区域性环网，形成自主可控的天然气输运体系，实现资源灵活调度，在用气高峰时段互济互保。依托金坛盐穴资源，加快华能金坛综合能源利用项目建设，扩大储气库建设规模，各类企业储气能力达到30亿立方米以上。</w:t>
      </w:r>
    </w:p>
    <w:tbl>
      <w:tblPr>
        <w:tblStyle w:val="2"/>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8" w:type="dxa"/>
          <w:bottom w:w="80" w:type="dxa"/>
          <w:right w:w="128" w:type="dxa"/>
        </w:tblCellMar>
      </w:tblPr>
      <w:tblGrid>
        <w:gridCol w:w="8823"/>
      </w:tblGrid>
      <w:tr w14:paraId="3839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jc w:val="center"/>
        </w:trPr>
        <w:tc>
          <w:tcPr>
            <w:tcW w:w="8823" w:type="dxa"/>
            <w:noWrap w:val="0"/>
            <w:vAlign w:val="top"/>
          </w:tcPr>
          <w:p w14:paraId="651811AB">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专栏8-2  能源基础设施重大工程（项目）</w:t>
            </w:r>
          </w:p>
          <w:p w14:paraId="07639965">
            <w:pPr>
              <w:overflowPunct w:val="0"/>
              <w:autoSpaceDE w:val="0"/>
              <w:autoSpaceDN w:val="0"/>
              <w:adjustRightInd w:val="0"/>
              <w:snapToGrid w:val="0"/>
              <w:spacing w:line="500" w:lineRule="exact"/>
              <w:ind w:firstLine="561"/>
              <w:rPr>
                <w:rFonts w:eastAsia="方正仿宋_GBK"/>
                <w:snapToGrid w:val="0"/>
                <w:kern w:val="0"/>
                <w:sz w:val="28"/>
                <w:szCs w:val="28"/>
              </w:rPr>
            </w:pPr>
            <w:r>
              <w:rPr>
                <w:rFonts w:hint="eastAsia" w:ascii="方正楷体_GBK" w:eastAsia="方正楷体_GBK"/>
                <w:snapToGrid w:val="0"/>
                <w:kern w:val="0"/>
                <w:sz w:val="28"/>
                <w:szCs w:val="28"/>
              </w:rPr>
              <w:t>电网工程：</w:t>
            </w:r>
            <w:r>
              <w:rPr>
                <w:rFonts w:eastAsia="方正仿宋_GBK"/>
                <w:snapToGrid w:val="0"/>
                <w:kern w:val="0"/>
                <w:sz w:val="28"/>
                <w:szCs w:val="28"/>
              </w:rPr>
              <w:t>500千伏常州西主变扩建工程、220千伏龙锦变新建工程、220千伏芳渚变改造工程</w:t>
            </w:r>
          </w:p>
          <w:p w14:paraId="13170BB1">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电源工程：</w:t>
            </w:r>
            <w:r>
              <w:rPr>
                <w:rFonts w:eastAsia="方正仿宋_GBK"/>
                <w:snapToGrid w:val="0"/>
                <w:kern w:val="0"/>
                <w:sz w:val="28"/>
                <w:szCs w:val="28"/>
              </w:rPr>
              <w:t>华能金坛综合能源利用项目、江苏富春江环保热电有限公司扩建项目、常州亚太热电有限公司技改项目</w:t>
            </w:r>
          </w:p>
          <w:p w14:paraId="3D654ED8">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电化学新型储能：</w:t>
            </w:r>
            <w:r>
              <w:rPr>
                <w:rFonts w:eastAsia="方正仿宋_GBK"/>
                <w:snapToGrid w:val="0"/>
                <w:kern w:val="0"/>
                <w:sz w:val="28"/>
                <w:szCs w:val="28"/>
              </w:rPr>
              <w:t>常州经开区200MW/400MWh储能电站</w:t>
            </w:r>
          </w:p>
          <w:p w14:paraId="20F89792">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天然气：</w:t>
            </w:r>
            <w:r>
              <w:rPr>
                <w:rFonts w:eastAsia="方正仿宋_GBK"/>
                <w:snapToGrid w:val="0"/>
                <w:kern w:val="0"/>
                <w:sz w:val="28"/>
                <w:szCs w:val="28"/>
              </w:rPr>
              <w:t>中石化金坛储气库项目</w:t>
            </w:r>
          </w:p>
          <w:p w14:paraId="3B36BC9D">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热电联产：</w:t>
            </w:r>
            <w:r>
              <w:rPr>
                <w:rFonts w:eastAsia="方正仿宋_GBK"/>
                <w:snapToGrid w:val="0"/>
                <w:kern w:val="0"/>
                <w:sz w:val="28"/>
                <w:szCs w:val="28"/>
              </w:rPr>
              <w:t>江苏加怡热电有限公司热电联产机组耦合熔融盐储能升级改造项目</w:t>
            </w:r>
          </w:p>
        </w:tc>
      </w:tr>
    </w:tbl>
    <w:p w14:paraId="33EA075B">
      <w:pPr>
        <w:overflowPunct w:val="0"/>
        <w:autoSpaceDE w:val="0"/>
        <w:autoSpaceDN w:val="0"/>
        <w:adjustRightInd w:val="0"/>
        <w:snapToGrid w:val="0"/>
        <w:spacing w:line="570" w:lineRule="exact"/>
        <w:ind w:firstLine="641"/>
        <w:rPr>
          <w:rFonts w:eastAsia="方正仿宋_GBK"/>
          <w:snapToGrid w:val="0"/>
          <w:spacing w:val="-4"/>
          <w:kern w:val="0"/>
          <w:sz w:val="32"/>
          <w:szCs w:val="32"/>
        </w:rPr>
      </w:pPr>
      <w:r>
        <w:rPr>
          <w:rFonts w:eastAsia="方正仿宋_GBK"/>
          <w:bCs/>
          <w:snapToGrid w:val="0"/>
          <w:kern w:val="0"/>
          <w:sz w:val="32"/>
          <w:szCs w:val="32"/>
        </w:rPr>
        <w:t>着力打造新能源应用场景。</w:t>
      </w:r>
      <w:r>
        <w:rPr>
          <w:rFonts w:eastAsia="方正仿宋_GBK"/>
          <w:snapToGrid w:val="0"/>
          <w:kern w:val="0"/>
          <w:sz w:val="32"/>
          <w:szCs w:val="32"/>
        </w:rPr>
        <w:t>在园区端，依托“光伏+储能”，推动微电网建设，探索绿电直连供电模式，打造（近）零碳园区和工厂，提升产业绿色竞争力。在交通端，持续推进车网互动规模化应用试点城市建设，依托“常畅充”平台，构建车网互动聚合体系，推动公交、出租、物流车队率先开展“谷充峰放”，探索交通领域虚拟电厂和V2G商业模式，建设“电化运河”示范工程。在城市端，推进（近）零碳楼宇和智慧小区建设，推广光储直柔、智能有序充电，推动公共建筑、数据中心等接入综合能量管理平台，实现多能协同与系统韧性提升。在乡村端，大力发展多能互补，在保护生态的基础上，加快光伏发电建设开发，加快乡村充换电设施布局，支撑新能源汽车下乡与城乡物流绿色化，推动探索农村能源革命新模式，基本形成以清洁能源为主、安全可靠的农村能源供给、消费机制。在前沿探索端，推动多种分布式资源聚合参与市场化交易，在确保安全的前提下，依托金坛盐穴和常州氢湾开展储氢、管道掺氢研究，探索“氢电协同”新路径。到2030</w:t>
      </w:r>
      <w:r>
        <w:rPr>
          <w:rFonts w:eastAsia="方正仿宋_GBK"/>
          <w:snapToGrid w:val="0"/>
          <w:spacing w:val="-4"/>
          <w:kern w:val="0"/>
          <w:sz w:val="32"/>
          <w:szCs w:val="32"/>
        </w:rPr>
        <w:t>年，全市新能源发电装机累计达到800万千瓦、微电网项目600个。</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3FB15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3A9669A0">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专栏8-3</w:t>
            </w:r>
            <w:r>
              <w:rPr>
                <w:rFonts w:hint="eastAsia" w:eastAsia="方正黑体_GBK"/>
                <w:snapToGrid w:val="0"/>
                <w:kern w:val="0"/>
                <w:sz w:val="28"/>
                <w:szCs w:val="28"/>
              </w:rPr>
              <w:t xml:space="preserve"> </w:t>
            </w:r>
            <w:r>
              <w:rPr>
                <w:rFonts w:eastAsia="方正黑体_GBK"/>
                <w:snapToGrid w:val="0"/>
                <w:kern w:val="0"/>
                <w:sz w:val="28"/>
                <w:szCs w:val="28"/>
              </w:rPr>
              <w:t xml:space="preserve"> 新能源应用场景</w:t>
            </w:r>
          </w:p>
          <w:p w14:paraId="389E92A0">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园区：</w:t>
            </w:r>
            <w:r>
              <w:rPr>
                <w:rFonts w:eastAsia="方正仿宋_GBK"/>
                <w:snapToGrid w:val="0"/>
                <w:kern w:val="0"/>
                <w:sz w:val="28"/>
                <w:szCs w:val="28"/>
              </w:rPr>
              <w:t>溧阳高新区创智园、长三角（常州）双碳·ESG国际产业创新园、武进国家高新区创新产业园、宋剑湖光电科技港</w:t>
            </w:r>
          </w:p>
          <w:p w14:paraId="2B412357">
            <w:pPr>
              <w:overflowPunct w:val="0"/>
              <w:autoSpaceDE w:val="0"/>
              <w:autoSpaceDN w:val="0"/>
              <w:adjustRightInd w:val="0"/>
              <w:snapToGrid w:val="0"/>
              <w:spacing w:line="490" w:lineRule="exact"/>
              <w:ind w:firstLine="561"/>
              <w:rPr>
                <w:rFonts w:eastAsia="方正仿宋_GBK"/>
                <w:snapToGrid w:val="0"/>
                <w:kern w:val="0"/>
                <w:sz w:val="28"/>
                <w:szCs w:val="28"/>
              </w:rPr>
            </w:pPr>
            <w:r>
              <w:rPr>
                <w:rFonts w:ascii="方正楷体_GBK" w:eastAsia="方正楷体_GBK"/>
                <w:snapToGrid w:val="0"/>
                <w:kern w:val="0"/>
                <w:sz w:val="28"/>
                <w:szCs w:val="28"/>
              </w:rPr>
              <w:t>交通：</w:t>
            </w:r>
            <w:r>
              <w:rPr>
                <w:rFonts w:eastAsia="方正仿宋_GBK"/>
                <w:snapToGrid w:val="0"/>
                <w:kern w:val="0"/>
                <w:sz w:val="28"/>
                <w:szCs w:val="28"/>
              </w:rPr>
              <w:t>常州高铁新城绿色智慧综合能源站、常州交通“车网互动”智慧综合能源站、五星智慧充电站、万象城光储充换放场站、安阳里光储充一体化能源站、电能侠凤凰谷新能源站、理想汽车全国首座穿梭式超级充电站、新北区政务服务中心光储充换一体站、医联体5G-A低空医疗物流智慧速递、溧阳市智慧低碳光储充一体客运站、武进新天地公园电动自行车智慧换电站</w:t>
            </w:r>
          </w:p>
          <w:p w14:paraId="7BF31C90">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城市：</w:t>
            </w:r>
            <w:r>
              <w:rPr>
                <w:rFonts w:eastAsia="方正仿宋_GBK"/>
                <w:snapToGrid w:val="0"/>
                <w:kern w:val="0"/>
                <w:sz w:val="28"/>
                <w:szCs w:val="28"/>
              </w:rPr>
              <w:t>常州高铁新城绿色智慧综合能源站、联检科技光伏建筑一体化（BIPV）项目、金谷花园光伏场景融合改造项目、聚鑫家园智能有序充电社区、溪湖小镇居民V2G放电项目、星星充电智慧家庭能源管理系统、智慧家庭光伏建筑一体化（BIPV）示范、星星充电智慧家庭能源系统</w:t>
            </w:r>
          </w:p>
          <w:p w14:paraId="61341B5A">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乡村：</w:t>
            </w:r>
            <w:r>
              <w:rPr>
                <w:rFonts w:eastAsia="方正仿宋_GBK"/>
                <w:snapToGrid w:val="0"/>
                <w:kern w:val="0"/>
                <w:sz w:val="28"/>
                <w:szCs w:val="28"/>
              </w:rPr>
              <w:t>前黄镇渔光一体项目、郑陆工业园区分布式发电市场化交易试点、天目湖山水园零碳生态旅游、方里和美乡村微电网、全电民宿村、南山居零碳建筑</w:t>
            </w:r>
          </w:p>
          <w:p w14:paraId="72CEF9B4">
            <w:pPr>
              <w:overflowPunct w:val="0"/>
              <w:autoSpaceDE w:val="0"/>
              <w:autoSpaceDN w:val="0"/>
              <w:adjustRightInd w:val="0"/>
              <w:snapToGrid w:val="0"/>
              <w:spacing w:line="500" w:lineRule="exact"/>
              <w:ind w:firstLine="561"/>
              <w:rPr>
                <w:rFonts w:eastAsia="方正仿宋_GBK"/>
                <w:snapToGrid w:val="0"/>
                <w:kern w:val="0"/>
                <w:sz w:val="28"/>
                <w:szCs w:val="28"/>
              </w:rPr>
            </w:pPr>
            <w:r>
              <w:rPr>
                <w:rFonts w:ascii="方正楷体_GBK" w:eastAsia="方正楷体_GBK"/>
                <w:snapToGrid w:val="0"/>
                <w:kern w:val="0"/>
                <w:sz w:val="28"/>
                <w:szCs w:val="28"/>
              </w:rPr>
              <w:t>前沿探索：</w:t>
            </w:r>
            <w:r>
              <w:rPr>
                <w:rFonts w:eastAsia="方正仿宋_GBK"/>
                <w:snapToGrid w:val="0"/>
                <w:kern w:val="0"/>
                <w:sz w:val="28"/>
                <w:szCs w:val="28"/>
              </w:rPr>
              <w:t>新北区新型独立储能电站、金坛盐穴压缩空气储能电站、金坛盐穴储氢项目、溧阳智能网联汽车哈啰Robotaxi项目、电能侠AI智能体、人工智能电力气象大模型、“太乙智策”能源交易智能决策系统、洛凯智慧能源管理平台、常州经开区能碳智慧平台</w:t>
            </w:r>
          </w:p>
        </w:tc>
      </w:tr>
    </w:tbl>
    <w:p w14:paraId="64F27F6F">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67" w:name="_Toc12357"/>
      <w:r>
        <w:rPr>
          <w:rFonts w:ascii="方正楷体_GBK" w:eastAsia="方正楷体_GBK"/>
          <w:snapToGrid w:val="0"/>
          <w:kern w:val="0"/>
          <w:sz w:val="32"/>
          <w:szCs w:val="32"/>
        </w:rPr>
        <w:t>第四节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推动绿色低碳循环发展</w:t>
      </w:r>
      <w:bookmarkEnd w:id="67"/>
    </w:p>
    <w:p w14:paraId="5ECDDDE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提升资源集约利用效率。</w:t>
      </w:r>
      <w:r>
        <w:rPr>
          <w:rFonts w:eastAsia="方正仿宋_GBK"/>
          <w:snapToGrid w:val="0"/>
          <w:kern w:val="0"/>
          <w:sz w:val="32"/>
          <w:szCs w:val="32"/>
        </w:rPr>
        <w:t>深入推进低效用地再开发试点，引导各地通过“政府引导+市场参与”“自主开发+合作开发”等方式，对低效用地实施收购储备、鼓励流转、协议置换、增容扩建、增资技改。动态掌握“批、供、用”土地家底，推动存量建设用地盘活增效。妥善处置盘活闲置存量土地，支持通过企业优化开发、市场流通转让、政府收回收购等方式盘活存量土地。探索矿产开采与土地资源、采矿空间资源、生态环境保护、利用或整治一体化协调发展的矿业开发模式，促进自然资源整体保护、系统修复和综合治理。落实促进绿色低碳发展的财税、金融环保政策。</w:t>
      </w:r>
    </w:p>
    <w:p w14:paraId="665CFA81">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深化生态产品价值实现。</w:t>
      </w:r>
      <w:r>
        <w:rPr>
          <w:rFonts w:eastAsia="方正仿宋_GBK"/>
          <w:snapToGrid w:val="0"/>
          <w:kern w:val="0"/>
          <w:sz w:val="32"/>
          <w:szCs w:val="32"/>
        </w:rPr>
        <w:t>统筹推进自然资源资产产权制度改革，有序开展全市重点区域自然资源确权登记。完善多元化生态保护补偿机制，拓展生态产品价值实现渠道，试点开展洮滆片区等重点区域GEP核算。加强和规范水生态保护补偿，统筹水资源、水环境、水生态治理。拓宽“一区（市）一特色”生态产品价值实现路径，在严格保护生态环境前提下，以水源涵养、土壤保持、生物多样性维护、固碳、绿色产业产品供给、景观服务、文化服务等生态系统服务为重点，探索实现生态优势向经济优势的多元化转化路径。积极参与全国碳排放权交易市场和温室气体自愿减排交易市场建设，推动碳排放核算报告核查、配额分配、配额清缴、市场交易等工作顺利开展。持续推进排污权交易，推动排污指标交易与总量管理深度融合。鼓励金融机构创新绿色金融产品，发挥政府投资基金引导作用，支持基于生态产品价值实现的系统性生态保护修复、生态产品经营开发等项目，有序推进生态环境导向的开发（EOD）模式创新。</w:t>
      </w:r>
    </w:p>
    <w:p w14:paraId="00188DD9">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开展全民绿色低碳行动。</w:t>
      </w:r>
      <w:r>
        <w:rPr>
          <w:rFonts w:eastAsia="方正仿宋_GBK"/>
          <w:snapToGrid w:val="0"/>
          <w:kern w:val="0"/>
          <w:sz w:val="32"/>
          <w:szCs w:val="32"/>
        </w:rPr>
        <w:t>把践行绿色低碳行为纳入全民教育活动范围，普及碳达峰、碳中和基础知识。依托三江口生态环境宣教基地等平台，开发一批具有时代特征、常州特色的生态文化产品，广泛开展节能宣传周、全国低碳日等主题活动，弘扬绿色低碳文化。大力倡导简约适度、绿色低碳的生活方式，完善城市慢行系统，加快推广共享交通、无纸化办公和垃圾分类回收，凝聚全社会绿色转型共识。深化公共机构碳普惠建设，打造具有常州特色的碳普惠示范工程，引导居民建立个人“碳账户”，推广使用“碳积分”，积极践行低碳生活。</w:t>
      </w:r>
    </w:p>
    <w:p w14:paraId="7BF47EFF">
      <w:pPr>
        <w:overflowPunct w:val="0"/>
        <w:autoSpaceDE w:val="0"/>
        <w:autoSpaceDN w:val="0"/>
        <w:adjustRightInd w:val="0"/>
        <w:snapToGrid w:val="0"/>
        <w:spacing w:before="240" w:after="240" w:line="570" w:lineRule="exact"/>
        <w:jc w:val="center"/>
        <w:outlineLvl w:val="1"/>
        <w:rPr>
          <w:rFonts w:hint="eastAsia" w:ascii="方正黑体_GBK" w:eastAsia="方正黑体_GBK"/>
          <w:snapToGrid w:val="0"/>
          <w:kern w:val="0"/>
          <w:sz w:val="32"/>
          <w:szCs w:val="32"/>
        </w:rPr>
      </w:pPr>
      <w:bookmarkStart w:id="68" w:name="_Toc27332"/>
      <w:r>
        <w:rPr>
          <w:rFonts w:hint="eastAsia" w:ascii="方正黑体_GBK" w:eastAsia="方正黑体_GBK"/>
          <w:snapToGrid w:val="0"/>
          <w:kern w:val="0"/>
          <w:sz w:val="32"/>
          <w:szCs w:val="32"/>
        </w:rPr>
        <w:t>第九章  彰显文化特色  打造人文经济样本地</w:t>
      </w:r>
      <w:bookmarkEnd w:id="68"/>
    </w:p>
    <w:p w14:paraId="72440FC2">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snapToGrid w:val="0"/>
          <w:kern w:val="0"/>
          <w:sz w:val="32"/>
          <w:szCs w:val="32"/>
        </w:rPr>
        <w:t>深入践行习近平文化思想，创新实践“人文经济学”重大命题，以社会主义核心价值观引领文化建设，秉承新时代“常州精神”，深度整合名士、工商、运河文化资源，加快文商旅体融合发展，不断激发全社会人文经济活力，更好满足人民精神文化生活新期待。</w:t>
      </w:r>
    </w:p>
    <w:p w14:paraId="5D4962C7">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69" w:name="_Toc9765"/>
      <w:bookmarkStart w:id="70" w:name="_Toc4547"/>
      <w:r>
        <w:rPr>
          <w:rFonts w:ascii="方正楷体_GBK" w:eastAsia="方正楷体_GBK"/>
          <w:snapToGrid w:val="0"/>
          <w:kern w:val="0"/>
          <w:sz w:val="32"/>
          <w:szCs w:val="32"/>
        </w:rPr>
        <w:t>第一节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提升社会文明程度</w:t>
      </w:r>
      <w:bookmarkEnd w:id="69"/>
      <w:bookmarkEnd w:id="70"/>
    </w:p>
    <w:p w14:paraId="4C27B17A">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bCs/>
          <w:snapToGrid w:val="0"/>
          <w:kern w:val="0"/>
          <w:sz w:val="32"/>
          <w:szCs w:val="32"/>
        </w:rPr>
        <w:t>培育和践行社会主义核心价值观。</w:t>
      </w:r>
      <w:r>
        <w:rPr>
          <w:rFonts w:eastAsia="方正仿宋_GBK"/>
          <w:snapToGrid w:val="0"/>
          <w:kern w:val="0"/>
          <w:sz w:val="32"/>
          <w:szCs w:val="32"/>
        </w:rPr>
        <w:t>持续深挖“四史”中的常州元素，用好用活“常州三杰”纪念馆、新四军江南指挥部等红色资源，深化爱国主义、集体主义、社会主义教育，广泛组织开展宣传教育活动。推动社会主义核心价值观融入法治建设和社会治理，制定完善文明条例、村规民约、学生守则、行为规范。培育城市人文精神，弘扬“常州三杰”革命精神、华罗庚精神和当代常州人共同价值观，推动“创新争先、务实担当、崇德向善、重义守信”成为市民精神风貌的鲜明特质。</w:t>
      </w:r>
    </w:p>
    <w:p w14:paraId="4D60D545">
      <w:pPr>
        <w:overflowPunct w:val="0"/>
        <w:autoSpaceDE w:val="0"/>
        <w:autoSpaceDN w:val="0"/>
        <w:adjustRightInd w:val="0"/>
        <w:snapToGrid w:val="0"/>
        <w:spacing w:line="550" w:lineRule="exact"/>
        <w:ind w:firstLine="641"/>
        <w:rPr>
          <w:rFonts w:eastAsia="方正仿宋_GBK"/>
          <w:snapToGrid w:val="0"/>
          <w:kern w:val="0"/>
          <w:sz w:val="32"/>
          <w:szCs w:val="32"/>
        </w:rPr>
      </w:pPr>
      <w:r>
        <w:rPr>
          <w:rFonts w:eastAsia="方正仿宋_GBK"/>
          <w:bCs/>
          <w:snapToGrid w:val="0"/>
          <w:kern w:val="0"/>
          <w:sz w:val="32"/>
          <w:szCs w:val="32"/>
        </w:rPr>
        <w:t>加强和改进思想政治工作。</w:t>
      </w:r>
      <w:r>
        <w:rPr>
          <w:rFonts w:eastAsia="方正仿宋_GBK"/>
          <w:snapToGrid w:val="0"/>
          <w:kern w:val="0"/>
          <w:sz w:val="32"/>
          <w:szCs w:val="32"/>
        </w:rPr>
        <w:t>深入贯彻《关于新时代加强和改进思想政治工作的意见》，坚持解决思想问题与解决实际问题相结合，培育理性平和的社会心态，提升思想政治教育水平。全面加强企业、农村、机关和事业单位、学校、社区、新兴领域思想政治工作，突出对新就业群体的政治引领和思想引导。建强常州市思想政治工作研究会。充分发挥新时代文明实践、“我们的节日”等载体作用，打造助老、托幼、扶困、助残等服务项目，做好失业、失能、失独、失意等人群思想引导、心理疏导。</w:t>
      </w:r>
    </w:p>
    <w:p w14:paraId="683044DF">
      <w:pPr>
        <w:overflowPunct w:val="0"/>
        <w:autoSpaceDE w:val="0"/>
        <w:autoSpaceDN w:val="0"/>
        <w:adjustRightInd w:val="0"/>
        <w:snapToGrid w:val="0"/>
        <w:spacing w:line="550" w:lineRule="exact"/>
        <w:ind w:firstLine="641"/>
        <w:rPr>
          <w:rFonts w:eastAsia="方正仿宋_GBK"/>
          <w:snapToGrid w:val="0"/>
          <w:kern w:val="0"/>
          <w:sz w:val="32"/>
          <w:szCs w:val="32"/>
        </w:rPr>
      </w:pPr>
      <w:r>
        <w:rPr>
          <w:rFonts w:eastAsia="方正仿宋_GBK"/>
          <w:bCs/>
          <w:snapToGrid w:val="0"/>
          <w:kern w:val="0"/>
          <w:sz w:val="32"/>
          <w:szCs w:val="32"/>
        </w:rPr>
        <w:t>提升公民道德建设水平。</w:t>
      </w:r>
      <w:r>
        <w:rPr>
          <w:rFonts w:eastAsia="方正仿宋_GBK"/>
          <w:snapToGrid w:val="0"/>
          <w:kern w:val="0"/>
          <w:sz w:val="32"/>
          <w:szCs w:val="32"/>
        </w:rPr>
        <w:t>贯彻落实新时代公民道德建设相关部署，以加强社会公德、职业道德、家庭美德、个人品德建设为着力点，推动形成适应新时代要求的思想观念、精神面貌、文明风尚、行为规范。实施“常有榜样”工程，构建全域覆盖、行业贯通的典型选树网络，完善对先进典型的帮扶关爱与礼遇机制。完善道德讲堂赋能机制，推进道德讲堂标准化、生活化、网络化。持续深化“扣好人生第一粒扣子”主题教育实践和“新时代好少年”学习宣传，拓展文明礼仪养成教育。抓好网络空间道德建设，丰富网上道德实践，加强网络文明建设。深化道德领域突出问题治理，发挥社会规范引导约束作用。</w:t>
      </w:r>
    </w:p>
    <w:p w14:paraId="6BB27E8A">
      <w:pPr>
        <w:overflowPunct w:val="0"/>
        <w:autoSpaceDE w:val="0"/>
        <w:autoSpaceDN w:val="0"/>
        <w:adjustRightInd w:val="0"/>
        <w:snapToGrid w:val="0"/>
        <w:spacing w:line="550" w:lineRule="exact"/>
        <w:ind w:firstLine="641"/>
        <w:rPr>
          <w:rFonts w:eastAsia="方正仿宋_GBK"/>
          <w:snapToGrid w:val="0"/>
          <w:kern w:val="0"/>
          <w:sz w:val="32"/>
          <w:szCs w:val="32"/>
        </w:rPr>
      </w:pPr>
      <w:r>
        <w:rPr>
          <w:rFonts w:eastAsia="方正仿宋_GBK"/>
          <w:bCs/>
          <w:snapToGrid w:val="0"/>
          <w:kern w:val="0"/>
          <w:sz w:val="32"/>
          <w:szCs w:val="32"/>
        </w:rPr>
        <w:t>深化城市文明建设。</w:t>
      </w:r>
      <w:r>
        <w:rPr>
          <w:rFonts w:eastAsia="方正仿宋_GBK"/>
          <w:snapToGrid w:val="0"/>
          <w:kern w:val="0"/>
          <w:sz w:val="32"/>
          <w:szCs w:val="32"/>
        </w:rPr>
        <w:t>探索从创建“文明城市”向建设“城市文明”转变的实践路径，力争全国文明城市“六连冠”。实施文明城市牵引工程，提升文明单位示范带动效应。实施文明“微细胞”建设工程，开展文明小区、文明班组、文明市民等“细胞”创建，推动文明创建向新就业群体、青年学生等覆盖延伸。实施城市美学提升工程，推动社会文明理念融入城市规划建设各方面，留住名胜古迹、文化标识、历史记忆等“城市基因”。实施文明乡风建设工程，加强农村思想道德建设。</w:t>
      </w:r>
    </w:p>
    <w:p w14:paraId="2BAADCE0">
      <w:pPr>
        <w:overflowPunct w:val="0"/>
        <w:autoSpaceDE w:val="0"/>
        <w:autoSpaceDN w:val="0"/>
        <w:adjustRightInd w:val="0"/>
        <w:snapToGrid w:val="0"/>
        <w:spacing w:before="240" w:after="240" w:line="550" w:lineRule="exact"/>
        <w:jc w:val="center"/>
        <w:outlineLvl w:val="1"/>
        <w:rPr>
          <w:rFonts w:ascii="方正楷体_GBK" w:eastAsia="方正楷体_GBK"/>
          <w:snapToGrid w:val="0"/>
          <w:kern w:val="0"/>
          <w:sz w:val="32"/>
          <w:szCs w:val="32"/>
        </w:rPr>
      </w:pPr>
      <w:bookmarkStart w:id="71" w:name="_Toc27779"/>
      <w:r>
        <w:rPr>
          <w:rFonts w:ascii="方正楷体_GBK" w:eastAsia="方正楷体_GBK"/>
          <w:snapToGrid w:val="0"/>
          <w:kern w:val="0"/>
          <w:sz w:val="32"/>
          <w:szCs w:val="32"/>
        </w:rPr>
        <w:t>第二节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繁荣发展文化事业</w:t>
      </w:r>
      <w:bookmarkEnd w:id="71"/>
    </w:p>
    <w:p w14:paraId="5DBA11D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优化文化产品和服务供给。</w:t>
      </w:r>
      <w:r>
        <w:rPr>
          <w:rFonts w:eastAsia="方正仿宋_GBK"/>
          <w:snapToGrid w:val="0"/>
          <w:kern w:val="0"/>
          <w:sz w:val="32"/>
          <w:szCs w:val="32"/>
        </w:rPr>
        <w:t>加快建设高水平文化强市，推动新闻出版、广播影视、文学艺术等领域精品创作，打造具有重大影响、彰显常州特质的文化精品，推出受市场欢迎的文化产品、文化服务、文化品牌。强化政府主导、社会参与、重心下移、共建共享，推动优质文化服务和文化产品供给全域覆盖、全民共享，因地制宜打造新型公共文化空间，创新开展文化惠民活动。构建更加完善的现代博物馆体系，支持常州博物馆高水平开放高质量发展。</w:t>
      </w:r>
    </w:p>
    <w:p w14:paraId="0FFFD6C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激发文化创新创造活力。</w:t>
      </w:r>
      <w:r>
        <w:rPr>
          <w:rFonts w:eastAsia="方正仿宋_GBK"/>
          <w:snapToGrid w:val="0"/>
          <w:kern w:val="0"/>
          <w:sz w:val="32"/>
          <w:szCs w:val="32"/>
        </w:rPr>
        <w:t>坚持面向群众、面向市场，建立有利于文化创新、精品产出和人才培养的文化管理体制机制。完善文化人才扶持机制，强化文化人才梯队建设。探索博物馆+非遗大师、美术馆</w:t>
      </w:r>
      <w:bookmarkStart w:id="72" w:name="OLE_LINK72"/>
      <w:bookmarkStart w:id="73" w:name="OLE_LINK73"/>
      <w:r>
        <w:rPr>
          <w:rFonts w:eastAsia="方正仿宋_GBK"/>
          <w:snapToGrid w:val="0"/>
          <w:kern w:val="0"/>
          <w:sz w:val="32"/>
          <w:szCs w:val="32"/>
        </w:rPr>
        <w:t>+</w:t>
      </w:r>
      <w:bookmarkEnd w:id="72"/>
      <w:bookmarkEnd w:id="73"/>
      <w:r>
        <w:rPr>
          <w:rFonts w:eastAsia="方正仿宋_GBK"/>
          <w:snapToGrid w:val="0"/>
          <w:kern w:val="0"/>
          <w:sz w:val="32"/>
          <w:szCs w:val="32"/>
        </w:rPr>
        <w:t>艺术家的合作共赢模式。健全优质文化资源直达基层、艺术精品生产闭环机制。强化文旅、文博、文艺、文创等联动发展，培育“文化+”新业态、新场景、新模式。加速文化数字化、网络化、智能化发展，聚焦音乐版权、游戏动漫、影视短剧、创意潮玩等重点板块，催生一批新型文化业态。</w:t>
      </w:r>
    </w:p>
    <w:p w14:paraId="3775F251">
      <w:pPr>
        <w:overflowPunct w:val="0"/>
        <w:autoSpaceDE w:val="0"/>
        <w:autoSpaceDN w:val="0"/>
        <w:adjustRightInd w:val="0"/>
        <w:snapToGrid w:val="0"/>
        <w:spacing w:line="570" w:lineRule="exact"/>
        <w:ind w:firstLine="641"/>
        <w:rPr>
          <w:rFonts w:eastAsia="方正仿宋_GBK"/>
          <w:strike/>
          <w:snapToGrid w:val="0"/>
          <w:kern w:val="0"/>
          <w:sz w:val="32"/>
          <w:szCs w:val="32"/>
        </w:rPr>
      </w:pPr>
      <w:r>
        <w:rPr>
          <w:rFonts w:eastAsia="方正仿宋_GBK"/>
          <w:bCs/>
          <w:snapToGrid w:val="0"/>
          <w:kern w:val="0"/>
          <w:sz w:val="32"/>
          <w:szCs w:val="32"/>
        </w:rPr>
        <w:t>扩大常州文化品牌影响力。</w:t>
      </w:r>
      <w:r>
        <w:rPr>
          <w:rFonts w:eastAsia="方正仿宋_GBK"/>
          <w:snapToGrid w:val="0"/>
          <w:kern w:val="0"/>
          <w:sz w:val="32"/>
          <w:szCs w:val="32"/>
        </w:rPr>
        <w:t>唱响“常州，教我如何不想她”城市标识，构建全域化、国际化文化品牌融合发展新格局。强化特色IP引领，聚焦大运河文化、“常州三杰”、恐龙园等标志性品牌，融合古镇街巷、山水资源、城市乐园等文化旅游资源，发挥特色美食、中医养生等区域优势，形成文化品牌矩阵。持续打造季子故里、齐梁故里、三杰故里、毗陵我里“三里—东坡”文化标识，放大高晓声文学、恽南田美术、赵元任音乐等文艺品牌影响。办好中吴文化系列活动、全国二胡展演、“春江花月夜”长江文化周等国家、省市联动品牌活动。支持重点艺术家、国家级非遗大师赴海外办展、参与国际交流。强化城市形象传播，讲好“常州故事”、传播常州文化。</w:t>
      </w:r>
    </w:p>
    <w:p w14:paraId="41B5ADAB">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74" w:name="_Toc13176"/>
      <w:r>
        <w:rPr>
          <w:rFonts w:ascii="方正楷体_GBK" w:eastAsia="方正楷体_GBK"/>
          <w:snapToGrid w:val="0"/>
          <w:kern w:val="0"/>
          <w:sz w:val="32"/>
          <w:szCs w:val="32"/>
        </w:rPr>
        <w:t xml:space="preserve">第三节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促进文商旅体融合发展</w:t>
      </w:r>
      <w:bookmarkEnd w:id="74"/>
    </w:p>
    <w:p w14:paraId="20E4CD39">
      <w:pPr>
        <w:overflowPunct w:val="0"/>
        <w:autoSpaceDE w:val="0"/>
        <w:autoSpaceDN w:val="0"/>
        <w:adjustRightInd w:val="0"/>
        <w:snapToGrid w:val="0"/>
        <w:spacing w:line="570" w:lineRule="exact"/>
        <w:ind w:firstLine="641"/>
        <w:rPr>
          <w:rFonts w:eastAsia="方正仿宋_GBK"/>
          <w:bCs/>
          <w:snapToGrid w:val="0"/>
          <w:kern w:val="0"/>
          <w:sz w:val="32"/>
          <w:szCs w:val="32"/>
        </w:rPr>
      </w:pPr>
      <w:r>
        <w:rPr>
          <w:rFonts w:eastAsia="方正仿宋_GBK"/>
          <w:bCs/>
          <w:snapToGrid w:val="0"/>
          <w:kern w:val="0"/>
          <w:sz w:val="32"/>
          <w:szCs w:val="32"/>
        </w:rPr>
        <w:t>深化“文旅+”融合。</w:t>
      </w:r>
      <w:r>
        <w:rPr>
          <w:rFonts w:eastAsia="方正仿宋_GBK"/>
          <w:snapToGrid w:val="0"/>
          <w:kern w:val="0"/>
          <w:sz w:val="32"/>
          <w:szCs w:val="32"/>
        </w:rPr>
        <w:t>依托各类文旅载体及空间，应用前沿技术，打造虚实相生、沉浸互动的数字体验场景。推动AI技术在内容生产、场景打造、营销推广等全链条渗透，鼓励文化单位、旅游企业焕新迭代新型产品。深化文商旅、文体旅、农文旅等多业态融合，促进宠物经济、赛事经济、演出经济、美食经济等繁荣发展，强化“文博+”“会展+”等业态融合，发展水上游、冰雪游、工业游等特色项目。整合文化娱乐、体育运动、商务休闲等资源，盘活存量低效空间，打造一批文商旅体线下融合消费场景。统筹文商旅体场景消费组合政策，提升文旅消费能级。</w:t>
      </w:r>
    </w:p>
    <w:p w14:paraId="4F53DB53">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构建文旅产业发展生态。</w:t>
      </w:r>
      <w:r>
        <w:rPr>
          <w:rFonts w:eastAsia="方正仿宋_GBK"/>
          <w:snapToGrid w:val="0"/>
          <w:kern w:val="0"/>
          <w:sz w:val="32"/>
          <w:szCs w:val="32"/>
        </w:rPr>
        <w:t>加快培育龙头文旅企业，引导本地头部企业通过兼并重组、输出管理等方式增强要素整合及创新集成能力，形成一批具有较强竞争力的文旅科技融合领军企业。高效集聚数字文旅产业链，促进技术研发、应用转化与消费体验有效衔接，实现产业集聚发展和消费场景创新双提升。大力扶持新兴产业主体，结合数字应用、沉浸式体验等需求，吸引社会资本参与文旅场景建设和内容创新。</w:t>
      </w:r>
    </w:p>
    <w:p w14:paraId="42C09BE2">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完善公共体育服务体系。</w:t>
      </w:r>
      <w:r>
        <w:rPr>
          <w:rFonts w:eastAsia="方正仿宋_GBK"/>
          <w:snapToGrid w:val="0"/>
          <w:kern w:val="0"/>
          <w:sz w:val="32"/>
          <w:szCs w:val="32"/>
        </w:rPr>
        <w:t>加快构建全民健身公共服务体系，增加城乡健身设施有效供给。促进重点赛事活动开展，进一步打造“运动龙城大联赛”等本土群众品牌赛事。深化“体卫融合”，探索筹建体育医院新院区。加快建设国家级高质量户外运动目的地。推进足球高质量发展，加快足球场地设施建设，丰富足球赛事活动，优化职业足球管理，实施青少年校园足球振兴行动，打造高水平足球人才队伍。到2030年新建、改造球类场地300片以上，人均体育场地面积达5.03平方米，建设国家级足球特色学校150所以上。</w:t>
      </w:r>
    </w:p>
    <w:p w14:paraId="60E1ECA0">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75" w:name="_Toc17839"/>
      <w:r>
        <w:rPr>
          <w:rFonts w:ascii="方正楷体_GBK" w:eastAsia="方正楷体_GBK"/>
          <w:snapToGrid w:val="0"/>
          <w:kern w:val="0"/>
          <w:sz w:val="32"/>
          <w:szCs w:val="32"/>
        </w:rPr>
        <w:t>第四节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加强历史文化保护</w:t>
      </w:r>
      <w:bookmarkEnd w:id="75"/>
    </w:p>
    <w:p w14:paraId="5C1E393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加强历史文化名城建设。</w:t>
      </w:r>
      <w:r>
        <w:rPr>
          <w:rFonts w:eastAsia="方正仿宋_GBK"/>
          <w:snapToGrid w:val="0"/>
          <w:kern w:val="0"/>
          <w:sz w:val="32"/>
          <w:szCs w:val="32"/>
        </w:rPr>
        <w:t>修订《常州市历史文化名城保护条例》，完善城乡历史文化保护传承体系，构建文化遗产大保护格局。强化历史文化名镇、名村、历史文化街区和历史地段保护规划引领，加强文化遗产系统性保护和统一监管，严格管控拆除和建设活动，切实保护好历史文化名城的传统格局、地形地貌、街巷肌理。依托老城厢复兴发展、片区有机更新，实施西直街历史地段保护利用等重点项目，推动历史文化资源保护修缮和活化利用。持续推进数字化信息系统建设，推动历史文化保护传承管理“一张图”，实现历史文化资源动态管理和深度应用。</w:t>
      </w:r>
    </w:p>
    <w:p w14:paraId="6B0409CA">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赓续城市历史文脉。</w:t>
      </w:r>
      <w:r>
        <w:rPr>
          <w:rFonts w:eastAsia="方正仿宋_GBK"/>
          <w:snapToGrid w:val="0"/>
          <w:kern w:val="0"/>
          <w:sz w:val="32"/>
          <w:szCs w:val="32"/>
        </w:rPr>
        <w:t>挖掘梳理长江文化、运河文化、工商文化、红色文化、名人文化等资源，建好长江、大运河国家文化公园，构筑运河工商旅文化盛景，突显“最江南”江苏运河常州段文化标识。推进常州地域文明探源工程和常州文脉整理工程，深入开展“读城”行动，加强古籍普查、保护、整理和数字化工作，深度挖掘建筑、地名、老字号等城市文化载体，建立“文脉守护人”全民共保共享机制。实施文化基因激活工程，积极推动焦溪江南水乡古镇申遗，加快建设三星村、寺墩等考古遗址公园，鼓励文博场馆延长开放时间、开发文创产品，推出一批特色文物主题游径，推动非遗进景区、进商圈、进历史文化街区、进新型文化空间。</w:t>
      </w:r>
    </w:p>
    <w:p w14:paraId="23B51DD3">
      <w:pPr>
        <w:overflowPunct w:val="0"/>
        <w:autoSpaceDE w:val="0"/>
        <w:autoSpaceDN w:val="0"/>
        <w:adjustRightInd w:val="0"/>
        <w:snapToGrid w:val="0"/>
        <w:spacing w:before="240" w:after="240" w:line="570" w:lineRule="exact"/>
        <w:jc w:val="center"/>
        <w:outlineLvl w:val="1"/>
        <w:rPr>
          <w:rFonts w:hint="eastAsia" w:ascii="方正黑体_GBK" w:eastAsia="方正黑体_GBK"/>
          <w:snapToGrid w:val="0"/>
          <w:kern w:val="0"/>
          <w:sz w:val="32"/>
          <w:szCs w:val="32"/>
        </w:rPr>
      </w:pPr>
      <w:bookmarkStart w:id="76" w:name="_Toc21433"/>
      <w:r>
        <w:rPr>
          <w:rFonts w:ascii="方正黑体_GBK" w:eastAsia="方正黑体_GBK"/>
          <w:snapToGrid w:val="0"/>
          <w:kern w:val="0"/>
          <w:sz w:val="32"/>
          <w:szCs w:val="32"/>
        </w:rPr>
        <w:br w:type="page"/>
      </w:r>
      <w:r>
        <w:rPr>
          <w:rFonts w:hint="eastAsia" w:ascii="方正黑体_GBK" w:eastAsia="方正黑体_GBK"/>
          <w:snapToGrid w:val="0"/>
          <w:kern w:val="0"/>
          <w:sz w:val="32"/>
          <w:szCs w:val="32"/>
        </w:rPr>
        <w:t>第十章  坚持共建共享 全面促进共同富裕</w:t>
      </w:r>
      <w:bookmarkEnd w:id="76"/>
    </w:p>
    <w:p w14:paraId="4A5077AC">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始终坚持以人民为中心，坚持人民至上。坚持尽力而为、量力而行，一体推进民生“七有”工作，践行“投资于人”理念，聚焦全生命周期需求，提升公共服务供给的适配度和均衡性，更好促进人的全面发展和全体人民共同富裕。</w:t>
      </w:r>
    </w:p>
    <w:p w14:paraId="05DC6443">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77" w:name="_Toc11710"/>
      <w:r>
        <w:rPr>
          <w:rFonts w:ascii="方正楷体_GBK" w:eastAsia="方正楷体_GBK"/>
          <w:snapToGrid w:val="0"/>
          <w:kern w:val="0"/>
          <w:sz w:val="32"/>
          <w:szCs w:val="32"/>
        </w:rPr>
        <w:t xml:space="preserve">第一节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促进人口高质量发展</w:t>
      </w:r>
      <w:bookmarkEnd w:id="77"/>
    </w:p>
    <w:p w14:paraId="0C69D40E">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促进人口长期均衡发展。</w:t>
      </w:r>
      <w:r>
        <w:rPr>
          <w:rFonts w:eastAsia="方正仿宋_GBK"/>
          <w:snapToGrid w:val="0"/>
          <w:kern w:val="0"/>
          <w:sz w:val="32"/>
          <w:szCs w:val="32"/>
        </w:rPr>
        <w:t>健全覆盖全人群、全生命周期的人口发展支持和服务体系，塑造素质优良、总量充裕、结构优化、分布合理的现代化人力资源。以人口高质量发展支撑现代化建设，强化人口导入，建设全龄友好型城市。深入推进以人为本的新型城镇化，科学有序推进农业转移人口市民化，引导城乡人口合理分布。到2030年，全市常住人口规模达550万人以上。</w:t>
      </w:r>
    </w:p>
    <w:p w14:paraId="054B97F9">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构建生育友好社会。</w:t>
      </w:r>
      <w:r>
        <w:rPr>
          <w:rFonts w:eastAsia="方正仿宋_GBK"/>
          <w:snapToGrid w:val="0"/>
          <w:kern w:val="0"/>
          <w:sz w:val="32"/>
          <w:szCs w:val="32"/>
        </w:rPr>
        <w:t>强化生育服务支持，落实生育休假、生育补贴等制度，拓展生育保险待遇“免申即享”服务覆盖面。健全出生缺陷综合防治体系，提升生育医疗服务水平，强化生育医疗援助。推进“新生儿出生一件事”联办。持续推进公共场所育婴室建设。健全“机构+园所+企业+社区”托育多元供给体系，推动“托幼一体化”，支持幼儿园向下延伸招收2—3岁幼儿，发展社区公建民营托育点和企业福利性托育，引导社会力量参与普惠托位建设。完善促进妇女就业政策。</w:t>
      </w:r>
    </w:p>
    <w:p w14:paraId="7853DEDA">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推动青年发展型城市建设。</w:t>
      </w:r>
      <w:r>
        <w:rPr>
          <w:rFonts w:eastAsia="方正仿宋_GBK"/>
          <w:snapToGrid w:val="0"/>
          <w:kern w:val="0"/>
          <w:sz w:val="32"/>
          <w:szCs w:val="32"/>
        </w:rPr>
        <w:t>动态优化、全面落实中长期青年发展规划，提升青年话语权和参与度。因地制宜打造青年学习社线路，建设青年文化新型阵地。差异化建设青年发展型商圈（街区），发展青年主题小店和特色青年社群，培育青年设计师、青年推介官、青年主理人、青年观察员、青年“店小二”等核心力量。建设青年就业、婚恋交友公益平台，丰富12355青少年服务台、“青年驿站”服务内涵，推广“青年夜校”模式。健全完善青少年权益保护机制。</w:t>
      </w:r>
    </w:p>
    <w:p w14:paraId="6BEFB5C1">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加强老年友好型社会建设。</w:t>
      </w:r>
      <w:r>
        <w:rPr>
          <w:rFonts w:eastAsia="方正仿宋_GBK"/>
          <w:snapToGrid w:val="0"/>
          <w:kern w:val="0"/>
          <w:sz w:val="32"/>
          <w:szCs w:val="32"/>
        </w:rPr>
        <w:t>深入实施积极应对人口老龄化国家战略，践行积极老龄观、健康老龄化理念，打造长三角幸福康养城市。健全覆盖城乡的三级养老服务网络，优化居家为基础、社区为依托、机构为专业支撑、医养相结合的养老服务供给格局，强化以失能老年人照护为重点的基本养老服务。培育专业化养老服务机构，鼓励社区和家政、互联网平台企业等上门提供老年服务。扩大农村养老服务供给，推进互助式养老服务。推进新时代“银龄行动”，大力发展涉老社会组织。加强适老用品研发和推广，推广智能化家居和智慧健康产品。加快适老智慧社会建设，充分释放养老消费潜力，加快银发产业集聚发展。</w:t>
      </w:r>
    </w:p>
    <w:p w14:paraId="140362B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推进重点群体共享发展。</w:t>
      </w:r>
      <w:r>
        <w:rPr>
          <w:rFonts w:eastAsia="方正仿宋_GBK"/>
          <w:snapToGrid w:val="0"/>
          <w:kern w:val="0"/>
          <w:sz w:val="32"/>
          <w:szCs w:val="32"/>
        </w:rPr>
        <w:t>坚持男女平等基本国策，保障妇女儿童合法权益。深化儿童友好城市建设，丰富儿童医疗、文化、体育服务供给，强化未成年人“六大”保护，完善困境儿童服务保障制度和关爱服务体系。营造积极婚育文化氛围，传播适龄婚育、优生优育、责任共担的新型婚恋观和家庭观。健全家庭发展支持体系。健全残疾人能力发展政策体系，完善残疾人福利制度和服务体系</w:t>
      </w:r>
      <w:r>
        <w:rPr>
          <w:rFonts w:eastAsia="方正仿宋_GBK"/>
          <w:snapToGrid w:val="0"/>
          <w:kern w:val="0"/>
          <w:sz w:val="32"/>
          <w:szCs w:val="32"/>
          <w:lang w:bidi="ar"/>
        </w:rPr>
        <w:t>，</w:t>
      </w:r>
      <w:r>
        <w:rPr>
          <w:rFonts w:eastAsia="方正仿宋_GBK"/>
          <w:snapToGrid w:val="0"/>
          <w:kern w:val="0"/>
          <w:sz w:val="32"/>
          <w:szCs w:val="32"/>
        </w:rPr>
        <w:t>推进无障碍环境建设，强化残疾人职业技能培训和就业创业全链条帮扶。做好拥军优属、拥政爱民工作，争创全国双拥模范城市“九连冠”，</w:t>
      </w:r>
      <w:r>
        <w:rPr>
          <w:rFonts w:eastAsia="方正仿宋_GBK"/>
          <w:snapToGrid w:val="0"/>
          <w:kern w:val="0"/>
          <w:sz w:val="32"/>
          <w:szCs w:val="32"/>
          <w:lang w:bidi="ar"/>
        </w:rPr>
        <w:t>健全退役军人服务保障体系</w:t>
      </w:r>
      <w:r>
        <w:rPr>
          <w:rFonts w:eastAsia="方正仿宋_GBK"/>
          <w:snapToGrid w:val="0"/>
          <w:kern w:val="0"/>
          <w:sz w:val="32"/>
          <w:szCs w:val="32"/>
        </w:rPr>
        <w:t>。</w:t>
      </w:r>
    </w:p>
    <w:p w14:paraId="25DFCE55">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78" w:name="_Toc23731"/>
      <w:r>
        <w:rPr>
          <w:rFonts w:ascii="方正楷体_GBK" w:eastAsia="方正楷体_GBK"/>
          <w:snapToGrid w:val="0"/>
          <w:kern w:val="0"/>
          <w:sz w:val="32"/>
          <w:szCs w:val="32"/>
        </w:rPr>
        <w:t xml:space="preserve">第二节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着力扩大就业促进增收</w:t>
      </w:r>
      <w:bookmarkEnd w:id="78"/>
    </w:p>
    <w:p w14:paraId="095FB96A">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推动收入分配更加公平合理。</w:t>
      </w:r>
      <w:r>
        <w:rPr>
          <w:rFonts w:eastAsia="方正仿宋_GBK"/>
          <w:snapToGrid w:val="0"/>
          <w:kern w:val="0"/>
          <w:sz w:val="32"/>
          <w:szCs w:val="32"/>
        </w:rPr>
        <w:t>完善劳动者工资决定、合理增长和支付保障机制，积极推行工资集体协商制度，健全最低工资标准调整机制。健全劳动、知识、技术、管理、数据等生产要素由市场评价贡献、按贡献决定报酬的机制，促进多劳者多得、技高者多得、创新者多得。多措并举增加城乡居民住房、农村土地、金融资产等各类财产性收入。优化创新创业环境，促进经营性收入增长。完善税收、社会保障、转移支付等再分配调节机制。支持发展公益慈善事业。规范收入分配秩序，完善初次分配、再分配、第三次分配协调配套制度，形成有效增加低收入群体收入、稳步扩大中等收入群体规模、合理调节过高收入的制度体系。</w:t>
      </w:r>
    </w:p>
    <w:p w14:paraId="38C4B65C">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推动高质量充分就业。</w:t>
      </w:r>
      <w:r>
        <w:rPr>
          <w:rFonts w:eastAsia="方正仿宋_GBK"/>
          <w:snapToGrid w:val="0"/>
          <w:kern w:val="0"/>
          <w:sz w:val="32"/>
          <w:szCs w:val="32"/>
        </w:rPr>
        <w:t>完善劳动标准体系和劳动关系协商协调机制，加强劳动者权益保障，营造公平有序就业环境。构建就业友好型发展方式，深化宏观调控就业优先导向，优先支持就业带动能力强、岗位质量高的项目落地。充分发挥民营经济和中小微企业吸纳就业主渠道作用，拓展就业新增长点。完善就业公共服务制度，强化常住地、就业地服务责任，完善公共就业和人才服务机构、公共人力资源市场、零工市场、零工驿站。加快建设“人社治惠中枢”，搭建智能公共就业服务平台。</w:t>
      </w:r>
    </w:p>
    <w:p w14:paraId="4D17D230">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加快塑造现代化人力资源。</w:t>
      </w:r>
      <w:r>
        <w:rPr>
          <w:rFonts w:eastAsia="方正仿宋_GBK"/>
          <w:snapToGrid w:val="0"/>
          <w:kern w:val="0"/>
          <w:sz w:val="32"/>
          <w:szCs w:val="32"/>
        </w:rPr>
        <w:t>全面实施新时代高技能人才队伍建设行动，大力实施数字技能提升行动、康养职业技能培训计划，加强急需紧缺技能人才培养。推行“岗位需求+技能培训+技能评价+就业服务”四位一体项目化就业技能培训模式。持续加强企业职工、高校毕业生等青年、农民工、残疾人等重点就业群体技能提升培训。加快推进常州本地职业资格、技能等级与职称、学历的双向互认，引导企业合理提升技能人才待遇。支持江苏省常州技师学院探索举办高水平技师学院。</w:t>
      </w:r>
    </w:p>
    <w:p w14:paraId="07F3C236">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完善重点群体就业支持体系。</w:t>
      </w:r>
      <w:r>
        <w:rPr>
          <w:rFonts w:eastAsia="方正仿宋_GBK"/>
          <w:snapToGrid w:val="0"/>
          <w:kern w:val="0"/>
          <w:sz w:val="32"/>
          <w:szCs w:val="32"/>
        </w:rPr>
        <w:t>稳定和扩大高校毕业生、农民工、退役军人、就业困难人员等重点群体就业，推动灵活就业、新就业形态健康发展。深入实施就业促进、创业引领、基层成长、就业见习等计划，拓宽市场化就业渠道，挖掘社区服务、医疗卫生、基层治理等基层岗位及重点产业岗位，鼓励高校毕业生到基层一线及重点领域就业创业。开展离校未就业高校毕业生实名登记和就业服务，确保应届常州籍离校未就业高校毕业生帮扶就业率在90%以上。畅通失业人员服务渠道，完善失业登记、职业指导、技能培训、岗位推介、生活保障联动机制。重点关注16—24岁登记失业青年，推广“1151”工作机制。强化公益性岗位兜底安置，确保“零就业”家庭动态清零。</w:t>
      </w:r>
    </w:p>
    <w:p w14:paraId="3F581795">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完善创业富民机制。</w:t>
      </w:r>
      <w:r>
        <w:rPr>
          <w:rFonts w:eastAsia="方正仿宋_GBK"/>
          <w:snapToGrid w:val="0"/>
          <w:kern w:val="0"/>
          <w:sz w:val="32"/>
          <w:szCs w:val="32"/>
        </w:rPr>
        <w:t>完善创业带动就业政策框架，构建全链条创业生态体系。持续举办“华罗庚杯”创新创业大赛，广泛汇聚国内外优秀创业人才。深化富民创业担保贷款政策创新，优化经办服务流程。实施创业服务提质工程，开展“创业常州”讲堂，举办龙城大学生创业分享会、创业典型宣传等活动，全方位厚植创新创业沃土，营造活力迸发的创业生态环境。</w:t>
      </w:r>
    </w:p>
    <w:p w14:paraId="0417653F">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79" w:name="_Toc31860"/>
      <w:r>
        <w:rPr>
          <w:rFonts w:ascii="方正楷体_GBK" w:eastAsia="方正楷体_GBK"/>
          <w:snapToGrid w:val="0"/>
          <w:kern w:val="0"/>
          <w:sz w:val="32"/>
          <w:szCs w:val="32"/>
        </w:rPr>
        <w:t>第三节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加快建设现代化教育强市</w:t>
      </w:r>
      <w:bookmarkEnd w:id="79"/>
    </w:p>
    <w:p w14:paraId="188094E0">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推动基础教育扩优提质。</w:t>
      </w:r>
      <w:r>
        <w:rPr>
          <w:rFonts w:eastAsia="方正仿宋_GBK"/>
          <w:snapToGrid w:val="0"/>
          <w:kern w:val="0"/>
          <w:sz w:val="32"/>
          <w:szCs w:val="32"/>
        </w:rPr>
        <w:t>推进适应人口变化的基础教育资源调配机制改革试点，提高教育资源供需适配性。推进基础教育高质量发展实验区建设，探索市县结合管理体制。推动学前教育优质普惠发展，逐步推行免费学前教育，稳步提升公办幼儿园占比，提升托幼一体幼儿园服务质量。深化义务教育优质均衡发展，支持有条件的学校开展小班化教学，实施公办初中强效提质行动，探索跨学段集团办学模式改革。推动普通高中高品质特色发展，推进科学教育特色高中和综合高中建设项目试点。办好特殊教育、专门教育，深化“医康教”一体发展。实施新时代立德树人工程，推进思政课一体化改革创新，健全德智体美劳全面培养体系。深化学校体育改革，力争学生体质健康合格率达97%以上。加强青少年心理健康教育，全面抓好意识形态安全、生命安全等工作，健全学校家庭社会协同育人机制，营造健康成长环境。</w:t>
      </w:r>
    </w:p>
    <w:p w14:paraId="004F51B3">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推动职业教育产教融合。</w:t>
      </w:r>
      <w:r>
        <w:rPr>
          <w:rFonts w:eastAsia="方正仿宋_GBK"/>
          <w:snapToGrid w:val="0"/>
          <w:kern w:val="0"/>
          <w:sz w:val="32"/>
          <w:szCs w:val="32"/>
        </w:rPr>
        <w:t>持续深化产教融合建设，出台《常州市产教融合促进条例》。强化“政行企校研”协同，共建重点产业学院、市域产教联合体、行业产教融合共同体等平台，实现人才共育、资源共享。全面深化现代职业教育体系建设改革，构建具有市域特色的“中职—高职—本科—研究生”贯通培养体系。加快提升职业院校关键办学能力，与德国手工业行会共建高技能人才培训和考试中心。推动职业教育名师建设，创新“博导工作站+职教论坛+企业实践中心”师资培养模式，建立高端“智库+学术+技术”培养体系。</w:t>
      </w:r>
    </w:p>
    <w:p w14:paraId="59510643">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推动高等教育校地融合。</w:t>
      </w:r>
      <w:r>
        <w:rPr>
          <w:rFonts w:eastAsia="方正仿宋_GBK"/>
          <w:snapToGrid w:val="0"/>
          <w:kern w:val="0"/>
          <w:sz w:val="32"/>
          <w:szCs w:val="32"/>
        </w:rPr>
        <w:t>优化高等教育布局，积极构建常州“3+3+3+N”高等教育发展体系。引导高校健全“产业链需求牵引+学科链创新供给”双向赋能的学科专业设置机制，支持高校面向战略性新兴产业、未来产业和现代服务业，深耕布局学科专业和微专业，新增一批博士、硕士学位授权点，着力提升高校学科专业设置科学性、适配性和前瞻性，持续增强人才供给能力。推动高校提高科技成果转化效能，支持高校加强与各类技术转移转化平台和高新园区的协同创新，建设概念验证中心、中试基地等平台，积极培育标志性成果。</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2C624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76C82549">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专栏10-1</w:t>
            </w:r>
            <w:r>
              <w:rPr>
                <w:rFonts w:hint="eastAsia" w:eastAsia="方正黑体_GBK"/>
                <w:snapToGrid w:val="0"/>
                <w:kern w:val="0"/>
                <w:sz w:val="28"/>
                <w:szCs w:val="28"/>
              </w:rPr>
              <w:t xml:space="preserve"> </w:t>
            </w:r>
            <w:r>
              <w:rPr>
                <w:rFonts w:eastAsia="方正黑体_GBK"/>
                <w:snapToGrid w:val="0"/>
                <w:kern w:val="0"/>
                <w:sz w:val="28"/>
                <w:szCs w:val="28"/>
              </w:rPr>
              <w:t xml:space="preserve"> “3+3+3+N”高等教育发展体系</w:t>
            </w:r>
          </w:p>
          <w:p w14:paraId="1B1C5EA7">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snapToGrid w:val="0"/>
                <w:kern w:val="0"/>
                <w:sz w:val="28"/>
                <w:szCs w:val="28"/>
              </w:rPr>
              <w:t>“3”：</w:t>
            </w:r>
            <w:r>
              <w:rPr>
                <w:rFonts w:eastAsia="方正仿宋_GBK"/>
                <w:snapToGrid w:val="0"/>
                <w:kern w:val="0"/>
                <w:sz w:val="28"/>
                <w:szCs w:val="28"/>
              </w:rPr>
              <w:t>推动常州大学、江苏理工学院、常州工学院3所本地高校突出应用型办学定位，支持常州大学建设国家一流学科、建成高水平地方领军型大学，江苏理工学院建成全国一流应用型大学，常州工学院创建高水平应用型地方大学、筹建常州理工大学。</w:t>
            </w:r>
          </w:p>
          <w:p w14:paraId="16A8DB01">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snapToGrid w:val="0"/>
                <w:kern w:val="0"/>
                <w:sz w:val="28"/>
                <w:szCs w:val="28"/>
              </w:rPr>
              <w:t>“3”：</w:t>
            </w:r>
            <w:r>
              <w:rPr>
                <w:rFonts w:eastAsia="方正仿宋_GBK"/>
                <w:snapToGrid w:val="0"/>
                <w:kern w:val="0"/>
                <w:sz w:val="28"/>
                <w:szCs w:val="28"/>
              </w:rPr>
              <w:t>支持河海大学、南京航空航天大学、南京医科大学3所“双一流”高校常州校区建设，紧贴地方产业开展特色化拔尖人才培养，链接带动更多成果在常孵化。</w:t>
            </w:r>
          </w:p>
          <w:p w14:paraId="14FADD5E">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snapToGrid w:val="0"/>
                <w:kern w:val="0"/>
                <w:sz w:val="28"/>
                <w:szCs w:val="28"/>
              </w:rPr>
              <w:t>“3”：</w:t>
            </w:r>
            <w:r>
              <w:rPr>
                <w:rFonts w:eastAsia="方正仿宋_GBK"/>
                <w:snapToGrid w:val="0"/>
                <w:kern w:val="0"/>
                <w:sz w:val="28"/>
                <w:szCs w:val="28"/>
              </w:rPr>
              <w:t>高水平创建常州信息职业技术大学，支持常州机电职业技术学院等具备条件的高职院校申办本科层次职业学校，鼓励工程、工业、纺织服装、城建等高职院校整合办学资源，提升办学能级，支持信息、机电学院聚焦“办学能力高水平、产教融合高质量”，建优建强国家第二期“双高建设计划”。</w:t>
            </w:r>
          </w:p>
          <w:p w14:paraId="68F0344E">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楷体_GBK"/>
                <w:snapToGrid w:val="0"/>
                <w:kern w:val="0"/>
                <w:sz w:val="28"/>
                <w:szCs w:val="28"/>
              </w:rPr>
              <w:t>“N”：</w:t>
            </w:r>
            <w:r>
              <w:rPr>
                <w:rFonts w:eastAsia="方正仿宋_GBK"/>
                <w:snapToGrid w:val="0"/>
                <w:kern w:val="0"/>
                <w:sz w:val="28"/>
                <w:szCs w:val="28"/>
              </w:rPr>
              <w:t>推进幼专、铁道、建东等高职院校结合发展需要，提升关键办学能力；支持刘国钧高职校等符合条件的五年制高职办学单位升格为高职院校。</w:t>
            </w:r>
          </w:p>
        </w:tc>
      </w:tr>
    </w:tbl>
    <w:p w14:paraId="22B3B9E8">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推动终身教育泛在可及。</w:t>
      </w:r>
      <w:r>
        <w:rPr>
          <w:rFonts w:eastAsia="方正仿宋_GBK"/>
          <w:snapToGrid w:val="0"/>
          <w:kern w:val="0"/>
          <w:sz w:val="32"/>
          <w:szCs w:val="32"/>
        </w:rPr>
        <w:t>完善以市级开放大学为龙头、区级社区学院为骨干、街道（乡镇）社区教育中心为支撑、居（村）民学习点为基础的四级社区教育网络。构建新型老年教育生态，打造一站式、嵌入式银龄学习圈，开设提升信息素养、健康养生等现代生活能力的优质课程。鼓励各级各类学校有序开放学习资源，推动公共设施闲置空间功能转化，拓展终身教育场所。优化升级“常州终身学习在线”等公共学习平台，丰富优质数字化学习资源供给。培育建设社区教育共同体、群众性学习社团等特色品牌项目，推进学习型城市建设。</w:t>
      </w:r>
    </w:p>
    <w:p w14:paraId="0DE87352">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80" w:name="_Toc11329"/>
      <w:r>
        <w:rPr>
          <w:rFonts w:ascii="方正楷体_GBK" w:eastAsia="方正楷体_GBK"/>
          <w:snapToGrid w:val="0"/>
          <w:kern w:val="0"/>
          <w:sz w:val="32"/>
          <w:szCs w:val="32"/>
        </w:rPr>
        <w:t xml:space="preserve">第四节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全面推进健康常州建设</w:t>
      </w:r>
      <w:bookmarkEnd w:id="80"/>
    </w:p>
    <w:p w14:paraId="1CF307C6">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snapToGrid w:val="0"/>
          <w:kern w:val="0"/>
          <w:sz w:val="32"/>
          <w:szCs w:val="32"/>
        </w:rPr>
        <w:t>构建高水平医疗卫生体系。</w:t>
      </w:r>
      <w:r>
        <w:rPr>
          <w:rFonts w:eastAsia="方正仿宋_GBK"/>
          <w:bCs/>
          <w:snapToGrid w:val="0"/>
          <w:kern w:val="0"/>
          <w:sz w:val="32"/>
          <w:szCs w:val="32"/>
        </w:rPr>
        <w:t>完善医疗卫生机构布局建设，打造体系完整、分工明确、功能互补、运行高效、富有韧性、品质卓越的卫生健康设施体系。推动实施“筑峰计划”，加快省级区域医疗中心和高水平医院建设，大力推进长三角医疗项目合作、临床创新团队打造、省级临床重点专科创建，专病诊治团队整体实力和水平达到国内或省内先进水平。依托孟河医学研究院，聚焦孟河医派优势病种，制定并推广常州市中西医结合诊疗方案。深度融合智慧服务与前沿技术，打造全国领先的健康医疗数据与AI</w:t>
      </w:r>
      <w:r>
        <w:rPr>
          <w:rFonts w:eastAsia="方正仿宋_GBK"/>
          <w:snapToGrid w:val="0"/>
          <w:kern w:val="0"/>
          <w:sz w:val="32"/>
          <w:szCs w:val="32"/>
        </w:rPr>
        <w:t>创新基地。推动产学研医紧密对接，引导高水平医疗卫生机构融入生物医药、医疗器械产业高质量发展。实施医疗卫生强基工程，加快紧密型城市医疗集团和县域医共体建设。</w:t>
      </w:r>
    </w:p>
    <w:p w14:paraId="5CF5F517">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加大高品质健康服务供给。</w:t>
      </w:r>
      <w:r>
        <w:rPr>
          <w:rFonts w:eastAsia="方正仿宋_GBK"/>
          <w:snapToGrid w:val="0"/>
          <w:kern w:val="0"/>
          <w:sz w:val="32"/>
          <w:szCs w:val="32"/>
        </w:rPr>
        <w:t>实施健康优先发展战略。以慢性病为切入点，建立健康危险因素风险评估制度，健全早筛早诊早治早康复体系，发展防治康管全链条服务，推进预防端精准干预、治疗端多学科协作、康复端接续性服务、管理端长期随访等全过程有效衔接。积极应对人口老龄化，构建居家、社区、机构协同发展、运转高效的医养结合服务供给格局。优化生育全程服务，推进生育、儿童友好型医院建设，努力保持适度生育水平。引导公众加快形成有利于健康的生活方式、生产方式和经济社会治理模式，进一步提高人均预期寿命和人民健康水平。</w:t>
      </w:r>
    </w:p>
    <w:p w14:paraId="10D8992D">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打造高质量医防融合机制。</w:t>
      </w:r>
      <w:r>
        <w:rPr>
          <w:rFonts w:eastAsia="方正仿宋_GBK"/>
          <w:snapToGrid w:val="0"/>
          <w:kern w:val="0"/>
          <w:sz w:val="32"/>
          <w:szCs w:val="32"/>
        </w:rPr>
        <w:t>依托市疾控中心江苏省特色公共卫生先进实验室，提高重大传染病疫情早期发现和快速处置能力，建设多渠道、智能化公共卫生监测网络，科学监测点布局、整合多源数据、强化分析研判，完善多点触发、反应快速、科学高效的传染病监测预警体系。完善联防联控机制，构建统一指挥、反应灵敏、协调有序、运转高效的突发公共卫生事件应急体系，促进社会共治、医防协同、医防融合，健全分级、分层、分流的重大疫情救治机制。发挥武进区国家传染病防控医防协同医防融合试点效应，促进公共卫生与医疗服务体系深度整合。</w:t>
      </w:r>
    </w:p>
    <w:p w14:paraId="04F617C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深化高效能医药卫生体制改革。</w:t>
      </w:r>
      <w:r>
        <w:rPr>
          <w:rFonts w:eastAsia="方正仿宋_GBK"/>
          <w:snapToGrid w:val="0"/>
          <w:kern w:val="0"/>
          <w:sz w:val="32"/>
          <w:szCs w:val="32"/>
        </w:rPr>
        <w:t>促进医疗、医保、医药协同发展治理，深化以公益性为导向的公立医院编制、服务价格、医保支付、薪酬制度综合监管改革。深入开展公立医院集团化改革，推动市级综合（中医）医院与县级公立医院组建区域医联体。提质扩面县域医共体医保总额打包付费改革，深化城市医联体服务体系和运行机制工作内涵。动态调整本地医药企业创新产品目录，推动更多创新药品进入国家医保目录和医院基本用药目录。</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705EC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ign w:val="top"/>
          </w:tcPr>
          <w:p w14:paraId="794A4B04">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专栏10-2  完善全人群整合型健康服务体系</w:t>
            </w:r>
          </w:p>
          <w:p w14:paraId="29BED83E">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仿宋_GBK"/>
                <w:bCs/>
                <w:snapToGrid w:val="0"/>
                <w:kern w:val="0"/>
                <w:sz w:val="28"/>
                <w:szCs w:val="28"/>
              </w:rPr>
              <w:t>优化孕产妇健康全程服务。</w:t>
            </w:r>
            <w:r>
              <w:rPr>
                <w:rFonts w:eastAsia="方正仿宋_GBK"/>
                <w:snapToGrid w:val="0"/>
                <w:kern w:val="0"/>
                <w:sz w:val="28"/>
                <w:szCs w:val="28"/>
              </w:rPr>
              <w:t>积极推进“好孕行动2.0版”，到2030年底，助产机构全部建成生育友好医院。</w:t>
            </w:r>
          </w:p>
          <w:p w14:paraId="2D0EC1BC">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仿宋_GBK"/>
                <w:bCs/>
                <w:snapToGrid w:val="0"/>
                <w:kern w:val="0"/>
                <w:sz w:val="28"/>
                <w:szCs w:val="28"/>
              </w:rPr>
              <w:t>强化儿童健康保障服务。</w:t>
            </w:r>
            <w:r>
              <w:rPr>
                <w:rFonts w:eastAsia="方正仿宋_GBK"/>
                <w:snapToGrid w:val="0"/>
                <w:kern w:val="0"/>
                <w:sz w:val="28"/>
                <w:szCs w:val="28"/>
              </w:rPr>
              <w:t>扎实开展儿童友好医院建设，到2026年底，全市妇幼保健机构、儿童医院、综合医院、中医医院创建率达90%以上。</w:t>
            </w:r>
          </w:p>
          <w:p w14:paraId="2CC33F34">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仿宋_GBK"/>
                <w:bCs/>
                <w:snapToGrid w:val="0"/>
                <w:kern w:val="0"/>
                <w:sz w:val="28"/>
                <w:szCs w:val="28"/>
              </w:rPr>
              <w:t>提升青少年健康促进服务。</w:t>
            </w:r>
            <w:r>
              <w:rPr>
                <w:rFonts w:eastAsia="方正仿宋_GBK"/>
                <w:snapToGrid w:val="0"/>
                <w:kern w:val="0"/>
                <w:sz w:val="28"/>
                <w:szCs w:val="28"/>
              </w:rPr>
              <w:t>实施学生应急救护知识技能普及行动，加强中小学教师心理健康教育知识培训，定期开展学生体质监测，到2030年底，全市学生体质健康标准达标优良率达56%以上。</w:t>
            </w:r>
          </w:p>
          <w:p w14:paraId="61F4A915">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仿宋_GBK"/>
                <w:bCs/>
                <w:snapToGrid w:val="0"/>
                <w:kern w:val="0"/>
                <w:sz w:val="28"/>
                <w:szCs w:val="28"/>
              </w:rPr>
              <w:t>完善职业人群健康管理服务。</w:t>
            </w:r>
            <w:r>
              <w:rPr>
                <w:rFonts w:eastAsia="方正仿宋_GBK"/>
                <w:snapToGrid w:val="0"/>
                <w:kern w:val="0"/>
                <w:sz w:val="28"/>
                <w:szCs w:val="28"/>
              </w:rPr>
              <w:t>开展职业健康“六进”系列活动，到2030年底，重点人群职业健康知识知晓率达90%以上。</w:t>
            </w:r>
          </w:p>
          <w:p w14:paraId="18DCADA1">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仿宋_GBK"/>
                <w:bCs/>
                <w:snapToGrid w:val="0"/>
                <w:kern w:val="0"/>
                <w:sz w:val="28"/>
                <w:szCs w:val="28"/>
              </w:rPr>
              <w:t>提质老年人健康照护服务。</w:t>
            </w:r>
            <w:r>
              <w:rPr>
                <w:rFonts w:eastAsia="方正仿宋_GBK"/>
                <w:snapToGrid w:val="0"/>
                <w:kern w:val="0"/>
                <w:sz w:val="28"/>
                <w:szCs w:val="28"/>
              </w:rPr>
              <w:t>鼓励医养结合机构开展全国医养结合示范县（市、区）和示范机构建设。到2030年底，争创1个全国医养结合示范县（市、区）和2个全国医养结合示范机构。</w:t>
            </w:r>
          </w:p>
        </w:tc>
      </w:tr>
    </w:tbl>
    <w:p w14:paraId="0D8ABE03">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81" w:name="_Toc28894"/>
      <w:r>
        <w:rPr>
          <w:rFonts w:ascii="方正楷体_GBK" w:eastAsia="方正楷体_GBK"/>
          <w:snapToGrid w:val="0"/>
          <w:kern w:val="0"/>
          <w:sz w:val="32"/>
          <w:szCs w:val="32"/>
        </w:rPr>
        <w:t>第五节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健全多层次社会保障体系</w:t>
      </w:r>
      <w:bookmarkEnd w:id="81"/>
    </w:p>
    <w:p w14:paraId="4FAB96C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完善更加稳定的社会保险体系。</w:t>
      </w:r>
      <w:r>
        <w:rPr>
          <w:rFonts w:eastAsia="方正仿宋_GBK"/>
          <w:snapToGrid w:val="0"/>
          <w:kern w:val="0"/>
          <w:sz w:val="32"/>
          <w:szCs w:val="32"/>
        </w:rPr>
        <w:t>实施“数据找人”专项行动，推进社会保险参保扩面。贯彻落实企业职工基本养老保险全国统筹制度，完善机关事业单位、城乡居民基本养老保险制度。落实渐进式延迟法定退休年龄和企业职工基本养老保险病残津贴政策。稳步实施企业年金和个人养老金制度。探索与健康、养老照护服务衔接的商业保险年金业务。适时调整被征地农民养老保障待遇水平。放宽灵活就业人员参保条件，促进灵活就业人员、新就业形态从业人员参保。加强基本医疗保险和生育保险市级统筹，完善“三位一体”工伤保险制度体系，扩围新就业形态就业人员职业伤害保障覆盖范围，健全失业保险制度。健全多层次共富型医疗保障体系，完善基金监管机制。深入推进全民参保，加快发展商业健康保险、企业补充医疗保险、医疗互助和慈善医疗救助。</w:t>
      </w:r>
    </w:p>
    <w:p w14:paraId="28241CC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健全更加温暖的社会救助体系。巩固拓展脱贫攻坚成果，持续开展新一轮茅山革命老区富民强村帮促行动。</w:t>
      </w:r>
      <w:r>
        <w:rPr>
          <w:rFonts w:eastAsia="方正仿宋_GBK"/>
          <w:snapToGrid w:val="0"/>
          <w:kern w:val="0"/>
          <w:sz w:val="32"/>
          <w:szCs w:val="32"/>
        </w:rPr>
        <w:t>推动社会保险、社会救助、社会福利、社会互助制度有效衔接，增强社会救助兜底保障能力。健全低保、特困标准与经济发展联动增长机制，分层分类保障困境儿童、困难残疾人、重病人员基本生活水平。健全“政府救助+社会力量参与帮扶”联动机制，提高突发公共事件困难群众急难救助能力。加强对流动人口的救助帮扶。落实社会救助和保障标准与物价上涨挂钩机制，及时足额发放临时补贴。</w:t>
      </w:r>
    </w:p>
    <w:p w14:paraId="2B07804A">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完善更加多元的住房保障体系。</w:t>
      </w:r>
      <w:r>
        <w:rPr>
          <w:rFonts w:eastAsia="方正仿宋_GBK"/>
          <w:snapToGrid w:val="0"/>
          <w:kern w:val="0"/>
          <w:sz w:val="32"/>
          <w:szCs w:val="32"/>
        </w:rPr>
        <w:t>修订公租房管理办法，多渠道加大保障性租赁住房供应，加快建立配售型保障性住房轮候库，落实配售型保障性住房政策，逐步将稳定就业的农业转移人口纳入保障范围。结合城中村改造、城市更新等工作，稳步推进将符合条件的闲置安置房转化为保障性住房。</w:t>
      </w:r>
      <w:r>
        <w:rPr>
          <w:rFonts w:eastAsia="方正仿宋_GBK"/>
          <w:bCs/>
          <w:snapToGrid w:val="0"/>
          <w:kern w:val="0"/>
          <w:sz w:val="32"/>
          <w:szCs w:val="32"/>
        </w:rPr>
        <w:t>稳步推进</w:t>
      </w:r>
      <w:r>
        <w:rPr>
          <w:rFonts w:eastAsia="方正仿宋_GBK"/>
          <w:snapToGrid w:val="0"/>
          <w:kern w:val="0"/>
          <w:sz w:val="32"/>
          <w:szCs w:val="32"/>
        </w:rPr>
        <w:t>灵活就业人员参加住房公积金制度。推动城乡房屋安全隐患排查和整治，保持困难家庭危房动态清零。</w:t>
      </w:r>
    </w:p>
    <w:p w14:paraId="53BE482C">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提升更加高效的民生治理能力。</w:t>
      </w:r>
      <w:r>
        <w:rPr>
          <w:rFonts w:eastAsia="方正仿宋_GBK"/>
          <w:snapToGrid w:val="0"/>
          <w:kern w:val="0"/>
          <w:sz w:val="32"/>
          <w:szCs w:val="32"/>
        </w:rPr>
        <w:t>以系统化治理筑牢社会保障根基，构建政策统筹、数据融通、监管闭环的民生治理新格局。强化政策统筹联动，对就业、教育、医疗、养老等领域政策实施全周期管理，确保政策精准对接群众需求。打通数据共享壁垒，归集民生核心数据，实现跨部门数据“一网通享”，推动社会保障政策制定从“经验判断”转向“数据决策”。建立资金监管闭环，对民生领域资金全流程追溯，强化专项审计与绩效评估，保障资金投向精准、使用高效。</w:t>
      </w:r>
    </w:p>
    <w:p w14:paraId="1F260C7B">
      <w:pPr>
        <w:overflowPunct w:val="0"/>
        <w:autoSpaceDE w:val="0"/>
        <w:autoSpaceDN w:val="0"/>
        <w:adjustRightInd w:val="0"/>
        <w:snapToGrid w:val="0"/>
        <w:spacing w:before="240" w:after="240" w:line="570" w:lineRule="exact"/>
        <w:jc w:val="center"/>
        <w:outlineLvl w:val="1"/>
        <w:rPr>
          <w:rFonts w:hint="eastAsia" w:ascii="方正黑体_GBK" w:eastAsia="方正黑体_GBK"/>
          <w:snapToGrid w:val="0"/>
          <w:kern w:val="0"/>
          <w:sz w:val="32"/>
          <w:szCs w:val="32"/>
        </w:rPr>
      </w:pPr>
      <w:bookmarkStart w:id="82" w:name="_Toc25450"/>
      <w:r>
        <w:rPr>
          <w:rFonts w:ascii="方正黑体_GBK" w:eastAsia="方正黑体_GBK"/>
          <w:snapToGrid w:val="0"/>
          <w:kern w:val="0"/>
          <w:sz w:val="32"/>
          <w:szCs w:val="32"/>
        </w:rPr>
        <w:br w:type="page"/>
      </w:r>
      <w:r>
        <w:rPr>
          <w:rFonts w:hint="eastAsia" w:ascii="方正黑体_GBK" w:eastAsia="方正黑体_GBK"/>
          <w:snapToGrid w:val="0"/>
          <w:kern w:val="0"/>
          <w:sz w:val="32"/>
          <w:szCs w:val="32"/>
        </w:rPr>
        <w:t>第十一章  统筹发展和安全  建设更高水平的平安常州</w:t>
      </w:r>
      <w:bookmarkEnd w:id="82"/>
    </w:p>
    <w:p w14:paraId="5430757E">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snapToGrid w:val="0"/>
          <w:color w:val="000000"/>
          <w:kern w:val="0"/>
          <w:sz w:val="32"/>
          <w:szCs w:val="32"/>
        </w:rPr>
        <w:t>坚定不移贯彻总体国家安全观，切实把安全发展理念贯穿改革发展全过程各方面，提高公共安全治理水平，完善社会治理体系，有效防范化解重大风险隐患，努力实现高质量发展和高水平安全的良性互动。</w:t>
      </w:r>
    </w:p>
    <w:p w14:paraId="34FA759A">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83" w:name="_Toc21838"/>
      <w:r>
        <w:rPr>
          <w:rFonts w:ascii="方正楷体_GBK" w:eastAsia="方正楷体_GBK"/>
          <w:snapToGrid w:val="0"/>
          <w:kern w:val="0"/>
          <w:sz w:val="32"/>
          <w:szCs w:val="32"/>
        </w:rPr>
        <w:t>第一节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构建联动高效新安全格局</w:t>
      </w:r>
      <w:bookmarkEnd w:id="83"/>
    </w:p>
    <w:p w14:paraId="21DD45CA">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bCs/>
          <w:snapToGrid w:val="0"/>
          <w:kern w:val="0"/>
          <w:sz w:val="32"/>
          <w:szCs w:val="32"/>
        </w:rPr>
        <w:t>完善安全制度体系。</w:t>
      </w:r>
      <w:r>
        <w:rPr>
          <w:rFonts w:eastAsia="方正仿宋_GBK"/>
          <w:snapToGrid w:val="0"/>
          <w:color w:val="000000"/>
          <w:kern w:val="0"/>
          <w:sz w:val="32"/>
          <w:szCs w:val="32"/>
        </w:rPr>
        <w:t>全面贯彻总体国家安全观，落细落实党委（党组）国家安全责任制。强化国家安全工作协调机制建设，落实国家安全战略体系、法治体系、政策体系、风险监测预警体系。健全国家安全审查和监管机制。加强国家安全干部人才队伍建设，推进国家安全力量布局贯通联动。加强涉外安全能力建设，强化海外利益和投资风险预警、防控、保护体制机制。健全国防动员体系，全面提升国防动员能力。构建大安全工作格局，推进国家安全防护体系协同高效。</w:t>
      </w:r>
    </w:p>
    <w:p w14:paraId="790D2457">
      <w:pPr>
        <w:overflowPunct w:val="0"/>
        <w:autoSpaceDE w:val="0"/>
        <w:autoSpaceDN w:val="0"/>
        <w:adjustRightInd w:val="0"/>
        <w:snapToGrid w:val="0"/>
        <w:spacing w:line="570" w:lineRule="exact"/>
        <w:ind w:firstLine="641"/>
        <w:rPr>
          <w:rFonts w:eastAsia="方正仿宋_GBK"/>
          <w:bCs/>
          <w:snapToGrid w:val="0"/>
          <w:color w:val="000000"/>
          <w:kern w:val="0"/>
          <w:sz w:val="32"/>
          <w:szCs w:val="32"/>
        </w:rPr>
      </w:pPr>
      <w:r>
        <w:rPr>
          <w:rFonts w:eastAsia="方正仿宋_GBK"/>
          <w:bCs/>
          <w:snapToGrid w:val="0"/>
          <w:kern w:val="0"/>
          <w:sz w:val="32"/>
          <w:szCs w:val="32"/>
        </w:rPr>
        <w:t>增强全民安全意识。</w:t>
      </w:r>
      <w:r>
        <w:rPr>
          <w:rFonts w:eastAsia="方正仿宋_GBK"/>
          <w:snapToGrid w:val="0"/>
          <w:color w:val="000000"/>
          <w:kern w:val="0"/>
          <w:sz w:val="32"/>
          <w:szCs w:val="32"/>
        </w:rPr>
        <w:t>完善公共安全教育体系，系统推进全民安全教育，深入开展国防教育，推动国家安全宣传教育进机关、进学校、进企业、进乡村、进社区、进军营、进网络。将国家安全教育纳入课程设置，开展情景化演练，提升青少年国家安全认知与应急素养。建设县级消防宣传教育阵地，提升全民安全素质和应急意识。构建全媒体立体化安全传播矩阵。</w:t>
      </w:r>
    </w:p>
    <w:p w14:paraId="22F7C1C8">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84" w:name="_Toc17149"/>
      <w:r>
        <w:rPr>
          <w:rFonts w:ascii="方正楷体_GBK" w:eastAsia="方正楷体_GBK"/>
          <w:snapToGrid w:val="0"/>
          <w:kern w:val="0"/>
          <w:sz w:val="32"/>
          <w:szCs w:val="32"/>
        </w:rPr>
        <w:t xml:space="preserve">第二节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有效防范化解重点领域风险</w:t>
      </w:r>
      <w:bookmarkEnd w:id="84"/>
    </w:p>
    <w:p w14:paraId="4E019084">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bCs/>
          <w:snapToGrid w:val="0"/>
          <w:kern w:val="0"/>
          <w:sz w:val="32"/>
          <w:szCs w:val="32"/>
        </w:rPr>
        <w:t>坚决维护政治安全。</w:t>
      </w:r>
      <w:r>
        <w:rPr>
          <w:rFonts w:eastAsia="方正仿宋_GBK"/>
          <w:snapToGrid w:val="0"/>
          <w:color w:val="000000"/>
          <w:kern w:val="0"/>
          <w:sz w:val="32"/>
          <w:szCs w:val="32"/>
        </w:rPr>
        <w:t>坚决防范化解政治安全领域重大风险，坚决维护国家政权安全、制度安全、意识形态安全。严格遵循国家制度顶层设计，结合常州实际探索制度落地的有效路径。强化制度执行刚性约束，构建全方位、多层次的制度监督体系。实施“理论江南燕”传播工程，深化意识形态工作基层基础“金盾”行动。深化重大舆情协调研判处置工作机制，强化网络宣传管理和舆论引导工作，维护网络意识形态安全。</w:t>
      </w:r>
    </w:p>
    <w:p w14:paraId="355D1C66">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bCs/>
          <w:snapToGrid w:val="0"/>
          <w:kern w:val="0"/>
          <w:sz w:val="32"/>
          <w:szCs w:val="32"/>
        </w:rPr>
        <w:t>全力保障经济安全。</w:t>
      </w:r>
      <w:r>
        <w:rPr>
          <w:rFonts w:eastAsia="方正仿宋_GBK"/>
          <w:snapToGrid w:val="0"/>
          <w:color w:val="000000"/>
          <w:kern w:val="0"/>
          <w:sz w:val="32"/>
          <w:szCs w:val="32"/>
        </w:rPr>
        <w:t>落实粮食安全责任制，实行粮食安全党政同责，完善地方政府储备粮管理体制。推动智慧粮库建设，提升新型绿色储粮技术运用占比。优化能源供应结构，完善大电网安全风险管控体系，强化迎峰度夏（冬）电力保供。持续加大油气管道保护力度。强化产业链融链强链对接，探索成立产业链枢纽平台，强化资金、人才、平台稳定性支持。加强金融风险源头治理，统筹做好房地产、地方政府债务、中小法人金融机构、大型企业金融债务、上市公司退市等风险化解。</w:t>
      </w:r>
    </w:p>
    <w:p w14:paraId="5541BC11">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bCs/>
          <w:snapToGrid w:val="0"/>
          <w:kern w:val="0"/>
          <w:sz w:val="32"/>
          <w:szCs w:val="32"/>
        </w:rPr>
        <w:t>守牢社会公共安全。</w:t>
      </w:r>
      <w:r>
        <w:rPr>
          <w:rFonts w:eastAsia="方正仿宋_GBK"/>
          <w:snapToGrid w:val="0"/>
          <w:kern w:val="0"/>
          <w:sz w:val="32"/>
          <w:szCs w:val="32"/>
        </w:rPr>
        <w:t>深化落实维护社会稳定责任制，</w:t>
      </w:r>
      <w:r>
        <w:rPr>
          <w:rFonts w:eastAsia="方正仿宋_GBK"/>
          <w:snapToGrid w:val="0"/>
          <w:color w:val="000000"/>
          <w:kern w:val="0"/>
          <w:sz w:val="32"/>
          <w:szCs w:val="32"/>
        </w:rPr>
        <w:t>推进社会治安整体防控体系建设。持续推进前端感知建设、智能化升级和算力供给，建强街面警务站、社会巡防支点和群众性防控处突单元，构建党政军警民各方参与、水陆空地网全域设防的整体防控新格局。推进智慧警务建设，深化警务智能体与大模型应用，完善公安“情报指挥行动”一体化作战体系。健全扫黑除恶常态化机制，加强新型违法犯罪前瞻性研究和专业手段建设，严打电信网络诈骗、网络赌博、侵犯公民信息等新型犯罪，整治黄赌毒、盗抢骗、环食药等民生犯罪。建立健全网络空间安全综合治理体系、有组织犯罪预防治理体系、青少年违法犯罪综合治理体系、毒品治理体系和严重精神障碍患者服务管理体系。积极防范应对和化解生态环境、公共卫生、城乡建设、社会领域突发性事件。构建现代化食品药品安全治理体系和信用监管体系。全力保障特种设备安全。严密重点区域安全防范，一体推进城乡智慧安防建设，提升危爆物品、道路交通、大型活动、基层消防等重点领域监管能力，坚决防范群死群伤公共安全事故和重特大案事件。</w:t>
      </w:r>
    </w:p>
    <w:p w14:paraId="3FED37FF">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85" w:name="_Toc4112"/>
      <w:r>
        <w:rPr>
          <w:rFonts w:ascii="方正楷体_GBK" w:eastAsia="方正楷体_GBK"/>
          <w:snapToGrid w:val="0"/>
          <w:kern w:val="0"/>
          <w:sz w:val="32"/>
          <w:szCs w:val="32"/>
        </w:rPr>
        <w:t xml:space="preserve">第三节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持续提升应急管理水平</w:t>
      </w:r>
      <w:bookmarkEnd w:id="85"/>
    </w:p>
    <w:p w14:paraId="6F9FB7A2">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bCs/>
          <w:snapToGrid w:val="0"/>
          <w:color w:val="000000"/>
          <w:kern w:val="0"/>
          <w:sz w:val="32"/>
          <w:szCs w:val="32"/>
        </w:rPr>
        <w:t>强化安全专项整治。</w:t>
      </w:r>
      <w:r>
        <w:rPr>
          <w:rFonts w:eastAsia="方正仿宋_GBK"/>
          <w:bCs/>
          <w:snapToGrid w:val="0"/>
          <w:kern w:val="0"/>
          <w:sz w:val="32"/>
          <w:szCs w:val="32"/>
        </w:rPr>
        <w:t>立足于从根本上消除事故隐患、从根本上解决问题，聚焦“小切口、抓关键”，实施精准化、系统化、常态化专项整治。</w:t>
      </w:r>
      <w:r>
        <w:rPr>
          <w:rFonts w:eastAsia="方正仿宋_GBK"/>
          <w:snapToGrid w:val="0"/>
          <w:color w:val="000000"/>
          <w:kern w:val="0"/>
          <w:sz w:val="32"/>
          <w:szCs w:val="32"/>
        </w:rPr>
        <w:t>全面深化安全生产治本攻坚行动，常态化排查整治“人、火、楼、车、化”等重点领域安全隐患，</w:t>
      </w:r>
      <w:r>
        <w:rPr>
          <w:rFonts w:eastAsia="方正仿宋_GBK"/>
          <w:bCs/>
          <w:snapToGrid w:val="0"/>
          <w:kern w:val="0"/>
          <w:sz w:val="32"/>
          <w:szCs w:val="32"/>
        </w:rPr>
        <w:t>深化落实春季、夏季、秋冬季安全整治专项行动和“五个一”活动。围绕重点产业领域本质安全提升工程，</w:t>
      </w:r>
      <w:r>
        <w:rPr>
          <w:rFonts w:eastAsia="方正仿宋_GBK"/>
          <w:snapToGrid w:val="0"/>
          <w:color w:val="000000"/>
          <w:kern w:val="0"/>
          <w:sz w:val="32"/>
          <w:szCs w:val="32"/>
        </w:rPr>
        <w:t>紧盯危险化学品、冶金工贸、粉尘涉爆、建筑施工、消防等重点行业领域，针对“厂中厂”、城镇燃气、电动自行车、高层建筑消防等跨部门、跨领域的复杂风险，推行“一件事”全链条安全治理。</w:t>
      </w:r>
      <w:r>
        <w:rPr>
          <w:rFonts w:eastAsia="方正仿宋_GBK"/>
          <w:bCs/>
          <w:snapToGrid w:val="0"/>
          <w:kern w:val="0"/>
          <w:sz w:val="32"/>
          <w:szCs w:val="32"/>
        </w:rPr>
        <w:t>推进城市生命线与韧性城市建设工程，</w:t>
      </w:r>
      <w:r>
        <w:rPr>
          <w:rFonts w:eastAsia="方正仿宋_GBK"/>
          <w:snapToGrid w:val="0"/>
          <w:color w:val="000000"/>
          <w:kern w:val="0"/>
          <w:sz w:val="32"/>
          <w:szCs w:val="32"/>
        </w:rPr>
        <w:t>强化安全风险综合监测预警。</w:t>
      </w:r>
      <w:r>
        <w:rPr>
          <w:rFonts w:eastAsia="方正仿宋_GBK"/>
          <w:bCs/>
          <w:snapToGrid w:val="0"/>
          <w:kern w:val="0"/>
          <w:sz w:val="32"/>
          <w:szCs w:val="32"/>
        </w:rPr>
        <w:t>做好综合执法领域安全生产有奖举报核查办理工作和推行企业“吹哨人”制度。</w:t>
      </w:r>
      <w:r>
        <w:rPr>
          <w:rFonts w:eastAsia="方正仿宋_GBK"/>
          <w:snapToGrid w:val="0"/>
          <w:color w:val="000000"/>
          <w:kern w:val="0"/>
          <w:sz w:val="32"/>
          <w:szCs w:val="32"/>
        </w:rPr>
        <w:t>鼓励中小微企业聘用“共享安技员”，提升安全管理水平。</w:t>
      </w:r>
    </w:p>
    <w:p w14:paraId="718F3ED1">
      <w:pPr>
        <w:overflowPunct w:val="0"/>
        <w:autoSpaceDE w:val="0"/>
        <w:autoSpaceDN w:val="0"/>
        <w:adjustRightInd w:val="0"/>
        <w:snapToGrid w:val="0"/>
        <w:spacing w:line="570" w:lineRule="exact"/>
        <w:ind w:firstLine="641"/>
        <w:rPr>
          <w:rFonts w:eastAsia="方正仿宋_GBK"/>
          <w:snapToGrid w:val="0"/>
          <w:color w:val="000000"/>
          <w:spacing w:val="-4"/>
          <w:kern w:val="0"/>
          <w:sz w:val="32"/>
          <w:szCs w:val="32"/>
        </w:rPr>
      </w:pPr>
      <w:r>
        <w:rPr>
          <w:rFonts w:eastAsia="方正仿宋_GBK"/>
          <w:bCs/>
          <w:snapToGrid w:val="0"/>
          <w:color w:val="000000"/>
          <w:kern w:val="0"/>
          <w:sz w:val="32"/>
          <w:szCs w:val="32"/>
        </w:rPr>
        <w:t>强化基层基础工作。</w:t>
      </w:r>
      <w:r>
        <w:rPr>
          <w:rFonts w:eastAsia="方正仿宋_GBK"/>
          <w:snapToGrid w:val="0"/>
          <w:color w:val="000000"/>
          <w:kern w:val="0"/>
          <w:sz w:val="32"/>
          <w:szCs w:val="32"/>
        </w:rPr>
        <w:t>抓实“网格化”监管、“专业化”建设、“数字化”赋能、“全员化”落实、“实体化”支撑、“手册化”管理，</w:t>
      </w:r>
      <w:r>
        <w:rPr>
          <w:rFonts w:eastAsia="方正仿宋_GBK"/>
          <w:bCs/>
          <w:snapToGrid w:val="0"/>
          <w:kern w:val="0"/>
          <w:sz w:val="32"/>
          <w:szCs w:val="32"/>
        </w:rPr>
        <w:t>持续夯实基层基础。探索实践“AI+应急管理”应用，打造反应灵敏、</w:t>
      </w:r>
      <w:r>
        <w:rPr>
          <w:rFonts w:eastAsia="方正仿宋_GBK"/>
          <w:snapToGrid w:val="0"/>
          <w:color w:val="000000"/>
          <w:spacing w:val="-4"/>
          <w:kern w:val="0"/>
          <w:sz w:val="32"/>
          <w:szCs w:val="32"/>
        </w:rPr>
        <w:t>管控精准、智能高效的现代化安全管理体系。实施“工业互联网+安全生产灯塔工厂”培育计划，推动企业安全治理模式升级。实施专业能力提升工程、全民安全素养提升工程，健全基层安全管理责任体系，强化基层应急管理机构规范化建设，压实企业安全生产主体责任，建立健全覆盖全员、权责清晰的安全生产责任体系。</w:t>
      </w:r>
    </w:p>
    <w:p w14:paraId="3A070A73">
      <w:pPr>
        <w:overflowPunct w:val="0"/>
        <w:autoSpaceDE w:val="0"/>
        <w:autoSpaceDN w:val="0"/>
        <w:adjustRightInd w:val="0"/>
        <w:snapToGrid w:val="0"/>
        <w:spacing w:line="570" w:lineRule="exact"/>
        <w:ind w:firstLine="641"/>
        <w:rPr>
          <w:rFonts w:eastAsia="方正仿宋_GBK"/>
          <w:snapToGrid w:val="0"/>
          <w:color w:val="000000"/>
          <w:kern w:val="0"/>
          <w:sz w:val="32"/>
          <w:szCs w:val="32"/>
        </w:rPr>
      </w:pPr>
      <w:r>
        <w:rPr>
          <w:rFonts w:eastAsia="方正仿宋_GBK"/>
          <w:bCs/>
          <w:snapToGrid w:val="0"/>
          <w:color w:val="000000"/>
          <w:kern w:val="0"/>
          <w:sz w:val="32"/>
          <w:szCs w:val="32"/>
        </w:rPr>
        <w:t>增强应急救援保障能力。</w:t>
      </w:r>
      <w:r>
        <w:rPr>
          <w:rFonts w:eastAsia="方正仿宋_GBK"/>
          <w:bCs/>
          <w:snapToGrid w:val="0"/>
          <w:kern w:val="0"/>
          <w:sz w:val="32"/>
          <w:szCs w:val="32"/>
        </w:rPr>
        <w:t>以应急管理指挥体系智能化提升工程为牵引，落实《常州市应急指挥体系建设的实施意见》，</w:t>
      </w:r>
      <w:r>
        <w:rPr>
          <w:rFonts w:eastAsia="方正仿宋_GBK"/>
          <w:snapToGrid w:val="0"/>
          <w:color w:val="000000"/>
          <w:kern w:val="0"/>
          <w:sz w:val="32"/>
          <w:szCs w:val="32"/>
        </w:rPr>
        <w:t>重点建设新一代智慧应急指挥平台，构建高效协同的应急指挥体系。加强基层指挥体系和指挥能力建设，</w:t>
      </w:r>
      <w:r>
        <w:rPr>
          <w:rFonts w:eastAsia="方正仿宋_GBK"/>
          <w:bCs/>
          <w:snapToGrid w:val="0"/>
          <w:kern w:val="0"/>
          <w:sz w:val="32"/>
          <w:szCs w:val="32"/>
        </w:rPr>
        <w:t>提升镇（街道）一级在突发事件初期的应急指挥研判和现场指挥能力</w:t>
      </w:r>
      <w:r>
        <w:rPr>
          <w:rFonts w:eastAsia="方正仿宋_GBK"/>
          <w:snapToGrid w:val="0"/>
          <w:color w:val="000000"/>
          <w:kern w:val="0"/>
          <w:sz w:val="32"/>
          <w:szCs w:val="32"/>
        </w:rPr>
        <w:t>。全面提升自然灾害防范应对能力，加强气象监测预报预警体系建设，强化极端天气、</w:t>
      </w:r>
      <w:r>
        <w:rPr>
          <w:rFonts w:eastAsia="方正仿宋_GBK"/>
          <w:bCs/>
          <w:snapToGrid w:val="0"/>
          <w:kern w:val="0"/>
          <w:sz w:val="32"/>
          <w:szCs w:val="32"/>
        </w:rPr>
        <w:t>森林火险等灾害的</w:t>
      </w:r>
      <w:r>
        <w:rPr>
          <w:rFonts w:eastAsia="方正仿宋_GBK"/>
          <w:snapToGrid w:val="0"/>
          <w:color w:val="000000"/>
          <w:kern w:val="0"/>
          <w:sz w:val="32"/>
          <w:szCs w:val="32"/>
        </w:rPr>
        <w:t>联合预警与响应能力。健全全市物资储备体系，统筹优化全市救灾物资保障体系，</w:t>
      </w:r>
      <w:r>
        <w:rPr>
          <w:rFonts w:eastAsia="方正仿宋_GBK"/>
          <w:bCs/>
          <w:snapToGrid w:val="0"/>
          <w:kern w:val="0"/>
          <w:sz w:val="32"/>
          <w:szCs w:val="32"/>
        </w:rPr>
        <w:t>加强灾害信息员队伍建设。</w:t>
      </w:r>
      <w:r>
        <w:rPr>
          <w:rFonts w:eastAsia="方正仿宋_GBK"/>
          <w:snapToGrid w:val="0"/>
          <w:color w:val="000000"/>
          <w:kern w:val="0"/>
          <w:sz w:val="32"/>
          <w:szCs w:val="32"/>
        </w:rPr>
        <w:t>实施关键领域专业救援能力提升工程</w:t>
      </w:r>
      <w:r>
        <w:rPr>
          <w:rFonts w:eastAsia="方正仿宋_GBK"/>
          <w:bCs/>
          <w:snapToGrid w:val="0"/>
          <w:kern w:val="0"/>
          <w:sz w:val="32"/>
          <w:szCs w:val="32"/>
        </w:rPr>
        <w:t>、智慧化工园区安全提质增效工程，聚焦危化品事故等，提升应急保障救援专业化水平。</w:t>
      </w:r>
    </w:p>
    <w:p w14:paraId="3DA8A8F2">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86" w:name="_Toc1508"/>
      <w:r>
        <w:rPr>
          <w:rFonts w:ascii="方正楷体_GBK" w:eastAsia="方正楷体_GBK"/>
          <w:snapToGrid w:val="0"/>
          <w:kern w:val="0"/>
          <w:sz w:val="32"/>
          <w:szCs w:val="32"/>
        </w:rPr>
        <w:t xml:space="preserve">第四节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深入推进法治常州建设</w:t>
      </w:r>
      <w:bookmarkEnd w:id="86"/>
    </w:p>
    <w:p w14:paraId="3D4EFBFF">
      <w:pPr>
        <w:overflowPunct w:val="0"/>
        <w:autoSpaceDE w:val="0"/>
        <w:autoSpaceDN w:val="0"/>
        <w:adjustRightInd w:val="0"/>
        <w:snapToGrid w:val="0"/>
        <w:spacing w:line="560" w:lineRule="exact"/>
        <w:ind w:firstLine="641"/>
        <w:rPr>
          <w:rFonts w:eastAsia="方正仿宋_GBK"/>
          <w:snapToGrid w:val="0"/>
          <w:color w:val="000000"/>
          <w:kern w:val="0"/>
          <w:sz w:val="32"/>
          <w:szCs w:val="32"/>
        </w:rPr>
      </w:pPr>
      <w:r>
        <w:rPr>
          <w:rFonts w:eastAsia="方正仿宋_GBK"/>
          <w:bCs/>
          <w:snapToGrid w:val="0"/>
          <w:kern w:val="0"/>
          <w:sz w:val="32"/>
          <w:szCs w:val="32"/>
        </w:rPr>
        <w:t>全面加强民主政治建设。积极践行全过程人民民主，坚持好、完善好、运作好人民代表大会制度，支持和保证人大及其常委会依法行使立法权、监督权、决定权、任免权，强化人大代表与人民群众的联系，健全吸纳民意、汇集民智工作机制，扩大人民有序政治参与，健全人大对“一府一委两院”监督制度。健全人民政协工作制度，充分发挥专门协商机构作用，提高政治协商、民主监督、参政议政水平，持续建好“有事好商量”议事协商平台。完善大统战工作格局，巩固和发展最广泛的爱国统一战线。提升新型政党制度效能，铸牢中华民族共同体意识，深化我国宗教中国化常州实践。加强港澳台、侨务等工作，实施党外代表人士凝心聚力工程，团结引导非公有制经济人士、新的社会阶层人士等发挥优势作用，更好发挥工会、共青团、妇联等群团组织作用，加强产业工人队伍建设、青少年、妇女儿童事业发展政策保障。</w:t>
      </w:r>
    </w:p>
    <w:p w14:paraId="3A294D25">
      <w:pPr>
        <w:overflowPunct w:val="0"/>
        <w:autoSpaceDE w:val="0"/>
        <w:autoSpaceDN w:val="0"/>
        <w:adjustRightInd w:val="0"/>
        <w:snapToGrid w:val="0"/>
        <w:spacing w:line="570" w:lineRule="exact"/>
        <w:ind w:firstLine="641"/>
        <w:rPr>
          <w:rFonts w:eastAsia="方正仿宋_GBK"/>
          <w:bCs/>
          <w:snapToGrid w:val="0"/>
          <w:kern w:val="0"/>
          <w:sz w:val="32"/>
          <w:szCs w:val="32"/>
        </w:rPr>
      </w:pPr>
      <w:r>
        <w:rPr>
          <w:rFonts w:eastAsia="方正仿宋_GBK"/>
          <w:bCs/>
          <w:snapToGrid w:val="0"/>
          <w:kern w:val="0"/>
          <w:sz w:val="32"/>
          <w:szCs w:val="32"/>
        </w:rPr>
        <w:t>健全地方立法机制。</w:t>
      </w:r>
      <w:r>
        <w:rPr>
          <w:rFonts w:eastAsia="方正仿宋_GBK"/>
          <w:snapToGrid w:val="0"/>
          <w:kern w:val="0"/>
          <w:sz w:val="32"/>
          <w:szCs w:val="32"/>
        </w:rPr>
        <w:t>完善党委领导、人大主导、政府依托、各方参与的立法工作格局，提高立法质量和效率。完善立法必要性、可行性论证和立法后评估、立法听证制度，深入推进立法领域改革，科学安排立法项目，加强重要领域立法，加快推动人工智能、大数据等新兴领域立法，推进“小快灵”“小切口”式立法修法，健全法规规章评估制度机制。规范基层立法联系点建设。</w:t>
      </w:r>
    </w:p>
    <w:p w14:paraId="1E93A247">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建设一流法治政府。</w:t>
      </w:r>
      <w:r>
        <w:rPr>
          <w:rFonts w:eastAsia="方正仿宋_GBK"/>
          <w:snapToGrid w:val="0"/>
          <w:kern w:val="0"/>
          <w:sz w:val="32"/>
          <w:szCs w:val="32"/>
        </w:rPr>
        <w:t>加强重大行政决策规范管理，完善决策执行机制，探索对实施周期较长的重大行政决策开展阶段性后评估。完善重大行政决策跟踪反馈制度、责任追究制度、责任倒查机制。健全政府法律顾问制度。严格行政规范性文件制定、审核、清理程序。完善实质性化解行政争议机制。深化行政执法体制改革，健全规范涉企执法长效机制，优化行政执法方式，强化行政执法监督。推进跨领域跨部门联合执法，实现违法线索互联、执法标准互通、处理结果互认。加大重点领域执法力度。</w:t>
      </w:r>
    </w:p>
    <w:p w14:paraId="12BCC806">
      <w:pPr>
        <w:overflowPunct w:val="0"/>
        <w:autoSpaceDE w:val="0"/>
        <w:autoSpaceDN w:val="0"/>
        <w:adjustRightInd w:val="0"/>
        <w:snapToGrid w:val="0"/>
        <w:spacing w:line="570" w:lineRule="exact"/>
        <w:ind w:firstLine="641"/>
        <w:rPr>
          <w:rFonts w:eastAsia="方正仿宋_GBK"/>
          <w:bCs/>
          <w:snapToGrid w:val="0"/>
          <w:kern w:val="0"/>
          <w:sz w:val="32"/>
          <w:szCs w:val="32"/>
        </w:rPr>
      </w:pPr>
      <w:r>
        <w:rPr>
          <w:rFonts w:eastAsia="方正仿宋_GBK"/>
          <w:bCs/>
          <w:snapToGrid w:val="0"/>
          <w:kern w:val="0"/>
          <w:sz w:val="32"/>
          <w:szCs w:val="32"/>
        </w:rPr>
        <w:t>全面提升司法公信力。</w:t>
      </w:r>
      <w:r>
        <w:rPr>
          <w:rFonts w:eastAsia="方正仿宋_GBK"/>
          <w:snapToGrid w:val="0"/>
          <w:kern w:val="0"/>
          <w:sz w:val="32"/>
          <w:szCs w:val="32"/>
        </w:rPr>
        <w:t>深入推进司法领域改革，深化以审判为中心的刑事诉讼制度改革，健全行政执法、刑事司法衔接机制，完善司法权力运行监督管理机制，进一步完善社区矫正部门协作和社会力量参与机制。推进审判工作和执行工作的规范化建设。加快建设新型司法基础设施，推进政法跨部门大数据办案平台建设应用。完善检察机关对行政违法行为和强制性侦查措施的法律监督制度。健全公检法以及行政执法机关案件信息共享机制，深化人民陪审员、人民监督员制度改革。</w:t>
      </w:r>
    </w:p>
    <w:p w14:paraId="004252D9">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加强法治社会建设。</w:t>
      </w:r>
      <w:r>
        <w:rPr>
          <w:rFonts w:eastAsia="方正仿宋_GBK"/>
          <w:snapToGrid w:val="0"/>
          <w:kern w:val="0"/>
          <w:sz w:val="32"/>
          <w:szCs w:val="32"/>
        </w:rPr>
        <w:t>坚持法治宣传教育与法治实践深度融合，深入实施“九五”普法规划，加强社会、国家工作人员、青少年法治宣传教育，运用数字化、智能化技术精准普法。持续繁荣法治文化，打造具有常州特色的法治文化品牌，营造全社会尊法学法守法用法的浓厚氛围。加强基层、行业和网络依法治理，实施全国依法治教试点项目，完善校园安全治理体系。推动法律服务业高质量发展，做优公共法律服务，做精专业法律服务，做实涉外法律服务，深化常州法律服务创新园建设。加强仲裁专业化建设，拓展新能源、知识产权等仲裁领域，健全完善商事调解与仲裁、诉讼衔接机制。</w:t>
      </w:r>
    </w:p>
    <w:p w14:paraId="7B207479">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87" w:name="_Toc28400"/>
      <w:r>
        <w:rPr>
          <w:rFonts w:ascii="方正楷体_GBK" w:eastAsia="方正楷体_GBK"/>
          <w:snapToGrid w:val="0"/>
          <w:kern w:val="0"/>
          <w:sz w:val="32"/>
          <w:szCs w:val="32"/>
        </w:rPr>
        <w:t xml:space="preserve">第五节 </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创新完善社会治理体系</w:t>
      </w:r>
      <w:bookmarkEnd w:id="87"/>
    </w:p>
    <w:p w14:paraId="6247D7CF">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bCs/>
          <w:snapToGrid w:val="0"/>
          <w:kern w:val="0"/>
          <w:sz w:val="32"/>
          <w:szCs w:val="32"/>
        </w:rPr>
        <w:t>构建多元社会治理格局。</w:t>
      </w:r>
      <w:r>
        <w:rPr>
          <w:rFonts w:eastAsia="方正仿宋_GBK"/>
          <w:snapToGrid w:val="0"/>
          <w:kern w:val="0"/>
          <w:sz w:val="32"/>
          <w:szCs w:val="32"/>
        </w:rPr>
        <w:t>坚持系统治理、依法治理、综合治理、源头治理，完善共建共治共享的社会治理制度，推进社会治理现代化。推进市、区、镇、村四级综治中心联动建设，迭代升级综治信息平台，加强基层网格化服务管理中心建设。依法依规处理信访问题，用好特邀建议人制度，认真解决合法合理诉求。加快构建“589+”志愿服务体系，建强志愿服务队伍。</w:t>
      </w:r>
    </w:p>
    <w:tbl>
      <w:tblPr>
        <w:tblStyle w:val="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0" w:type="dxa"/>
          <w:left w:w="128" w:type="dxa"/>
          <w:bottom w:w="80" w:type="dxa"/>
          <w:right w:w="128" w:type="dxa"/>
        </w:tblCellMar>
      </w:tblPr>
      <w:tblGrid>
        <w:gridCol w:w="10722"/>
      </w:tblGrid>
      <w:tr w14:paraId="06D5E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0" w:type="dxa"/>
            <w:left w:w="128" w:type="dxa"/>
            <w:bottom w:w="80" w:type="dxa"/>
            <w:right w:w="128" w:type="dxa"/>
          </w:tblCellMar>
        </w:tblPrEx>
        <w:trPr>
          <w:jc w:val="center"/>
        </w:trPr>
        <w:tc>
          <w:tcPr>
            <w:tcW w:w="8823" w:type="dxa"/>
            <w:noWrap w:val="0"/>
            <w:vAlign w:val="top"/>
          </w:tcPr>
          <w:p w14:paraId="6D7A4D02">
            <w:pPr>
              <w:overflowPunct w:val="0"/>
              <w:autoSpaceDE w:val="0"/>
              <w:autoSpaceDN w:val="0"/>
              <w:adjustRightInd w:val="0"/>
              <w:snapToGrid w:val="0"/>
              <w:spacing w:before="120" w:after="120" w:line="500" w:lineRule="exact"/>
              <w:jc w:val="center"/>
              <w:rPr>
                <w:rFonts w:eastAsia="方正黑体_GBK"/>
                <w:snapToGrid w:val="0"/>
                <w:kern w:val="0"/>
                <w:sz w:val="28"/>
                <w:szCs w:val="28"/>
              </w:rPr>
            </w:pPr>
            <w:r>
              <w:rPr>
                <w:rFonts w:eastAsia="方正黑体_GBK"/>
                <w:snapToGrid w:val="0"/>
                <w:kern w:val="0"/>
                <w:sz w:val="28"/>
                <w:szCs w:val="28"/>
              </w:rPr>
              <w:t>专栏11-1  “589+”志愿服务体系</w:t>
            </w:r>
          </w:p>
          <w:p w14:paraId="21C15299">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仿宋_GBK"/>
                <w:bCs/>
                <w:snapToGrid w:val="0"/>
                <w:kern w:val="0"/>
                <w:sz w:val="28"/>
                <w:szCs w:val="28"/>
              </w:rPr>
              <w:t>“5”：</w:t>
            </w:r>
            <w:r>
              <w:rPr>
                <w:rFonts w:eastAsia="方正仿宋_GBK"/>
                <w:snapToGrid w:val="0"/>
                <w:kern w:val="0"/>
                <w:sz w:val="28"/>
                <w:szCs w:val="28"/>
              </w:rPr>
              <w:t>五大志愿服务总队，即辖市区、市级机关、直属行业部门与国企、在常高校、5A级志愿服务组织总队。</w:t>
            </w:r>
          </w:p>
          <w:p w14:paraId="4E6A5EE8">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仿宋_GBK"/>
                <w:bCs/>
                <w:snapToGrid w:val="0"/>
                <w:kern w:val="0"/>
                <w:sz w:val="28"/>
                <w:szCs w:val="28"/>
              </w:rPr>
              <w:t>“8”：</w:t>
            </w:r>
            <w:r>
              <w:rPr>
                <w:rFonts w:eastAsia="方正仿宋_GBK"/>
                <w:snapToGrid w:val="0"/>
                <w:kern w:val="0"/>
                <w:sz w:val="28"/>
                <w:szCs w:val="28"/>
              </w:rPr>
              <w:t>八类志愿者人群，即党员、青年、巾帼、社区、职工、退役军人、学生、老年人。</w:t>
            </w:r>
          </w:p>
          <w:p w14:paraId="499035F3">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仿宋_GBK"/>
                <w:bCs/>
                <w:snapToGrid w:val="0"/>
                <w:kern w:val="0"/>
                <w:sz w:val="28"/>
                <w:szCs w:val="28"/>
              </w:rPr>
              <w:t>“9”：</w:t>
            </w:r>
            <w:r>
              <w:rPr>
                <w:rFonts w:eastAsia="方正仿宋_GBK"/>
                <w:snapToGrid w:val="0"/>
                <w:kern w:val="0"/>
                <w:sz w:val="28"/>
                <w:szCs w:val="28"/>
              </w:rPr>
              <w:t>九大志愿服务专业领域，即文化文艺、科技、平安、应急、助残、卫生健康、法律、体育、生态环境。</w:t>
            </w:r>
          </w:p>
          <w:p w14:paraId="13F3AA86">
            <w:pPr>
              <w:overflowPunct w:val="0"/>
              <w:autoSpaceDE w:val="0"/>
              <w:autoSpaceDN w:val="0"/>
              <w:adjustRightInd w:val="0"/>
              <w:snapToGrid w:val="0"/>
              <w:spacing w:line="500" w:lineRule="exact"/>
              <w:ind w:firstLine="561"/>
              <w:rPr>
                <w:rFonts w:eastAsia="方正仿宋_GBK"/>
                <w:snapToGrid w:val="0"/>
                <w:kern w:val="0"/>
                <w:sz w:val="28"/>
                <w:szCs w:val="28"/>
              </w:rPr>
            </w:pPr>
            <w:r>
              <w:rPr>
                <w:rFonts w:eastAsia="方正仿宋_GBK"/>
                <w:bCs/>
                <w:snapToGrid w:val="0"/>
                <w:kern w:val="0"/>
                <w:sz w:val="28"/>
                <w:szCs w:val="28"/>
              </w:rPr>
              <w:t>“+”</w:t>
            </w:r>
            <w:r>
              <w:rPr>
                <w:rFonts w:eastAsia="方正仿宋_GBK"/>
                <w:snapToGrid w:val="0"/>
                <w:kern w:val="0"/>
                <w:sz w:val="28"/>
                <w:szCs w:val="28"/>
              </w:rPr>
              <w:t>：针对群众多元化服务需求，进一步推动形成“多元协同、专业赋能、多领域融合发展”的志愿服务体系。</w:t>
            </w:r>
          </w:p>
        </w:tc>
      </w:tr>
    </w:tbl>
    <w:p w14:paraId="43F51956">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bCs/>
          <w:snapToGrid w:val="0"/>
          <w:kern w:val="0"/>
          <w:sz w:val="32"/>
          <w:szCs w:val="32"/>
        </w:rPr>
        <w:t>强化基层治理能力。</w:t>
      </w:r>
      <w:r>
        <w:rPr>
          <w:rFonts w:eastAsia="方正仿宋_GBK"/>
          <w:snapToGrid w:val="0"/>
          <w:kern w:val="0"/>
          <w:sz w:val="32"/>
          <w:szCs w:val="32"/>
        </w:rPr>
        <w:t>深化党建引领基层治理和基层政权建设，落实乡镇（街道）履职事项清单，健全村（社区）工作事项准入制度。推广运用“儒林实践”经验做法，增强镇（街道）社会管理和公共服务职能，加强村（居）民委员会规范化建设，探索社区党组织领导下的居委会、业委会、物业服务企业协调运行模式，构建多元共治良好格局。深化警网融合等机制，深化群防群治工作，推广“常安联盟”等做法。推动城乡社区“全科社工”服务模式全覆盖，加强社会工作者队伍建设，大力培育社区社会组织，发展社区志愿者队伍，健全“家门口议事”机制。依托“高频事项一平台”数智赋能基层政务服务。</w:t>
      </w:r>
    </w:p>
    <w:p w14:paraId="6E24D38F">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完善社会信用体系。</w:t>
      </w:r>
      <w:r>
        <w:rPr>
          <w:rFonts w:eastAsia="方正仿宋_GBK"/>
          <w:snapToGrid w:val="0"/>
          <w:kern w:val="0"/>
          <w:sz w:val="32"/>
          <w:szCs w:val="32"/>
        </w:rPr>
        <w:t>深入实施《江苏省社会信用条例》，持续完善政府、经营主体、社会组织、自然人等主体信用管理制度。深化政府诚信履约，建设信用经济，构建全方位信用激励政策环境，推动构建跨部门、跨领域的守信激励和失信惩戒约束机制。推动信用体系跨行业生态协同，加强经营主体信用管理，推动企业建立合规经营与信用风险管控体系。强化信用信息平台功能，充分释放信用数据要素价值，加强对信用主体信用信息的采集与共享，有效提升信用信息归集共享质效。鼓励应用人工智能等新技术加强数据协同治理，构建安全高效的信用信息体系。深化信用修复“一件事”，建立高效透明的信用修复机制。构建起信用信息归集、风险分类、守信激励、失信惩戒和信用修复闭环管理机制。通过广泛推行“信用代证”，拓展惠民便企应用，创新“信易+”场景应用，推广“信易贷”服务模式，加快“信用+服务业”“信用+制造业”“信用+金融业”等多领域融合，加快建立新领域、新业态信用管理制度，不断优化营商环境。</w:t>
      </w:r>
    </w:p>
    <w:p w14:paraId="57A9C022">
      <w:pPr>
        <w:overflowPunct w:val="0"/>
        <w:autoSpaceDE w:val="0"/>
        <w:autoSpaceDN w:val="0"/>
        <w:adjustRightInd w:val="0"/>
        <w:snapToGrid w:val="0"/>
        <w:spacing w:before="240" w:after="240" w:line="570" w:lineRule="exact"/>
        <w:jc w:val="center"/>
        <w:outlineLvl w:val="1"/>
        <w:rPr>
          <w:rFonts w:hint="eastAsia" w:ascii="方正黑体_GBK" w:eastAsia="方正黑体_GBK"/>
          <w:snapToGrid w:val="0"/>
          <w:kern w:val="0"/>
          <w:sz w:val="32"/>
          <w:szCs w:val="32"/>
        </w:rPr>
      </w:pPr>
      <w:bookmarkStart w:id="88" w:name="_Toc28447"/>
      <w:r>
        <w:rPr>
          <w:rFonts w:ascii="方正黑体_GBK" w:eastAsia="方正黑体_GBK"/>
          <w:snapToGrid w:val="0"/>
          <w:kern w:val="0"/>
          <w:sz w:val="32"/>
          <w:szCs w:val="32"/>
        </w:rPr>
        <w:br w:type="page"/>
      </w:r>
      <w:r>
        <w:rPr>
          <w:rFonts w:hint="eastAsia" w:ascii="方正黑体_GBK" w:eastAsia="方正黑体_GBK"/>
          <w:snapToGrid w:val="0"/>
          <w:kern w:val="0"/>
          <w:sz w:val="32"/>
          <w:szCs w:val="32"/>
        </w:rPr>
        <w:t>第十二章  加强组织实施  奋力完成规划目标</w:t>
      </w:r>
      <w:bookmarkEnd w:id="88"/>
    </w:p>
    <w:p w14:paraId="0440725A">
      <w:pPr>
        <w:overflowPunct w:val="0"/>
        <w:autoSpaceDE w:val="0"/>
        <w:autoSpaceDN w:val="0"/>
        <w:adjustRightInd w:val="0"/>
        <w:snapToGrid w:val="0"/>
        <w:spacing w:line="560" w:lineRule="exact"/>
        <w:ind w:firstLine="641"/>
        <w:rPr>
          <w:rFonts w:eastAsia="方正仿宋_GBK"/>
          <w:snapToGrid w:val="0"/>
          <w:kern w:val="0"/>
          <w:sz w:val="32"/>
          <w:szCs w:val="32"/>
        </w:rPr>
      </w:pPr>
      <w:r>
        <w:rPr>
          <w:rFonts w:eastAsia="方正仿宋_GBK"/>
          <w:snapToGrid w:val="0"/>
          <w:kern w:val="0"/>
          <w:sz w:val="32"/>
          <w:szCs w:val="32"/>
        </w:rPr>
        <w:t>坚持党对一切工作的领导，充分发挥党总揽全局、协调各方的领导核心作用，把党的领导落实到“十五五”规划组织实施的各领域全过程，充分调动一切积极因素，确保规划各项目标任务落地落实、发挥实效。</w:t>
      </w:r>
    </w:p>
    <w:p w14:paraId="22075748">
      <w:pPr>
        <w:overflowPunct w:val="0"/>
        <w:autoSpaceDE w:val="0"/>
        <w:autoSpaceDN w:val="0"/>
        <w:adjustRightInd w:val="0"/>
        <w:snapToGrid w:val="0"/>
        <w:spacing w:before="240" w:after="240" w:line="570" w:lineRule="exact"/>
        <w:jc w:val="center"/>
        <w:outlineLvl w:val="1"/>
        <w:rPr>
          <w:rFonts w:hint="eastAsia" w:ascii="方正楷体_GBK" w:eastAsia="方正楷体_GBK"/>
          <w:snapToGrid w:val="0"/>
          <w:kern w:val="0"/>
          <w:sz w:val="32"/>
          <w:szCs w:val="32"/>
        </w:rPr>
      </w:pPr>
      <w:bookmarkStart w:id="89" w:name="_Toc11212"/>
      <w:r>
        <w:rPr>
          <w:rFonts w:hint="eastAsia" w:ascii="方正楷体_GBK" w:eastAsia="方正楷体_GBK"/>
          <w:snapToGrid w:val="0"/>
          <w:kern w:val="0"/>
          <w:sz w:val="32"/>
          <w:szCs w:val="32"/>
        </w:rPr>
        <w:t>第一节  坚持党的全面领导</w:t>
      </w:r>
      <w:bookmarkEnd w:id="89"/>
    </w:p>
    <w:p w14:paraId="7B130F0F">
      <w:pPr>
        <w:overflowPunct w:val="0"/>
        <w:autoSpaceDE w:val="0"/>
        <w:autoSpaceDN w:val="0"/>
        <w:adjustRightInd w:val="0"/>
        <w:snapToGrid w:val="0"/>
        <w:spacing w:line="560" w:lineRule="exact"/>
        <w:ind w:firstLine="641"/>
        <w:rPr>
          <w:rFonts w:eastAsia="方正仿宋_GBK"/>
          <w:snapToGrid w:val="0"/>
          <w:kern w:val="0"/>
          <w:sz w:val="32"/>
          <w:szCs w:val="32"/>
        </w:rPr>
      </w:pPr>
      <w:bookmarkStart w:id="90" w:name="_Toc55403999"/>
      <w:bookmarkStart w:id="91" w:name="_Toc58576707"/>
      <w:r>
        <w:rPr>
          <w:rFonts w:eastAsia="方正仿宋_GBK"/>
          <w:bCs/>
          <w:snapToGrid w:val="0"/>
          <w:kern w:val="0"/>
          <w:sz w:val="32"/>
          <w:szCs w:val="32"/>
        </w:rPr>
        <w:t>加强思想</w:t>
      </w:r>
      <w:bookmarkEnd w:id="90"/>
      <w:r>
        <w:rPr>
          <w:rFonts w:eastAsia="方正仿宋_GBK"/>
          <w:bCs/>
          <w:snapToGrid w:val="0"/>
          <w:kern w:val="0"/>
          <w:sz w:val="32"/>
          <w:szCs w:val="32"/>
        </w:rPr>
        <w:t>理论武装</w:t>
      </w:r>
      <w:bookmarkEnd w:id="91"/>
      <w:r>
        <w:rPr>
          <w:rFonts w:eastAsia="方正仿宋_GBK"/>
          <w:bCs/>
          <w:snapToGrid w:val="0"/>
          <w:kern w:val="0"/>
          <w:sz w:val="32"/>
          <w:szCs w:val="32"/>
        </w:rPr>
        <w:t>。</w:t>
      </w:r>
      <w:r>
        <w:rPr>
          <w:rFonts w:eastAsia="方正仿宋_GBK"/>
          <w:snapToGrid w:val="0"/>
          <w:kern w:val="0"/>
          <w:sz w:val="32"/>
          <w:szCs w:val="32"/>
        </w:rPr>
        <w:t>将学习贯彻习近平新时代中国特色社会主义思想作为首要政治任务，全面落实党的二十大和二十届历次全会精神和习近平总书记对江苏工作重要讲话精神，增强“四个意识”、坚定“四个自信”、做到“两个维护”。深化党的创新理论学习和宣传教育，创新传播手段和表达方式，办好龙城讲坛系列课堂，推动党史学习教育、理想信念教育常态化制度化，推进党的创新理论通俗化大众化。</w:t>
      </w:r>
    </w:p>
    <w:p w14:paraId="707BF4FC">
      <w:pPr>
        <w:overflowPunct w:val="0"/>
        <w:autoSpaceDE w:val="0"/>
        <w:autoSpaceDN w:val="0"/>
        <w:adjustRightInd w:val="0"/>
        <w:snapToGrid w:val="0"/>
        <w:spacing w:line="560" w:lineRule="exact"/>
        <w:ind w:firstLine="641"/>
        <w:rPr>
          <w:rFonts w:eastAsia="方正仿宋_GBK"/>
          <w:snapToGrid w:val="0"/>
          <w:kern w:val="0"/>
          <w:sz w:val="32"/>
          <w:szCs w:val="32"/>
        </w:rPr>
      </w:pPr>
      <w:bookmarkStart w:id="92" w:name="_Toc55404000"/>
      <w:bookmarkStart w:id="93" w:name="_Toc58576708"/>
      <w:r>
        <w:rPr>
          <w:rFonts w:eastAsia="方正仿宋_GBK"/>
          <w:bCs/>
          <w:snapToGrid w:val="0"/>
          <w:kern w:val="0"/>
          <w:sz w:val="32"/>
          <w:szCs w:val="32"/>
        </w:rPr>
        <w:t>坚持全面从严治党</w:t>
      </w:r>
      <w:bookmarkEnd w:id="92"/>
      <w:bookmarkEnd w:id="93"/>
      <w:r>
        <w:rPr>
          <w:rFonts w:eastAsia="方正仿宋_GBK"/>
          <w:bCs/>
          <w:snapToGrid w:val="0"/>
          <w:kern w:val="0"/>
          <w:sz w:val="32"/>
          <w:szCs w:val="32"/>
        </w:rPr>
        <w:t>。</w:t>
      </w:r>
      <w:r>
        <w:rPr>
          <w:rFonts w:eastAsia="方正仿宋_GBK"/>
          <w:snapToGrid w:val="0"/>
          <w:kern w:val="0"/>
          <w:sz w:val="32"/>
          <w:szCs w:val="32"/>
        </w:rPr>
        <w:t>压实全面从严治党主体责任，健全党统一领导、全面覆盖、权威高效的监督体系，形成决策科学、执行坚决、监督有力的权力运行机制。健全和落实民主集中制，坚持科学决策、民主决策、依法决策。锲而不舍落实中央八项规定精神，推动党的作风持续向好。坚持以正确政绩观推动高质量发展，健全完善及时激励、容错纠错、澄清正名、打击诬告陷害机制，推动干部作为担当，打造讲政治、重实干、懂产业、善服务、敢担当的高素质干部队伍。</w:t>
      </w:r>
    </w:p>
    <w:p w14:paraId="667A01C4">
      <w:pPr>
        <w:overflowPunct w:val="0"/>
        <w:autoSpaceDE w:val="0"/>
        <w:autoSpaceDN w:val="0"/>
        <w:adjustRightInd w:val="0"/>
        <w:snapToGrid w:val="0"/>
        <w:spacing w:line="570" w:lineRule="exact"/>
        <w:ind w:firstLine="641"/>
        <w:rPr>
          <w:rFonts w:eastAsia="方正仿宋_GBK"/>
          <w:snapToGrid w:val="0"/>
          <w:kern w:val="0"/>
          <w:sz w:val="32"/>
          <w:szCs w:val="32"/>
        </w:rPr>
      </w:pPr>
      <w:bookmarkStart w:id="94" w:name="_Toc55404001"/>
      <w:bookmarkStart w:id="95" w:name="_Toc58576709"/>
      <w:r>
        <w:rPr>
          <w:rFonts w:eastAsia="方正仿宋_GBK"/>
          <w:bCs/>
          <w:snapToGrid w:val="0"/>
          <w:kern w:val="0"/>
          <w:sz w:val="32"/>
          <w:szCs w:val="32"/>
        </w:rPr>
        <w:t>加强基层组织建设</w:t>
      </w:r>
      <w:bookmarkEnd w:id="94"/>
      <w:bookmarkEnd w:id="95"/>
      <w:r>
        <w:rPr>
          <w:rFonts w:eastAsia="方正仿宋_GBK"/>
          <w:bCs/>
          <w:snapToGrid w:val="0"/>
          <w:kern w:val="0"/>
          <w:sz w:val="32"/>
          <w:szCs w:val="32"/>
        </w:rPr>
        <w:t>。</w:t>
      </w:r>
      <w:r>
        <w:rPr>
          <w:rFonts w:eastAsia="方正仿宋_GBK"/>
          <w:snapToGrid w:val="0"/>
          <w:kern w:val="0"/>
          <w:sz w:val="32"/>
          <w:szCs w:val="32"/>
        </w:rPr>
        <w:t>健全基层组织，扩大基层党的组织覆盖和工作覆盖。持续为基层减负赋能，探索建立为基层减负效果评估机制，进一步推动资源、力量、政策、服务向基层倾斜。突出抓好新经济组织、新社会组织、新就业群体党的建设，扎实推进党的组织覆盖和工作覆盖，着力提升产业链党建成效，增强党在新兴领域的号召力凝聚力影响力。充分发挥各级党组织和党员作用，健全党建带群建、群团工作体系，巩固和发展最广泛的爱国统一战线，团结全市人民为实现“十五五”规划目标共同奋斗。</w:t>
      </w:r>
    </w:p>
    <w:p w14:paraId="62AB73DC">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96" w:name="_Toc12423"/>
      <w:r>
        <w:rPr>
          <w:rFonts w:ascii="方正楷体_GBK" w:eastAsia="方正楷体_GBK"/>
          <w:snapToGrid w:val="0"/>
          <w:kern w:val="0"/>
          <w:sz w:val="32"/>
          <w:szCs w:val="32"/>
        </w:rPr>
        <w:t>第二节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健全规划实施机制</w:t>
      </w:r>
      <w:bookmarkEnd w:id="96"/>
    </w:p>
    <w:p w14:paraId="73CBF147">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完善规划体系。</w:t>
      </w:r>
      <w:r>
        <w:rPr>
          <w:rFonts w:eastAsia="方正仿宋_GBK"/>
          <w:snapToGrid w:val="0"/>
          <w:kern w:val="0"/>
          <w:sz w:val="32"/>
          <w:szCs w:val="32"/>
        </w:rPr>
        <w:t>全面落实《江苏省发展规划条例》，强化市级发展规划统领作用，建立健全以市级发展规划为统领、空间规划为基础、专项规划和区域规划为支撑的市域规划体系。健全规划管理衔接协调机制，统筹规划全程管理，完善目录清单、衔接审核、实施备案等管理制度，全面履行规划编制规范化程序。</w:t>
      </w:r>
    </w:p>
    <w:p w14:paraId="36A97ED1">
      <w:pPr>
        <w:overflowPunct w:val="0"/>
        <w:autoSpaceDE w:val="0"/>
        <w:autoSpaceDN w:val="0"/>
        <w:adjustRightInd w:val="0"/>
        <w:snapToGrid w:val="0"/>
        <w:spacing w:line="570" w:lineRule="exact"/>
        <w:ind w:firstLine="641"/>
        <w:rPr>
          <w:rFonts w:eastAsia="方正仿宋_GBK"/>
          <w:snapToGrid w:val="0"/>
          <w:spacing w:val="-6"/>
          <w:kern w:val="0"/>
          <w:sz w:val="32"/>
          <w:szCs w:val="32"/>
        </w:rPr>
      </w:pPr>
      <w:r>
        <w:rPr>
          <w:rFonts w:eastAsia="方正仿宋_GBK"/>
          <w:bCs/>
          <w:snapToGrid w:val="0"/>
          <w:kern w:val="0"/>
          <w:sz w:val="32"/>
          <w:szCs w:val="32"/>
        </w:rPr>
        <w:t>强化规划实施。</w:t>
      </w:r>
      <w:r>
        <w:rPr>
          <w:rFonts w:eastAsia="方正仿宋_GBK"/>
          <w:snapToGrid w:val="0"/>
          <w:kern w:val="0"/>
          <w:sz w:val="32"/>
          <w:szCs w:val="32"/>
        </w:rPr>
        <w:t>市政府统一组织本规划的实施工作，制定规划实施方案，落实牵头单位和工作责任，明确实施进度和推进措施，逐项落实目标任务。本规划提出的发展目标、重点任务和重大项目，应纳入经济社会发展年度计划。专项规划、各辖市（区）规划由规划编制单位组织实施。强化规划动态管理和中期评估，开展规划指标、政策措施和重大项目实施情况跟踪监测分析，提高规划实施效果。完善规划实施监督机制，畅通监督渠道，发挥纪委监委、组织人事等部门的监督作用，完善政府向人大、政协报</w:t>
      </w:r>
      <w:r>
        <w:rPr>
          <w:rFonts w:eastAsia="方正仿宋_GBK"/>
          <w:snapToGrid w:val="0"/>
          <w:spacing w:val="-6"/>
          <w:kern w:val="0"/>
          <w:sz w:val="32"/>
          <w:szCs w:val="32"/>
        </w:rPr>
        <w:t>告和沟通机制，自觉接受人民代表大会及其常委会的监督检查。</w:t>
      </w:r>
    </w:p>
    <w:p w14:paraId="64BBBC8A">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完善政策保障。</w:t>
      </w:r>
      <w:r>
        <w:rPr>
          <w:rFonts w:eastAsia="方正仿宋_GBK"/>
          <w:snapToGrid w:val="0"/>
          <w:kern w:val="0"/>
          <w:sz w:val="32"/>
          <w:szCs w:val="32"/>
        </w:rPr>
        <w:t>围绕规划提出的目标任务，加强经济社会发展政策的统筹协调，注重政策目标与政策工具、短期政策与长期政策的衔接配合。充分发挥规划指导作用，创新和完善宏观调控方式，有效引导社会资源，合理配置公共资源。围绕经济社会发展重点领域，研究制定一系列能够有效解决突出矛盾、营造公平环境、激发社会活力的重大政策举措。</w:t>
      </w:r>
    </w:p>
    <w:p w14:paraId="37C4DAA4">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力推项目建设。</w:t>
      </w:r>
      <w:r>
        <w:rPr>
          <w:rFonts w:eastAsia="方正仿宋_GBK"/>
          <w:snapToGrid w:val="0"/>
          <w:kern w:val="0"/>
          <w:sz w:val="32"/>
          <w:szCs w:val="32"/>
        </w:rPr>
        <w:t>在产业创新、社会民生、基础设施等重点领域组织实施一批具有全局意义的重大项目，保持投资稳步增长。优化财政支出与投资结构，优先保障民生与重大项目资金，并综合运用政府补助、贴息等方式引导社会资本参与。强化“招推服”一体化，推动招商引资向精准化转变，持续擦亮“常享优服”重大项目服务品牌，加强用地、绿电、算力等要素精准保障。深化审批“一件事”改革，探索“拿地即开工”等创新机制，推动“政企通”平台、“亿元项目库”与工改系统、投资在线监管平台深度互通互联。建立“重大培育项目、重大前期项目、重大建设项目”三级梯度管理机制，强化项目全过程监管与后评价，全面提升项目推进效率与投资效益。</w:t>
      </w:r>
    </w:p>
    <w:p w14:paraId="12860D87">
      <w:pPr>
        <w:overflowPunct w:val="0"/>
        <w:autoSpaceDE w:val="0"/>
        <w:autoSpaceDN w:val="0"/>
        <w:adjustRightInd w:val="0"/>
        <w:snapToGrid w:val="0"/>
        <w:spacing w:before="240" w:after="240" w:line="570" w:lineRule="exact"/>
        <w:jc w:val="center"/>
        <w:outlineLvl w:val="1"/>
        <w:rPr>
          <w:rFonts w:ascii="方正楷体_GBK" w:eastAsia="方正楷体_GBK"/>
          <w:snapToGrid w:val="0"/>
          <w:kern w:val="0"/>
          <w:sz w:val="32"/>
          <w:szCs w:val="32"/>
        </w:rPr>
      </w:pPr>
      <w:bookmarkStart w:id="97" w:name="_Toc23231"/>
      <w:r>
        <w:rPr>
          <w:rFonts w:ascii="方正楷体_GBK" w:eastAsia="方正楷体_GBK"/>
          <w:snapToGrid w:val="0"/>
          <w:kern w:val="0"/>
          <w:sz w:val="32"/>
          <w:szCs w:val="32"/>
        </w:rPr>
        <w:t>第三节</w:t>
      </w:r>
      <w:r>
        <w:rPr>
          <w:rFonts w:hint="eastAsia" w:ascii="方正楷体_GBK" w:eastAsia="方正楷体_GBK"/>
          <w:snapToGrid w:val="0"/>
          <w:kern w:val="0"/>
          <w:sz w:val="32"/>
          <w:szCs w:val="32"/>
        </w:rPr>
        <w:t xml:space="preserve"> </w:t>
      </w:r>
      <w:r>
        <w:rPr>
          <w:rFonts w:ascii="方正楷体_GBK" w:eastAsia="方正楷体_GBK"/>
          <w:snapToGrid w:val="0"/>
          <w:kern w:val="0"/>
          <w:sz w:val="32"/>
          <w:szCs w:val="32"/>
        </w:rPr>
        <w:t xml:space="preserve"> 广泛凝聚社会合力</w:t>
      </w:r>
      <w:bookmarkEnd w:id="97"/>
    </w:p>
    <w:p w14:paraId="68207418">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加强统筹协调。</w:t>
      </w:r>
      <w:r>
        <w:rPr>
          <w:rFonts w:eastAsia="方正仿宋_GBK"/>
          <w:snapToGrid w:val="0"/>
          <w:kern w:val="0"/>
          <w:sz w:val="32"/>
          <w:szCs w:val="32"/>
        </w:rPr>
        <w:t>始终用习近平新时代中国特色社会主义思想统领和指导“十五五”规划的编制实施，扎扎实实践行新发展理念、推动高质量发展。提高政治站位，增进思想共识，推动工作实践，确保各项任务落实落地、见行见效。推动实现规划编制体系目标与举措高度统一，促进党的政治理论转化为自觉行动。</w:t>
      </w:r>
    </w:p>
    <w:p w14:paraId="091FF8CB">
      <w:pPr>
        <w:overflowPunct w:val="0"/>
        <w:autoSpaceDE w:val="0"/>
        <w:autoSpaceDN w:val="0"/>
        <w:adjustRightInd w:val="0"/>
        <w:snapToGrid w:val="0"/>
        <w:spacing w:line="570" w:lineRule="exact"/>
        <w:ind w:firstLine="641"/>
        <w:rPr>
          <w:rFonts w:eastAsia="方正仿宋_GBK"/>
          <w:snapToGrid w:val="0"/>
          <w:kern w:val="0"/>
          <w:sz w:val="32"/>
          <w:szCs w:val="32"/>
        </w:rPr>
      </w:pPr>
      <w:r>
        <w:rPr>
          <w:rFonts w:eastAsia="方正仿宋_GBK"/>
          <w:bCs/>
          <w:snapToGrid w:val="0"/>
          <w:kern w:val="0"/>
          <w:sz w:val="32"/>
          <w:szCs w:val="32"/>
        </w:rPr>
        <w:t>坚持问计于民。</w:t>
      </w:r>
      <w:r>
        <w:rPr>
          <w:rFonts w:eastAsia="方正仿宋_GBK"/>
          <w:snapToGrid w:val="0"/>
          <w:kern w:val="0"/>
          <w:sz w:val="32"/>
          <w:szCs w:val="32"/>
        </w:rPr>
        <w:t>坚持开门问策、集思广益，把加强顶层设计和问计于民统一起来，完善协商民主制度和工作机制，充分听取专家学者、人民群众、企业家和“两代表一委员”意见，走好网上群众路线，吸收有益的新观点和新建议。健全专家咨询论证制度，形成规范化的规划决策咨询机制。充分发挥科研机构、智库等对规划编制实施的辅助支持作用。</w:t>
      </w:r>
    </w:p>
    <w:p w14:paraId="69B7F6AB">
      <w:pPr>
        <w:overflowPunct w:val="0"/>
        <w:autoSpaceDE w:val="0"/>
        <w:autoSpaceDN w:val="0"/>
        <w:adjustRightInd w:val="0"/>
        <w:snapToGrid w:val="0"/>
        <w:spacing w:line="570" w:lineRule="exact"/>
        <w:ind w:firstLine="641"/>
      </w:pPr>
      <w:r>
        <w:rPr>
          <w:rFonts w:eastAsia="方正仿宋_GBK"/>
          <w:bCs/>
          <w:snapToGrid w:val="0"/>
          <w:kern w:val="0"/>
          <w:sz w:val="32"/>
          <w:szCs w:val="32"/>
        </w:rPr>
        <w:t>强化社会监督。</w:t>
      </w:r>
      <w:r>
        <w:rPr>
          <w:rFonts w:eastAsia="方正仿宋_GBK"/>
          <w:snapToGrid w:val="0"/>
          <w:kern w:val="0"/>
          <w:sz w:val="32"/>
          <w:szCs w:val="32"/>
        </w:rPr>
        <w:t>发挥社会各界对规划实施情况的监督作用，畅通公众参与规划实施与监督渠道，积极开展公众评价。统筹运用传统媒体和新兴媒体，创新规划宣传工作，增强公众对规划的认知、认可和认同，调动全社会力量共同参与规划实施，为“十五五”规划顺利推进保驾护航。</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altName w:val="Arial Unicode MS"/>
    <w:panose1 w:val="03000509000000000000"/>
    <w:charset w:val="86"/>
    <w:family w:val="script"/>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方正楷体_GBK">
    <w:altName w:val="Arial Unicode MS"/>
    <w:panose1 w:val="03000509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KSOF51D5AD36">
    <w:panose1 w:val="020B0604020202020204"/>
    <w:charset w:val="86"/>
    <w:family w:val="auto"/>
    <w:pitch w:val="default"/>
    <w:sig w:usb0="00000001" w:usb1="00000000" w:usb2="00000000" w:usb3="00000000" w:csb0="00040001" w:csb1="00000000"/>
  </w:font>
  <w:font w:name="KSOFD0355493">
    <w:panose1 w:val="020B0604020202020204"/>
    <w:charset w:val="86"/>
    <w:family w:val="auto"/>
    <w:pitch w:val="default"/>
    <w:sig w:usb0="00000001" w:usb1="00000000" w:usb2="00000000" w:usb3="00000000" w:csb0="00040001" w:csb1="00000000"/>
  </w:font>
  <w:font w:name="KSOF57490D39">
    <w:panose1 w:val="020B0604020202020204"/>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1C5777"/>
    <w:rsid w:val="231C57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88</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2026-05-13T01:19:00Z</dcterms:created>
  <dc:creator>丹丹</dc:creator>
  <cp:lastModifiedBy>丹丹</cp:lastModifiedBy>
  <dcterms:modified xsi:type="dcterms:W3CDTF">2026-05-13T01:20:18Z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121712F273F9419DA5A5B249B173250A_11</vt:lpwstr>
  </property>
  <property fmtid="{D5CDD505-2E9C-101B-9397-08002B2CF9AE}" pid="4" name="KSOTemplateDocerSaveRecord">
    <vt:lpwstr>eyJoZGlkIjoiNDA5NWQ2OTU1OGVjMGY1ODg1NzM3NDc2ZDYxMjhkZTIiLCJ1c2VySWQiOiIxMDg3MzE0MzAzIn0=</vt:lpwstr>
  </property>
</Properties>
</file>