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520" w:lineRule="exact"/>
        <w:jc w:val="center"/>
        <w:rPr>
          <w:rFonts w:ascii="方正小标宋简体" w:hAnsi="方正小标宋_GBK" w:eastAsia="方正小标宋简体" w:cs="方正小标宋_GBK"/>
          <w:color w:val="000000"/>
          <w:sz w:val="44"/>
          <w:szCs w:val="44"/>
        </w:rPr>
      </w:pPr>
      <w:r>
        <w:rPr>
          <w:rFonts w:hint="eastAsia" w:ascii="方正小标宋简体" w:hAnsi="方正小标宋_GBK" w:eastAsia="方正小标宋简体" w:cs="方正小标宋_GBK"/>
          <w:color w:val="000000"/>
          <w:sz w:val="44"/>
          <w:szCs w:val="44"/>
        </w:rPr>
        <w:t>2025年常州市涂料产品质量</w:t>
      </w:r>
    </w:p>
    <w:p>
      <w:pPr>
        <w:snapToGrid w:val="0"/>
        <w:spacing w:line="520" w:lineRule="exact"/>
        <w:jc w:val="center"/>
        <w:rPr>
          <w:rFonts w:ascii="方正小标宋简体" w:hAnsi="宋体" w:eastAsia="方正小标宋简体"/>
          <w:color w:val="000000"/>
          <w:sz w:val="44"/>
          <w:szCs w:val="44"/>
        </w:rPr>
      </w:pPr>
      <w:r>
        <w:rPr>
          <w:rFonts w:hint="eastAsia" w:ascii="方正小标宋简体" w:hAnsi="方正小标宋_GBK" w:eastAsia="方正小标宋简体" w:cs="方正小标宋_GBK"/>
          <w:color w:val="000000"/>
          <w:sz w:val="44"/>
          <w:szCs w:val="44"/>
        </w:rPr>
        <w:t>监督抽查实施细则</w:t>
      </w:r>
    </w:p>
    <w:p>
      <w:pPr>
        <w:spacing w:line="570" w:lineRule="exact"/>
        <w:ind w:firstLine="640" w:firstLineChars="200"/>
        <w:rPr>
          <w:rFonts w:ascii="黑体" w:hAnsi="黑体" w:eastAsia="黑体"/>
          <w:sz w:val="32"/>
          <w:szCs w:val="32"/>
        </w:rPr>
      </w:pPr>
      <w:bookmarkStart w:id="0" w:name="_GoBack"/>
      <w:bookmarkEnd w:id="0"/>
      <w:r>
        <w:rPr>
          <w:rFonts w:ascii="黑体" w:hAnsi="黑体" w:eastAsia="黑体"/>
          <w:sz w:val="32"/>
          <w:szCs w:val="32"/>
        </w:rPr>
        <w:t>1.</w:t>
      </w:r>
      <w:r>
        <w:rPr>
          <w:rFonts w:hint="eastAsia" w:ascii="黑体" w:hAnsi="黑体" w:eastAsia="黑体"/>
          <w:sz w:val="32"/>
          <w:szCs w:val="32"/>
        </w:rPr>
        <w:t>范围</w:t>
      </w:r>
    </w:p>
    <w:p>
      <w:pPr>
        <w:spacing w:line="570" w:lineRule="exact"/>
        <w:ind w:firstLine="640" w:firstLineChars="200"/>
        <w:rPr>
          <w:rFonts w:eastAsia="仿宋_GB2312"/>
          <w:color w:val="000000"/>
          <w:sz w:val="32"/>
          <w:szCs w:val="32"/>
        </w:rPr>
      </w:pPr>
      <w:r>
        <w:rPr>
          <w:rFonts w:hint="eastAsia" w:eastAsia="仿宋_GB2312"/>
          <w:color w:val="000000"/>
          <w:sz w:val="32"/>
          <w:szCs w:val="32"/>
        </w:rPr>
        <w:t>本细则适用于常州市市场监督管理局组织的涂料产品质量市级监督抽查。本细则规定了此产品的抽样方法、检验依据、检验项目、检验方法、判定原则、异议处理及复检。</w:t>
      </w:r>
    </w:p>
    <w:p>
      <w:pPr>
        <w:spacing w:line="570" w:lineRule="exact"/>
        <w:ind w:firstLine="640" w:firstLineChars="200"/>
        <w:rPr>
          <w:rFonts w:ascii="黑体" w:hAnsi="黑体" w:eastAsia="黑体"/>
          <w:sz w:val="32"/>
          <w:szCs w:val="32"/>
        </w:rPr>
      </w:pPr>
      <w:r>
        <w:rPr>
          <w:rFonts w:ascii="黑体" w:hAnsi="黑体" w:eastAsia="黑体"/>
          <w:sz w:val="32"/>
          <w:szCs w:val="32"/>
        </w:rPr>
        <w:t>2.</w:t>
      </w:r>
      <w:r>
        <w:rPr>
          <w:rFonts w:hint="eastAsia" w:ascii="黑体" w:hAnsi="黑体" w:eastAsia="黑体"/>
          <w:sz w:val="32"/>
          <w:szCs w:val="32"/>
        </w:rPr>
        <w:t xml:space="preserve"> 抽样方法、基数及数量</w:t>
      </w:r>
    </w:p>
    <w:p>
      <w:pPr>
        <w:spacing w:line="570" w:lineRule="exact"/>
        <w:ind w:firstLine="642" w:firstLineChars="200"/>
        <w:rPr>
          <w:rFonts w:ascii="楷体" w:hAnsi="楷体" w:eastAsia="楷体" w:cs="方正仿宋_GBK"/>
          <w:b/>
          <w:bCs/>
          <w:sz w:val="32"/>
          <w:szCs w:val="32"/>
        </w:rPr>
      </w:pPr>
      <w:r>
        <w:rPr>
          <w:rFonts w:hint="eastAsia" w:ascii="楷体" w:hAnsi="楷体" w:eastAsia="楷体" w:cs="方正仿宋_GBK"/>
          <w:b/>
          <w:bCs/>
          <w:sz w:val="32"/>
          <w:szCs w:val="32"/>
        </w:rPr>
        <w:t>2.1抽样方法</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市场实体店抽样：根据抽样批次数，随机抽取抽样地区。由于涂料产品在市场流通领域买样时常会遇见产品标准信息无法确认、市场上品牌数量有限等问题，导致无法抽样，实际抽样地区批次数分配根据抽样情况可做适当的调整。每个抽样地区原则上在应当覆盖涂料专卖店实体店，随机在受检实体店抽样，涂料产品销售主要在专卖店。</w:t>
      </w:r>
    </w:p>
    <w:p>
      <w:pPr>
        <w:spacing w:line="520" w:lineRule="exact"/>
        <w:ind w:firstLine="640" w:firstLineChars="200"/>
        <w:rPr>
          <w:rFonts w:eastAsia="仿宋_GB2312"/>
          <w:color w:val="000000"/>
          <w:sz w:val="32"/>
          <w:szCs w:val="32"/>
        </w:rPr>
      </w:pPr>
      <w:r>
        <w:rPr>
          <w:rFonts w:hint="eastAsia" w:ascii="仿宋_GB2312" w:hAnsi="仿宋_GB2312" w:eastAsia="仿宋_GB2312" w:cs="仿宋_GB2312"/>
          <w:sz w:val="32"/>
          <w:szCs w:val="32"/>
        </w:rPr>
        <w:t>抽样工作由承检机构不少于</w:t>
      </w:r>
      <w:r>
        <w:rPr>
          <w:rFonts w:hint="eastAsia" w:ascii="Times New Roman" w:hAnsi="Times New Roman" w:eastAsia="仿宋_GB2312" w:cs="Times New Roman"/>
          <w:snapToGrid/>
          <w:color w:val="000000"/>
          <w:kern w:val="2"/>
          <w:sz w:val="32"/>
          <w:szCs w:val="32"/>
          <w:lang w:eastAsia="zh-CN"/>
        </w:rPr>
        <w:t>2</w:t>
      </w:r>
      <w:r>
        <w:rPr>
          <w:rFonts w:hint="eastAsia" w:ascii="仿宋_GB2312" w:hAnsi="仿宋_GB2312" w:eastAsia="仿宋_GB2312" w:cs="仿宋_GB2312"/>
          <w:sz w:val="32"/>
          <w:szCs w:val="32"/>
        </w:rPr>
        <w:t>名工作人员共同完成。采样过程均需拍照留证，一经采样，立即封样，任何人不得调换。</w:t>
      </w:r>
    </w:p>
    <w:p>
      <w:pPr>
        <w:spacing w:line="570" w:lineRule="exact"/>
        <w:ind w:firstLine="642" w:firstLineChars="200"/>
        <w:rPr>
          <w:rFonts w:ascii="楷体" w:hAnsi="楷体" w:eastAsia="楷体" w:cs="方正仿宋_GBK"/>
          <w:b/>
          <w:bCs/>
          <w:sz w:val="32"/>
          <w:szCs w:val="32"/>
        </w:rPr>
      </w:pPr>
      <w:r>
        <w:rPr>
          <w:rFonts w:hint="eastAsia" w:ascii="楷体" w:hAnsi="楷体" w:eastAsia="楷体" w:cs="方正仿宋_GBK"/>
          <w:b/>
          <w:bCs/>
          <w:sz w:val="32"/>
          <w:szCs w:val="32"/>
        </w:rPr>
        <w:t>2.2抽样基数</w:t>
      </w:r>
    </w:p>
    <w:p>
      <w:pPr>
        <w:spacing w:line="520" w:lineRule="exact"/>
        <w:ind w:firstLine="640" w:firstLineChars="200"/>
        <w:rPr>
          <w:rFonts w:eastAsia="仿宋_GB2312"/>
          <w:bCs/>
          <w:color w:val="000000"/>
          <w:sz w:val="32"/>
          <w:szCs w:val="32"/>
        </w:rPr>
      </w:pPr>
      <w:r>
        <w:rPr>
          <w:rFonts w:hint="eastAsia" w:ascii="仿宋_GB2312" w:hAnsi="仿宋_GB2312" w:eastAsia="仿宋_GB2312" w:cs="仿宋_GB2312"/>
          <w:sz w:val="32"/>
          <w:szCs w:val="32"/>
        </w:rPr>
        <w:t>在销售企业抽样样品应为同一型号规格、同一批次的产品，抽样基数应满足抽样数量。</w:t>
      </w:r>
    </w:p>
    <w:p>
      <w:pPr>
        <w:spacing w:line="570" w:lineRule="exact"/>
        <w:ind w:firstLine="642" w:firstLineChars="200"/>
        <w:rPr>
          <w:rFonts w:ascii="楷体" w:hAnsi="楷体" w:eastAsia="楷体" w:cs="方正仿宋_GBK"/>
          <w:b/>
          <w:bCs/>
          <w:sz w:val="32"/>
          <w:szCs w:val="32"/>
        </w:rPr>
      </w:pPr>
      <w:r>
        <w:rPr>
          <w:rFonts w:hint="eastAsia" w:ascii="楷体" w:hAnsi="楷体" w:eastAsia="楷体" w:cs="方正仿宋_GBK"/>
          <w:b/>
          <w:bCs/>
          <w:sz w:val="32"/>
          <w:szCs w:val="32"/>
        </w:rPr>
        <w:t>2.3抽样数量</w:t>
      </w:r>
    </w:p>
    <w:p>
      <w:pPr>
        <w:spacing w:line="57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同批次产品抽取</w:t>
      </w:r>
      <w:r>
        <w:rPr>
          <w:rFonts w:hint="eastAsia" w:ascii="Times New Roman" w:hAnsi="Times New Roman" w:eastAsia="仿宋_GB2312" w:cs="Times New Roman"/>
          <w:snapToGrid/>
          <w:color w:val="000000"/>
          <w:kern w:val="2"/>
          <w:sz w:val="32"/>
          <w:szCs w:val="32"/>
          <w:lang w:eastAsia="zh-CN"/>
        </w:rPr>
        <w:t>2</w:t>
      </w:r>
      <w:r>
        <w:rPr>
          <w:rFonts w:hint="eastAsia" w:ascii="仿宋_GB2312" w:hAnsi="仿宋_GB2312" w:eastAsia="仿宋_GB2312" w:cs="仿宋_GB2312"/>
          <w:sz w:val="32"/>
          <w:szCs w:val="32"/>
        </w:rPr>
        <w:t>份样品，每份不少于</w:t>
      </w:r>
      <w:r>
        <w:rPr>
          <w:rFonts w:hint="eastAsia" w:ascii="Times New Roman" w:hAnsi="Times New Roman" w:eastAsia="仿宋_GB2312" w:cs="Times New Roman"/>
          <w:snapToGrid/>
          <w:color w:val="000000"/>
          <w:kern w:val="2"/>
          <w:sz w:val="32"/>
          <w:szCs w:val="32"/>
          <w:lang w:eastAsia="zh-CN"/>
        </w:rPr>
        <w:t>3kg</w:t>
      </w:r>
      <w:r>
        <w:rPr>
          <w:rFonts w:hint="eastAsia" w:ascii="仿宋_GB2312" w:hAnsi="仿宋_GB2312" w:eastAsia="仿宋_GB2312" w:cs="仿宋_GB2312"/>
          <w:sz w:val="32"/>
          <w:szCs w:val="32"/>
        </w:rPr>
        <w:t>，一份为检验样品，一份为备用样品。应尽量整包装抽取，避免分装。如需配套底漆，抽取底漆</w:t>
      </w:r>
      <w:r>
        <w:rPr>
          <w:rFonts w:hint="eastAsia" w:ascii="Times New Roman" w:hAnsi="Times New Roman" w:eastAsia="仿宋_GB2312" w:cs="Times New Roman"/>
          <w:snapToGrid/>
          <w:color w:val="000000"/>
          <w:kern w:val="2"/>
          <w:sz w:val="32"/>
          <w:szCs w:val="32"/>
          <w:lang w:eastAsia="zh-CN"/>
        </w:rPr>
        <w:t>2</w:t>
      </w:r>
      <w:r>
        <w:rPr>
          <w:rFonts w:hint="eastAsia" w:ascii="仿宋_GB2312" w:hAnsi="仿宋_GB2312" w:eastAsia="仿宋_GB2312" w:cs="仿宋_GB2312"/>
          <w:sz w:val="32"/>
          <w:szCs w:val="32"/>
        </w:rPr>
        <w:t xml:space="preserve">份，每份不少于 </w:t>
      </w:r>
      <w:r>
        <w:rPr>
          <w:rFonts w:hint="eastAsia" w:ascii="Times New Roman" w:hAnsi="Times New Roman" w:eastAsia="仿宋_GB2312" w:cs="Times New Roman"/>
          <w:snapToGrid/>
          <w:color w:val="000000"/>
          <w:kern w:val="2"/>
          <w:sz w:val="32"/>
          <w:szCs w:val="32"/>
          <w:lang w:eastAsia="zh-CN"/>
        </w:rPr>
        <w:t>0.5kg</w:t>
      </w:r>
      <w:r>
        <w:rPr>
          <w:rFonts w:hint="eastAsia" w:ascii="仿宋_GB2312" w:hAnsi="仿宋_GB2312" w:eastAsia="仿宋_GB2312" w:cs="仿宋_GB2312"/>
          <w:sz w:val="32"/>
          <w:szCs w:val="32"/>
        </w:rPr>
        <w:t>，一份为检验样品，一份为备用样品。</w:t>
      </w:r>
    </w:p>
    <w:p>
      <w:pPr>
        <w:spacing w:line="570" w:lineRule="exact"/>
        <w:ind w:firstLine="640" w:firstLineChars="200"/>
        <w:rPr>
          <w:rFonts w:ascii="黑体" w:hAnsi="黑体" w:eastAsia="黑体"/>
          <w:sz w:val="32"/>
          <w:szCs w:val="32"/>
        </w:rPr>
      </w:pPr>
      <w:r>
        <w:rPr>
          <w:rFonts w:hint="eastAsia" w:ascii="黑体" w:hAnsi="黑体" w:eastAsia="黑体"/>
          <w:sz w:val="32"/>
          <w:szCs w:val="32"/>
        </w:rPr>
        <w:t>3.检验依据</w:t>
      </w:r>
    </w:p>
    <w:p>
      <w:pPr>
        <w:pStyle w:val="3"/>
        <w:jc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表</w:t>
      </w:r>
      <w:r>
        <w:rPr>
          <w:rFonts w:hint="eastAsia" w:ascii="Times New Roman" w:hAnsi="Times New Roman" w:eastAsia="仿宋_GB2312" w:cs="Times New Roman"/>
          <w:snapToGrid/>
          <w:color w:val="000000"/>
          <w:kern w:val="2"/>
          <w:sz w:val="28"/>
          <w:szCs w:val="28"/>
          <w:lang w:val="en-US" w:eastAsia="zh-CN" w:bidi="ar-SA"/>
        </w:rPr>
        <w:t>1</w:t>
      </w:r>
      <w:r>
        <w:rPr>
          <w:rFonts w:hint="eastAsia" w:ascii="仿宋_GB2312" w:hAnsi="仿宋_GB2312" w:eastAsia="仿宋_GB2312" w:cs="仿宋_GB2312"/>
          <w:color w:val="000000"/>
          <w:sz w:val="28"/>
          <w:szCs w:val="28"/>
        </w:rPr>
        <w:t xml:space="preserve">  木器涂料检验检测项目</w:t>
      </w:r>
    </w:p>
    <w:tbl>
      <w:tblPr>
        <w:tblStyle w:val="7"/>
        <w:tblW w:w="86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1"/>
        <w:gridCol w:w="3405"/>
        <w:gridCol w:w="1995"/>
        <w:gridCol w:w="24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881" w:type="dxa"/>
            <w:vMerge w:val="restart"/>
            <w:noWrap/>
            <w:vAlign w:val="center"/>
          </w:tcPr>
          <w:p>
            <w:pPr>
              <w:pStyle w:val="3"/>
              <w:jc w:val="center"/>
              <w:rPr>
                <w:rFonts w:ascii="Times New Roman" w:hAnsi="Times New Roman" w:eastAsia="仿宋"/>
                <w:color w:val="000000"/>
                <w:sz w:val="24"/>
                <w:szCs w:val="24"/>
              </w:rPr>
            </w:pPr>
            <w:r>
              <w:rPr>
                <w:rFonts w:hint="eastAsia" w:ascii="Times New Roman" w:hAnsi="Times New Roman" w:eastAsia="仿宋"/>
                <w:color w:val="000000"/>
                <w:sz w:val="24"/>
                <w:szCs w:val="24"/>
              </w:rPr>
              <w:t>序号</w:t>
            </w:r>
          </w:p>
        </w:tc>
        <w:tc>
          <w:tcPr>
            <w:tcW w:w="3405" w:type="dxa"/>
            <w:vMerge w:val="restart"/>
            <w:noWrap/>
            <w:vAlign w:val="center"/>
          </w:tcPr>
          <w:p>
            <w:pPr>
              <w:pStyle w:val="3"/>
              <w:jc w:val="center"/>
              <w:rPr>
                <w:rFonts w:ascii="Times New Roman" w:hAnsi="Times New Roman" w:eastAsia="仿宋"/>
                <w:color w:val="000000"/>
                <w:sz w:val="24"/>
                <w:szCs w:val="24"/>
              </w:rPr>
            </w:pPr>
            <w:r>
              <w:rPr>
                <w:rFonts w:hint="eastAsia" w:ascii="Times New Roman" w:hAnsi="Times New Roman" w:eastAsia="仿宋"/>
                <w:color w:val="000000"/>
                <w:sz w:val="24"/>
                <w:szCs w:val="24"/>
              </w:rPr>
              <w:t>检测项目</w:t>
            </w:r>
          </w:p>
        </w:tc>
        <w:tc>
          <w:tcPr>
            <w:tcW w:w="1995" w:type="dxa"/>
            <w:vMerge w:val="restart"/>
            <w:noWrap/>
            <w:vAlign w:val="center"/>
          </w:tcPr>
          <w:p>
            <w:pPr>
              <w:pStyle w:val="3"/>
              <w:jc w:val="center"/>
              <w:rPr>
                <w:rFonts w:ascii="Times New Roman" w:hAnsi="Times New Roman" w:eastAsia="仿宋"/>
                <w:color w:val="000000"/>
                <w:sz w:val="24"/>
                <w:szCs w:val="24"/>
              </w:rPr>
            </w:pPr>
            <w:r>
              <w:rPr>
                <w:rFonts w:hint="eastAsia" w:ascii="Times New Roman" w:hAnsi="Times New Roman" w:eastAsia="仿宋"/>
                <w:color w:val="000000"/>
                <w:sz w:val="24"/>
                <w:szCs w:val="24"/>
              </w:rPr>
              <w:t>检验依据</w:t>
            </w:r>
          </w:p>
        </w:tc>
        <w:tc>
          <w:tcPr>
            <w:tcW w:w="2401" w:type="dxa"/>
            <w:vMerge w:val="restart"/>
            <w:noWrap/>
            <w:vAlign w:val="center"/>
          </w:tcPr>
          <w:p>
            <w:pPr>
              <w:pStyle w:val="3"/>
              <w:jc w:val="center"/>
              <w:rPr>
                <w:rFonts w:ascii="Times New Roman" w:hAnsi="Times New Roman" w:eastAsia="仿宋"/>
                <w:color w:val="000000"/>
                <w:sz w:val="24"/>
                <w:szCs w:val="24"/>
              </w:rPr>
            </w:pPr>
            <w:r>
              <w:rPr>
                <w:rFonts w:hint="eastAsia" w:ascii="Times New Roman" w:hAnsi="Times New Roman" w:eastAsia="仿宋"/>
                <w:color w:val="000000"/>
                <w:sz w:val="24"/>
                <w:szCs w:val="24"/>
              </w:rPr>
              <w:t>检验检测方法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881" w:type="dxa"/>
            <w:vMerge w:val="continue"/>
            <w:noWrap/>
            <w:vAlign w:val="center"/>
          </w:tcPr>
          <w:p>
            <w:pPr>
              <w:pStyle w:val="3"/>
              <w:jc w:val="center"/>
              <w:rPr>
                <w:rFonts w:ascii="Times New Roman" w:hAnsi="Times New Roman" w:eastAsia="仿宋"/>
                <w:color w:val="000000"/>
                <w:sz w:val="24"/>
                <w:szCs w:val="24"/>
              </w:rPr>
            </w:pPr>
          </w:p>
        </w:tc>
        <w:tc>
          <w:tcPr>
            <w:tcW w:w="3405" w:type="dxa"/>
            <w:vMerge w:val="continue"/>
            <w:noWrap/>
            <w:vAlign w:val="center"/>
          </w:tcPr>
          <w:p>
            <w:pPr>
              <w:pStyle w:val="3"/>
              <w:jc w:val="center"/>
              <w:rPr>
                <w:rFonts w:ascii="Times New Roman" w:hAnsi="Times New Roman" w:eastAsia="仿宋"/>
                <w:color w:val="000000"/>
                <w:sz w:val="24"/>
                <w:szCs w:val="24"/>
              </w:rPr>
            </w:pPr>
          </w:p>
        </w:tc>
        <w:tc>
          <w:tcPr>
            <w:tcW w:w="1995" w:type="dxa"/>
            <w:vMerge w:val="continue"/>
            <w:noWrap/>
            <w:vAlign w:val="center"/>
          </w:tcPr>
          <w:p>
            <w:pPr>
              <w:pStyle w:val="3"/>
              <w:jc w:val="center"/>
              <w:rPr>
                <w:rFonts w:ascii="Times New Roman" w:hAnsi="Times New Roman" w:eastAsia="仿宋"/>
                <w:color w:val="000000"/>
                <w:sz w:val="24"/>
                <w:szCs w:val="24"/>
              </w:rPr>
            </w:pPr>
          </w:p>
        </w:tc>
        <w:tc>
          <w:tcPr>
            <w:tcW w:w="2401" w:type="dxa"/>
            <w:vMerge w:val="continue"/>
            <w:noWrap/>
            <w:vAlign w:val="center"/>
          </w:tcPr>
          <w:p>
            <w:pPr>
              <w:pStyle w:val="3"/>
              <w:jc w:val="center"/>
              <w:rPr>
                <w:rFonts w:ascii="Times New Roman" w:hAnsi="Times New Roman" w:eastAsia="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881" w:type="dxa"/>
            <w:noWrap/>
            <w:vAlign w:val="center"/>
          </w:tcPr>
          <w:p>
            <w:pPr>
              <w:snapToGrid w:val="0"/>
              <w:spacing w:line="300" w:lineRule="exact"/>
              <w:jc w:val="center"/>
              <w:rPr>
                <w:rFonts w:eastAsia="仿宋"/>
                <w:color w:val="000000"/>
                <w:sz w:val="24"/>
                <w:szCs w:val="24"/>
              </w:rPr>
            </w:pPr>
            <w:r>
              <w:rPr>
                <w:rFonts w:eastAsia="仿宋"/>
                <w:color w:val="000000"/>
                <w:sz w:val="24"/>
                <w:szCs w:val="24"/>
              </w:rPr>
              <w:t>1</w:t>
            </w:r>
          </w:p>
        </w:tc>
        <w:tc>
          <w:tcPr>
            <w:tcW w:w="3405" w:type="dxa"/>
            <w:noWrap/>
            <w:vAlign w:val="center"/>
          </w:tcPr>
          <w:p>
            <w:pPr>
              <w:snapToGrid w:val="0"/>
              <w:spacing w:line="300" w:lineRule="exact"/>
              <w:jc w:val="center"/>
              <w:rPr>
                <w:rFonts w:eastAsia="仿宋"/>
                <w:color w:val="000000"/>
                <w:sz w:val="24"/>
                <w:szCs w:val="24"/>
              </w:rPr>
            </w:pPr>
            <w:r>
              <w:rPr>
                <w:rFonts w:eastAsia="仿宋"/>
                <w:color w:val="000000"/>
                <w:sz w:val="24"/>
                <w:szCs w:val="24"/>
              </w:rPr>
              <w:t>VOC含量</w:t>
            </w:r>
          </w:p>
        </w:tc>
        <w:tc>
          <w:tcPr>
            <w:tcW w:w="1995" w:type="dxa"/>
            <w:vMerge w:val="restart"/>
            <w:noWrap/>
            <w:vAlign w:val="center"/>
          </w:tcPr>
          <w:p>
            <w:pPr>
              <w:widowControl/>
              <w:jc w:val="center"/>
              <w:rPr>
                <w:rFonts w:eastAsia="仿宋"/>
                <w:color w:val="000000"/>
                <w:sz w:val="24"/>
                <w:szCs w:val="24"/>
              </w:rPr>
            </w:pPr>
            <w:r>
              <w:rPr>
                <w:rFonts w:hint="eastAsia" w:eastAsia="仿宋"/>
                <w:color w:val="000000"/>
                <w:sz w:val="24"/>
                <w:szCs w:val="24"/>
              </w:rPr>
              <w:t>GB 18581-2020</w:t>
            </w:r>
          </w:p>
        </w:tc>
        <w:tc>
          <w:tcPr>
            <w:tcW w:w="2401" w:type="dxa"/>
            <w:noWrap/>
            <w:vAlign w:val="center"/>
          </w:tcPr>
          <w:p>
            <w:pPr>
              <w:widowControl/>
              <w:jc w:val="center"/>
              <w:rPr>
                <w:rFonts w:eastAsia="仿宋"/>
                <w:color w:val="000000"/>
                <w:sz w:val="24"/>
                <w:szCs w:val="24"/>
              </w:rPr>
            </w:pPr>
            <w:r>
              <w:rPr>
                <w:rFonts w:eastAsia="仿宋"/>
                <w:color w:val="000000"/>
                <w:sz w:val="24"/>
                <w:szCs w:val="24"/>
              </w:rPr>
              <w:t>GB 18581-2020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81" w:type="dxa"/>
            <w:noWrap/>
            <w:vAlign w:val="center"/>
          </w:tcPr>
          <w:p>
            <w:pPr>
              <w:snapToGrid w:val="0"/>
              <w:spacing w:line="300" w:lineRule="exact"/>
              <w:jc w:val="center"/>
              <w:rPr>
                <w:rFonts w:eastAsia="仿宋"/>
                <w:color w:val="000000"/>
                <w:sz w:val="24"/>
                <w:szCs w:val="24"/>
              </w:rPr>
            </w:pPr>
            <w:r>
              <w:rPr>
                <w:rFonts w:eastAsia="仿宋"/>
                <w:color w:val="000000"/>
                <w:sz w:val="24"/>
                <w:szCs w:val="24"/>
              </w:rPr>
              <w:t>2</w:t>
            </w:r>
          </w:p>
        </w:tc>
        <w:tc>
          <w:tcPr>
            <w:tcW w:w="3405" w:type="dxa"/>
            <w:noWrap/>
            <w:vAlign w:val="center"/>
          </w:tcPr>
          <w:p>
            <w:pPr>
              <w:snapToGrid w:val="0"/>
              <w:spacing w:line="300" w:lineRule="exact"/>
              <w:jc w:val="center"/>
              <w:rPr>
                <w:rFonts w:eastAsia="仿宋"/>
                <w:color w:val="000000"/>
                <w:sz w:val="24"/>
                <w:szCs w:val="24"/>
              </w:rPr>
            </w:pPr>
            <w:r>
              <w:rPr>
                <w:rFonts w:eastAsia="仿宋"/>
                <w:color w:val="000000"/>
                <w:sz w:val="24"/>
                <w:szCs w:val="24"/>
              </w:rPr>
              <w:t>苯含量</w:t>
            </w:r>
          </w:p>
        </w:tc>
        <w:tc>
          <w:tcPr>
            <w:tcW w:w="1995" w:type="dxa"/>
            <w:vMerge w:val="continue"/>
            <w:noWrap/>
            <w:vAlign w:val="center"/>
          </w:tcPr>
          <w:p>
            <w:pPr>
              <w:pStyle w:val="3"/>
              <w:jc w:val="center"/>
              <w:rPr>
                <w:rFonts w:ascii="Times New Roman" w:hAnsi="Times New Roman" w:eastAsia="仿宋"/>
                <w:color w:val="000000"/>
                <w:sz w:val="24"/>
                <w:szCs w:val="24"/>
              </w:rPr>
            </w:pPr>
          </w:p>
        </w:tc>
        <w:tc>
          <w:tcPr>
            <w:tcW w:w="2401" w:type="dxa"/>
            <w:noWrap/>
            <w:vAlign w:val="center"/>
          </w:tcPr>
          <w:p>
            <w:pPr>
              <w:jc w:val="center"/>
              <w:rPr>
                <w:rFonts w:eastAsia="仿宋"/>
                <w:color w:val="000000"/>
                <w:sz w:val="24"/>
                <w:szCs w:val="24"/>
              </w:rPr>
            </w:pPr>
            <w:r>
              <w:rPr>
                <w:rFonts w:eastAsia="仿宋"/>
                <w:color w:val="000000"/>
                <w:sz w:val="24"/>
                <w:szCs w:val="24"/>
              </w:rPr>
              <w:t>GB/T 23990-2009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81" w:type="dxa"/>
            <w:noWrap/>
            <w:vAlign w:val="center"/>
          </w:tcPr>
          <w:p>
            <w:pPr>
              <w:snapToGrid w:val="0"/>
              <w:spacing w:line="300" w:lineRule="exact"/>
              <w:jc w:val="center"/>
              <w:rPr>
                <w:rFonts w:eastAsia="仿宋"/>
                <w:color w:val="000000"/>
                <w:sz w:val="24"/>
                <w:szCs w:val="24"/>
              </w:rPr>
            </w:pPr>
            <w:r>
              <w:rPr>
                <w:rFonts w:eastAsia="仿宋"/>
                <w:color w:val="000000"/>
                <w:sz w:val="24"/>
                <w:szCs w:val="24"/>
              </w:rPr>
              <w:t>3</w:t>
            </w:r>
          </w:p>
        </w:tc>
        <w:tc>
          <w:tcPr>
            <w:tcW w:w="3405" w:type="dxa"/>
            <w:noWrap/>
            <w:vAlign w:val="center"/>
          </w:tcPr>
          <w:p>
            <w:pPr>
              <w:snapToGrid w:val="0"/>
              <w:spacing w:line="300" w:lineRule="exact"/>
              <w:jc w:val="center"/>
              <w:rPr>
                <w:rFonts w:eastAsia="仿宋"/>
                <w:color w:val="000000"/>
                <w:sz w:val="24"/>
                <w:szCs w:val="24"/>
              </w:rPr>
            </w:pPr>
            <w:r>
              <w:rPr>
                <w:rFonts w:eastAsia="仿宋"/>
                <w:color w:val="000000"/>
                <w:sz w:val="24"/>
                <w:szCs w:val="24"/>
              </w:rPr>
              <w:t>甲苯与二甲苯（含乙苯）含量</w:t>
            </w:r>
          </w:p>
        </w:tc>
        <w:tc>
          <w:tcPr>
            <w:tcW w:w="1995" w:type="dxa"/>
            <w:vMerge w:val="continue"/>
            <w:noWrap/>
            <w:vAlign w:val="center"/>
          </w:tcPr>
          <w:p>
            <w:pPr>
              <w:pStyle w:val="3"/>
              <w:jc w:val="center"/>
              <w:rPr>
                <w:rFonts w:ascii="Times New Roman" w:hAnsi="Times New Roman" w:eastAsia="仿宋"/>
                <w:color w:val="000000"/>
                <w:sz w:val="24"/>
                <w:szCs w:val="24"/>
              </w:rPr>
            </w:pPr>
          </w:p>
        </w:tc>
        <w:tc>
          <w:tcPr>
            <w:tcW w:w="2401" w:type="dxa"/>
            <w:noWrap/>
            <w:vAlign w:val="center"/>
          </w:tcPr>
          <w:p>
            <w:pPr>
              <w:jc w:val="center"/>
              <w:rPr>
                <w:rFonts w:eastAsia="仿宋"/>
                <w:color w:val="000000"/>
                <w:sz w:val="24"/>
                <w:szCs w:val="24"/>
              </w:rPr>
            </w:pPr>
            <w:r>
              <w:rPr>
                <w:rFonts w:eastAsia="仿宋"/>
                <w:color w:val="000000"/>
                <w:sz w:val="24"/>
                <w:szCs w:val="24"/>
              </w:rPr>
              <w:t>GB/T 23990-2009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81" w:type="dxa"/>
            <w:noWrap/>
            <w:vAlign w:val="center"/>
          </w:tcPr>
          <w:p>
            <w:pPr>
              <w:snapToGrid w:val="0"/>
              <w:spacing w:line="300" w:lineRule="exact"/>
              <w:jc w:val="center"/>
              <w:rPr>
                <w:rFonts w:eastAsia="仿宋"/>
                <w:color w:val="000000"/>
                <w:sz w:val="24"/>
                <w:szCs w:val="24"/>
              </w:rPr>
            </w:pPr>
            <w:r>
              <w:rPr>
                <w:rFonts w:eastAsia="仿宋"/>
                <w:color w:val="000000"/>
                <w:sz w:val="24"/>
                <w:szCs w:val="24"/>
              </w:rPr>
              <w:t>4</w:t>
            </w:r>
          </w:p>
        </w:tc>
        <w:tc>
          <w:tcPr>
            <w:tcW w:w="3405" w:type="dxa"/>
            <w:noWrap/>
            <w:vAlign w:val="center"/>
          </w:tcPr>
          <w:p>
            <w:pPr>
              <w:snapToGrid w:val="0"/>
              <w:spacing w:line="300" w:lineRule="exact"/>
              <w:jc w:val="center"/>
              <w:rPr>
                <w:rFonts w:eastAsia="仿宋"/>
                <w:color w:val="000000"/>
                <w:sz w:val="24"/>
                <w:szCs w:val="24"/>
              </w:rPr>
            </w:pPr>
            <w:r>
              <w:rPr>
                <w:rFonts w:eastAsia="仿宋"/>
                <w:color w:val="000000"/>
                <w:sz w:val="24"/>
                <w:szCs w:val="24"/>
              </w:rPr>
              <w:t>卤代烃总和含量</w:t>
            </w:r>
          </w:p>
        </w:tc>
        <w:tc>
          <w:tcPr>
            <w:tcW w:w="1995" w:type="dxa"/>
            <w:vMerge w:val="continue"/>
            <w:noWrap/>
            <w:vAlign w:val="center"/>
          </w:tcPr>
          <w:p>
            <w:pPr>
              <w:pStyle w:val="3"/>
              <w:jc w:val="center"/>
              <w:rPr>
                <w:rFonts w:ascii="Times New Roman" w:hAnsi="Times New Roman" w:eastAsia="仿宋"/>
                <w:color w:val="000000"/>
                <w:sz w:val="24"/>
                <w:szCs w:val="24"/>
              </w:rPr>
            </w:pPr>
          </w:p>
        </w:tc>
        <w:tc>
          <w:tcPr>
            <w:tcW w:w="2401" w:type="dxa"/>
            <w:noWrap/>
            <w:vAlign w:val="center"/>
          </w:tcPr>
          <w:p>
            <w:pPr>
              <w:jc w:val="center"/>
              <w:rPr>
                <w:rFonts w:eastAsia="仿宋"/>
                <w:color w:val="000000"/>
                <w:sz w:val="24"/>
                <w:szCs w:val="24"/>
              </w:rPr>
            </w:pPr>
            <w:r>
              <w:rPr>
                <w:rFonts w:eastAsia="仿宋"/>
                <w:color w:val="000000"/>
                <w:sz w:val="24"/>
                <w:szCs w:val="24"/>
              </w:rPr>
              <w:t>GB/T 23992-2009</w:t>
            </w:r>
          </w:p>
        </w:tc>
      </w:tr>
    </w:tbl>
    <w:p>
      <w:pPr>
        <w:pStyle w:val="3"/>
        <w:jc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表</w:t>
      </w:r>
      <w:r>
        <w:rPr>
          <w:rFonts w:hint="eastAsia" w:ascii="Times New Roman" w:hAnsi="Times New Roman" w:eastAsia="仿宋_GB2312" w:cs="Times New Roman"/>
          <w:snapToGrid/>
          <w:color w:val="000000"/>
          <w:kern w:val="2"/>
          <w:sz w:val="28"/>
          <w:szCs w:val="28"/>
          <w:lang w:val="en-US" w:eastAsia="zh-CN" w:bidi="ar-SA"/>
        </w:rPr>
        <w:t>2</w:t>
      </w:r>
      <w:r>
        <w:rPr>
          <w:rFonts w:hint="eastAsia" w:ascii="仿宋_GB2312" w:hAnsi="仿宋_GB2312" w:eastAsia="仿宋_GB2312" w:cs="仿宋_GB2312"/>
          <w:color w:val="000000"/>
          <w:sz w:val="28"/>
          <w:szCs w:val="28"/>
        </w:rPr>
        <w:t xml:space="preserve">  </w:t>
      </w:r>
      <w:r>
        <w:rPr>
          <w:rFonts w:ascii="仿宋_GB2312" w:hAnsi="宋体" w:eastAsia="仿宋_GB2312" w:cs="仿宋_GB2312"/>
          <w:color w:val="000000"/>
          <w:sz w:val="28"/>
          <w:szCs w:val="28"/>
        </w:rPr>
        <w:t>建筑用</w:t>
      </w:r>
      <w:r>
        <w:rPr>
          <w:rFonts w:hint="eastAsia" w:ascii="仿宋_GB2312" w:hAnsi="宋体" w:eastAsia="仿宋_GB2312" w:cs="仿宋_GB2312"/>
          <w:color w:val="000000" w:themeColor="text1"/>
          <w:sz w:val="28"/>
          <w:szCs w:val="28"/>
        </w:rPr>
        <w:t>墙面</w:t>
      </w:r>
      <w:r>
        <w:rPr>
          <w:rFonts w:ascii="仿宋_GB2312" w:hAnsi="宋体" w:eastAsia="仿宋_GB2312" w:cs="仿宋_GB2312"/>
          <w:color w:val="000000"/>
          <w:sz w:val="28"/>
          <w:szCs w:val="28"/>
        </w:rPr>
        <w:t>涂料</w:t>
      </w:r>
      <w:r>
        <w:rPr>
          <w:rFonts w:hint="eastAsia" w:ascii="仿宋_GB2312" w:hAnsi="仿宋_GB2312" w:eastAsia="仿宋_GB2312" w:cs="仿宋_GB2312"/>
          <w:color w:val="000000"/>
          <w:sz w:val="28"/>
          <w:szCs w:val="28"/>
        </w:rPr>
        <w:t>检验检测项目</w:t>
      </w:r>
    </w:p>
    <w:tbl>
      <w:tblPr>
        <w:tblStyle w:val="7"/>
        <w:tblW w:w="86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1"/>
        <w:gridCol w:w="3405"/>
        <w:gridCol w:w="1995"/>
        <w:gridCol w:w="24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881" w:type="dxa"/>
            <w:vMerge w:val="restart"/>
            <w:noWrap/>
            <w:vAlign w:val="center"/>
          </w:tcPr>
          <w:p>
            <w:pPr>
              <w:pStyle w:val="3"/>
              <w:jc w:val="center"/>
              <w:rPr>
                <w:rFonts w:ascii="Times New Roman" w:hAnsi="Times New Roman" w:eastAsia="仿宋"/>
                <w:color w:val="000000"/>
                <w:sz w:val="24"/>
                <w:szCs w:val="24"/>
              </w:rPr>
            </w:pPr>
            <w:r>
              <w:rPr>
                <w:rFonts w:hint="eastAsia" w:ascii="Times New Roman" w:hAnsi="Times New Roman" w:eastAsia="仿宋"/>
                <w:color w:val="000000"/>
                <w:sz w:val="24"/>
                <w:szCs w:val="24"/>
              </w:rPr>
              <w:t>序号</w:t>
            </w:r>
          </w:p>
        </w:tc>
        <w:tc>
          <w:tcPr>
            <w:tcW w:w="3405" w:type="dxa"/>
            <w:vMerge w:val="restart"/>
            <w:noWrap/>
            <w:vAlign w:val="center"/>
          </w:tcPr>
          <w:p>
            <w:pPr>
              <w:pStyle w:val="3"/>
              <w:jc w:val="center"/>
              <w:rPr>
                <w:rFonts w:ascii="Times New Roman" w:hAnsi="Times New Roman" w:eastAsia="仿宋"/>
                <w:color w:val="000000"/>
                <w:sz w:val="24"/>
                <w:szCs w:val="24"/>
              </w:rPr>
            </w:pPr>
            <w:r>
              <w:rPr>
                <w:rFonts w:hint="eastAsia" w:ascii="Times New Roman" w:hAnsi="Times New Roman" w:eastAsia="仿宋"/>
                <w:color w:val="000000"/>
                <w:sz w:val="24"/>
                <w:szCs w:val="24"/>
              </w:rPr>
              <w:t>检测项目</w:t>
            </w:r>
          </w:p>
        </w:tc>
        <w:tc>
          <w:tcPr>
            <w:tcW w:w="1995" w:type="dxa"/>
            <w:vMerge w:val="restart"/>
            <w:noWrap/>
            <w:vAlign w:val="center"/>
          </w:tcPr>
          <w:p>
            <w:pPr>
              <w:pStyle w:val="3"/>
              <w:jc w:val="center"/>
              <w:rPr>
                <w:rFonts w:ascii="Times New Roman" w:hAnsi="Times New Roman" w:eastAsia="仿宋"/>
                <w:color w:val="000000"/>
                <w:sz w:val="24"/>
                <w:szCs w:val="24"/>
              </w:rPr>
            </w:pPr>
            <w:r>
              <w:rPr>
                <w:rFonts w:hint="eastAsia" w:ascii="Times New Roman" w:hAnsi="Times New Roman" w:eastAsia="仿宋"/>
                <w:color w:val="000000"/>
                <w:sz w:val="24"/>
                <w:szCs w:val="24"/>
              </w:rPr>
              <w:t>检验依据</w:t>
            </w:r>
          </w:p>
        </w:tc>
        <w:tc>
          <w:tcPr>
            <w:tcW w:w="2401" w:type="dxa"/>
            <w:vMerge w:val="restart"/>
            <w:noWrap/>
            <w:vAlign w:val="center"/>
          </w:tcPr>
          <w:p>
            <w:pPr>
              <w:pStyle w:val="3"/>
              <w:jc w:val="center"/>
              <w:rPr>
                <w:rFonts w:ascii="Times New Roman" w:hAnsi="Times New Roman" w:eastAsia="仿宋"/>
                <w:color w:val="000000"/>
                <w:sz w:val="24"/>
                <w:szCs w:val="24"/>
              </w:rPr>
            </w:pPr>
            <w:r>
              <w:rPr>
                <w:rFonts w:hint="eastAsia" w:ascii="Times New Roman" w:hAnsi="Times New Roman" w:eastAsia="仿宋"/>
                <w:color w:val="000000"/>
                <w:sz w:val="24"/>
                <w:szCs w:val="24"/>
              </w:rPr>
              <w:t>检验检测方法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881" w:type="dxa"/>
            <w:vMerge w:val="continue"/>
            <w:noWrap/>
            <w:vAlign w:val="center"/>
          </w:tcPr>
          <w:p>
            <w:pPr>
              <w:pStyle w:val="3"/>
              <w:jc w:val="center"/>
              <w:rPr>
                <w:rFonts w:ascii="Times New Roman" w:hAnsi="Times New Roman" w:eastAsia="仿宋"/>
                <w:color w:val="000000"/>
                <w:sz w:val="24"/>
                <w:szCs w:val="24"/>
              </w:rPr>
            </w:pPr>
          </w:p>
        </w:tc>
        <w:tc>
          <w:tcPr>
            <w:tcW w:w="3405" w:type="dxa"/>
            <w:vMerge w:val="continue"/>
            <w:noWrap/>
            <w:vAlign w:val="center"/>
          </w:tcPr>
          <w:p>
            <w:pPr>
              <w:pStyle w:val="3"/>
              <w:jc w:val="center"/>
              <w:rPr>
                <w:rFonts w:ascii="Times New Roman" w:hAnsi="Times New Roman" w:eastAsia="仿宋"/>
                <w:color w:val="000000"/>
                <w:sz w:val="24"/>
                <w:szCs w:val="24"/>
              </w:rPr>
            </w:pPr>
          </w:p>
        </w:tc>
        <w:tc>
          <w:tcPr>
            <w:tcW w:w="1995" w:type="dxa"/>
            <w:vMerge w:val="continue"/>
            <w:noWrap/>
            <w:vAlign w:val="center"/>
          </w:tcPr>
          <w:p>
            <w:pPr>
              <w:pStyle w:val="3"/>
              <w:jc w:val="center"/>
              <w:rPr>
                <w:rFonts w:ascii="Times New Roman" w:hAnsi="Times New Roman" w:eastAsia="仿宋"/>
                <w:color w:val="000000"/>
                <w:sz w:val="24"/>
                <w:szCs w:val="24"/>
              </w:rPr>
            </w:pPr>
          </w:p>
        </w:tc>
        <w:tc>
          <w:tcPr>
            <w:tcW w:w="2401" w:type="dxa"/>
            <w:vMerge w:val="continue"/>
            <w:noWrap/>
            <w:vAlign w:val="center"/>
          </w:tcPr>
          <w:p>
            <w:pPr>
              <w:pStyle w:val="3"/>
              <w:jc w:val="center"/>
              <w:rPr>
                <w:rFonts w:ascii="Times New Roman" w:hAnsi="Times New Roman" w:eastAsia="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881" w:type="dxa"/>
            <w:noWrap/>
            <w:vAlign w:val="center"/>
          </w:tcPr>
          <w:p>
            <w:pPr>
              <w:snapToGrid w:val="0"/>
              <w:spacing w:line="300" w:lineRule="exact"/>
              <w:jc w:val="center"/>
              <w:rPr>
                <w:rFonts w:eastAsia="仿宋"/>
                <w:color w:val="000000"/>
                <w:sz w:val="24"/>
                <w:szCs w:val="24"/>
              </w:rPr>
            </w:pPr>
            <w:r>
              <w:rPr>
                <w:rFonts w:eastAsia="仿宋"/>
                <w:color w:val="000000"/>
                <w:sz w:val="24"/>
                <w:szCs w:val="24"/>
              </w:rPr>
              <w:t>1</w:t>
            </w:r>
          </w:p>
        </w:tc>
        <w:tc>
          <w:tcPr>
            <w:tcW w:w="3405" w:type="dxa"/>
            <w:noWrap/>
            <w:vAlign w:val="center"/>
          </w:tcPr>
          <w:p>
            <w:pPr>
              <w:snapToGrid w:val="0"/>
              <w:spacing w:line="300" w:lineRule="exact"/>
              <w:jc w:val="center"/>
              <w:rPr>
                <w:rFonts w:eastAsia="仿宋"/>
                <w:color w:val="000000"/>
                <w:sz w:val="24"/>
                <w:szCs w:val="24"/>
              </w:rPr>
            </w:pPr>
            <w:r>
              <w:rPr>
                <w:rFonts w:eastAsia="仿宋"/>
                <w:color w:val="000000"/>
                <w:sz w:val="24"/>
                <w:szCs w:val="24"/>
              </w:rPr>
              <w:t>VOC含量</w:t>
            </w:r>
          </w:p>
        </w:tc>
        <w:tc>
          <w:tcPr>
            <w:tcW w:w="1995" w:type="dxa"/>
            <w:vMerge w:val="restart"/>
            <w:noWrap/>
            <w:vAlign w:val="center"/>
          </w:tcPr>
          <w:p>
            <w:pPr>
              <w:widowControl/>
              <w:jc w:val="center"/>
              <w:rPr>
                <w:rFonts w:eastAsia="仿宋"/>
                <w:color w:val="000000"/>
                <w:sz w:val="24"/>
                <w:szCs w:val="24"/>
              </w:rPr>
            </w:pPr>
            <w:r>
              <w:rPr>
                <w:rFonts w:hint="eastAsia" w:eastAsia="仿宋"/>
                <w:color w:val="000000"/>
                <w:sz w:val="24"/>
                <w:szCs w:val="24"/>
              </w:rPr>
              <w:t>GB 18582-2020</w:t>
            </w:r>
          </w:p>
        </w:tc>
        <w:tc>
          <w:tcPr>
            <w:tcW w:w="2401" w:type="dxa"/>
            <w:noWrap/>
            <w:vAlign w:val="center"/>
          </w:tcPr>
          <w:p>
            <w:pPr>
              <w:widowControl/>
              <w:jc w:val="center"/>
              <w:rPr>
                <w:rFonts w:eastAsia="仿宋"/>
                <w:color w:val="000000"/>
                <w:sz w:val="24"/>
                <w:szCs w:val="24"/>
              </w:rPr>
            </w:pPr>
            <w:r>
              <w:rPr>
                <w:rFonts w:eastAsia="仿宋"/>
                <w:color w:val="000000"/>
                <w:sz w:val="24"/>
                <w:szCs w:val="24"/>
              </w:rPr>
              <w:t>GB/T 23986-2009</w:t>
            </w:r>
          </w:p>
          <w:p>
            <w:pPr>
              <w:widowControl/>
              <w:jc w:val="center"/>
              <w:rPr>
                <w:rFonts w:eastAsia="仿宋"/>
                <w:color w:val="000000"/>
                <w:sz w:val="24"/>
                <w:szCs w:val="24"/>
              </w:rPr>
            </w:pPr>
            <w:r>
              <w:rPr>
                <w:rFonts w:eastAsia="仿宋"/>
                <w:color w:val="000000"/>
                <w:sz w:val="24"/>
                <w:szCs w:val="24"/>
              </w:rPr>
              <w:t>GB/T 23985-2009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81" w:type="dxa"/>
            <w:noWrap/>
            <w:vAlign w:val="center"/>
          </w:tcPr>
          <w:p>
            <w:pPr>
              <w:snapToGrid w:val="0"/>
              <w:spacing w:line="300" w:lineRule="exact"/>
              <w:jc w:val="center"/>
              <w:rPr>
                <w:rFonts w:eastAsia="仿宋"/>
                <w:color w:val="000000"/>
                <w:sz w:val="24"/>
                <w:szCs w:val="24"/>
              </w:rPr>
            </w:pPr>
            <w:r>
              <w:rPr>
                <w:rFonts w:eastAsia="仿宋"/>
                <w:color w:val="000000"/>
                <w:sz w:val="24"/>
                <w:szCs w:val="24"/>
              </w:rPr>
              <w:t>2</w:t>
            </w:r>
          </w:p>
        </w:tc>
        <w:tc>
          <w:tcPr>
            <w:tcW w:w="3405" w:type="dxa"/>
            <w:noWrap/>
            <w:vAlign w:val="center"/>
          </w:tcPr>
          <w:p>
            <w:pPr>
              <w:snapToGrid w:val="0"/>
              <w:spacing w:line="300" w:lineRule="exact"/>
              <w:jc w:val="center"/>
              <w:rPr>
                <w:rFonts w:eastAsia="仿宋"/>
                <w:color w:val="000000"/>
                <w:sz w:val="24"/>
                <w:szCs w:val="24"/>
              </w:rPr>
            </w:pPr>
            <w:r>
              <w:rPr>
                <w:rFonts w:eastAsia="仿宋"/>
                <w:color w:val="000000"/>
                <w:sz w:val="24"/>
                <w:szCs w:val="24"/>
              </w:rPr>
              <w:t>甲醛含量</w:t>
            </w:r>
          </w:p>
        </w:tc>
        <w:tc>
          <w:tcPr>
            <w:tcW w:w="1995" w:type="dxa"/>
            <w:vMerge w:val="continue"/>
            <w:noWrap/>
            <w:vAlign w:val="center"/>
          </w:tcPr>
          <w:p>
            <w:pPr>
              <w:pStyle w:val="3"/>
              <w:jc w:val="center"/>
              <w:rPr>
                <w:rFonts w:ascii="Times New Roman" w:hAnsi="Times New Roman" w:eastAsia="仿宋"/>
                <w:color w:val="000000"/>
                <w:sz w:val="24"/>
                <w:szCs w:val="24"/>
              </w:rPr>
            </w:pPr>
          </w:p>
        </w:tc>
        <w:tc>
          <w:tcPr>
            <w:tcW w:w="2401" w:type="dxa"/>
            <w:noWrap/>
            <w:vAlign w:val="center"/>
          </w:tcPr>
          <w:p>
            <w:pPr>
              <w:jc w:val="center"/>
              <w:rPr>
                <w:rFonts w:eastAsia="仿宋"/>
                <w:color w:val="000000"/>
                <w:sz w:val="24"/>
                <w:szCs w:val="24"/>
              </w:rPr>
            </w:pPr>
            <w:r>
              <w:rPr>
                <w:rFonts w:eastAsia="仿宋"/>
                <w:color w:val="000000"/>
                <w:sz w:val="24"/>
                <w:szCs w:val="24"/>
              </w:rPr>
              <w:t>GB/T 23993-2009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81" w:type="dxa"/>
            <w:noWrap/>
            <w:vAlign w:val="center"/>
          </w:tcPr>
          <w:p>
            <w:pPr>
              <w:snapToGrid w:val="0"/>
              <w:spacing w:line="300" w:lineRule="exact"/>
              <w:jc w:val="center"/>
              <w:rPr>
                <w:rFonts w:eastAsia="仿宋"/>
                <w:color w:val="000000"/>
                <w:sz w:val="24"/>
                <w:szCs w:val="24"/>
              </w:rPr>
            </w:pPr>
            <w:r>
              <w:rPr>
                <w:rFonts w:eastAsia="仿宋"/>
                <w:color w:val="000000"/>
                <w:sz w:val="24"/>
                <w:szCs w:val="24"/>
              </w:rPr>
              <w:t>3</w:t>
            </w:r>
          </w:p>
        </w:tc>
        <w:tc>
          <w:tcPr>
            <w:tcW w:w="3405" w:type="dxa"/>
            <w:noWrap/>
            <w:vAlign w:val="center"/>
          </w:tcPr>
          <w:p>
            <w:pPr>
              <w:snapToGrid w:val="0"/>
              <w:spacing w:line="300" w:lineRule="exact"/>
              <w:jc w:val="center"/>
              <w:rPr>
                <w:rFonts w:eastAsia="仿宋"/>
                <w:color w:val="000000"/>
                <w:sz w:val="24"/>
                <w:szCs w:val="24"/>
              </w:rPr>
            </w:pPr>
            <w:r>
              <w:rPr>
                <w:rFonts w:eastAsia="仿宋"/>
                <w:color w:val="000000"/>
                <w:sz w:val="24"/>
                <w:szCs w:val="24"/>
              </w:rPr>
              <w:t>苯系物含量</w:t>
            </w:r>
          </w:p>
        </w:tc>
        <w:tc>
          <w:tcPr>
            <w:tcW w:w="1995" w:type="dxa"/>
            <w:vMerge w:val="continue"/>
            <w:noWrap/>
            <w:vAlign w:val="center"/>
          </w:tcPr>
          <w:p>
            <w:pPr>
              <w:pStyle w:val="3"/>
              <w:jc w:val="center"/>
              <w:rPr>
                <w:rFonts w:ascii="Times New Roman" w:hAnsi="Times New Roman" w:eastAsia="仿宋"/>
                <w:color w:val="000000"/>
                <w:sz w:val="24"/>
                <w:szCs w:val="24"/>
              </w:rPr>
            </w:pPr>
          </w:p>
        </w:tc>
        <w:tc>
          <w:tcPr>
            <w:tcW w:w="2401" w:type="dxa"/>
            <w:noWrap/>
            <w:vAlign w:val="center"/>
          </w:tcPr>
          <w:p>
            <w:pPr>
              <w:jc w:val="center"/>
              <w:rPr>
                <w:rFonts w:eastAsia="仿宋"/>
                <w:color w:val="000000"/>
                <w:sz w:val="24"/>
                <w:szCs w:val="24"/>
              </w:rPr>
            </w:pPr>
            <w:r>
              <w:rPr>
                <w:rFonts w:eastAsia="仿宋"/>
                <w:color w:val="000000"/>
                <w:sz w:val="24"/>
                <w:szCs w:val="24"/>
              </w:rPr>
              <w:t>GB/T 23990-2009</w:t>
            </w:r>
          </w:p>
        </w:tc>
      </w:tr>
    </w:tbl>
    <w:p>
      <w:pPr>
        <w:spacing w:line="520" w:lineRule="exact"/>
        <w:ind w:firstLine="560"/>
        <w:rPr>
          <w:rFonts w:eastAsia="仿宋_GB2312"/>
          <w:bCs/>
          <w:color w:val="000000"/>
          <w:sz w:val="32"/>
          <w:szCs w:val="32"/>
        </w:rPr>
      </w:pPr>
      <w:r>
        <w:rPr>
          <w:rFonts w:hint="eastAsia" w:ascii="仿宋_GB2312" w:hAnsi="仿宋_GB2312" w:eastAsia="仿宋_GB2312" w:cs="仿宋_GB2312"/>
          <w:sz w:val="32"/>
          <w:szCs w:val="32"/>
        </w:rPr>
        <w:t>凡是注日期的文件，其随后所有的修改单（不包括勘误的内容）或修订版不适用于本细则。凡是不注日期的文件，其最新版本适用于本细则。</w:t>
      </w:r>
    </w:p>
    <w:p>
      <w:pPr>
        <w:spacing w:line="570" w:lineRule="exact"/>
        <w:ind w:firstLine="640" w:firstLineChars="200"/>
        <w:rPr>
          <w:rFonts w:ascii="黑体" w:hAnsi="黑体" w:eastAsia="黑体"/>
          <w:sz w:val="32"/>
          <w:szCs w:val="32"/>
        </w:rPr>
      </w:pPr>
      <w:r>
        <w:rPr>
          <w:rFonts w:hint="eastAsia" w:ascii="黑体" w:hAnsi="黑体" w:eastAsia="黑体"/>
          <w:sz w:val="32"/>
          <w:szCs w:val="32"/>
        </w:rPr>
        <w:t>4.判定规则</w:t>
      </w:r>
    </w:p>
    <w:p>
      <w:pPr>
        <w:spacing w:line="570" w:lineRule="exact"/>
        <w:ind w:firstLine="642" w:firstLineChars="200"/>
        <w:rPr>
          <w:rFonts w:ascii="楷体" w:hAnsi="楷体" w:eastAsia="楷体"/>
          <w:b/>
          <w:bCs/>
          <w:kern w:val="0"/>
          <w:sz w:val="32"/>
          <w:szCs w:val="32"/>
          <w:shd w:val="clear" w:color="auto" w:fill="FFFFFF"/>
        </w:rPr>
      </w:pPr>
      <w:r>
        <w:rPr>
          <w:rFonts w:hint="eastAsia" w:ascii="楷体" w:hAnsi="楷体" w:eastAsia="楷体" w:cs="方正仿宋_GBK"/>
          <w:b/>
          <w:bCs/>
          <w:sz w:val="32"/>
          <w:szCs w:val="32"/>
        </w:rPr>
        <w:t>4.1依据标准</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GB 18581-2020《木器涂料中有害物质限量》</w:t>
      </w:r>
    </w:p>
    <w:p>
      <w:pPr>
        <w:spacing w:line="520" w:lineRule="exact"/>
        <w:ind w:firstLine="640" w:firstLineChars="200"/>
        <w:rPr>
          <w:rFonts w:ascii="仿宋_GB2312" w:hAnsi="仿宋_GB2312" w:eastAsia="仿宋_GB2312" w:cs="仿宋_GB2312"/>
          <w:color w:val="FF0000"/>
          <w:sz w:val="32"/>
          <w:szCs w:val="32"/>
        </w:rPr>
      </w:pPr>
      <w:r>
        <w:rPr>
          <w:rFonts w:hint="eastAsia" w:ascii="仿宋_GB2312" w:hAnsi="仿宋_GB2312" w:eastAsia="仿宋_GB2312" w:cs="仿宋_GB2312"/>
          <w:sz w:val="32"/>
          <w:szCs w:val="32"/>
        </w:rPr>
        <w:t>GB 18582-2020</w:t>
      </w:r>
      <w:r>
        <w:rPr>
          <w:rFonts w:hint="eastAsia" w:ascii="仿宋_GB2312" w:hAnsi="仿宋_GB2312" w:eastAsia="仿宋_GB2312" w:cs="仿宋_GB2312"/>
          <w:color w:val="000000" w:themeColor="text1"/>
          <w:sz w:val="32"/>
          <w:szCs w:val="32"/>
        </w:rPr>
        <w:t>《建筑用墙面涂料中有害物质限量》</w:t>
      </w:r>
    </w:p>
    <w:p>
      <w:pPr>
        <w:spacing w:line="520" w:lineRule="exact"/>
        <w:ind w:firstLine="560"/>
        <w:rPr>
          <w:rFonts w:eastAsia="仿宋_GB2312"/>
          <w:sz w:val="32"/>
          <w:szCs w:val="32"/>
        </w:rPr>
      </w:pPr>
      <w:r>
        <w:rPr>
          <w:rFonts w:ascii="仿宋_GB2312" w:hAnsi="仿宋_GB2312" w:eastAsia="仿宋_GB2312" w:cs="仿宋_GB2312"/>
          <w:sz w:val="32"/>
          <w:szCs w:val="32"/>
        </w:rPr>
        <w:t>经备案现行有效</w:t>
      </w:r>
      <w:r>
        <w:rPr>
          <w:rFonts w:eastAsia="仿宋_GB2312"/>
          <w:sz w:val="32"/>
          <w:szCs w:val="32"/>
        </w:rPr>
        <w:t>的企业标准及产品明示质量要求</w:t>
      </w:r>
    </w:p>
    <w:p>
      <w:pPr>
        <w:spacing w:line="520" w:lineRule="exact"/>
        <w:ind w:firstLine="560"/>
        <w:rPr>
          <w:rFonts w:eastAsia="仿宋_GB2312"/>
          <w:sz w:val="32"/>
          <w:szCs w:val="32"/>
        </w:rPr>
      </w:pPr>
      <w:r>
        <w:rPr>
          <w:rFonts w:eastAsia="仿宋_GB2312"/>
          <w:sz w:val="32"/>
          <w:szCs w:val="32"/>
        </w:rPr>
        <w:t>相关法律法规、部门规章和规范</w:t>
      </w:r>
    </w:p>
    <w:p>
      <w:pPr>
        <w:spacing w:line="570" w:lineRule="exact"/>
        <w:ind w:firstLine="642" w:firstLineChars="200"/>
        <w:rPr>
          <w:rFonts w:ascii="楷体_GB2312" w:hAnsi="楷体" w:eastAsia="楷体_GB2312" w:cs="方正仿宋_GBK"/>
          <w:b/>
          <w:sz w:val="32"/>
          <w:szCs w:val="32"/>
        </w:rPr>
      </w:pPr>
      <w:r>
        <w:rPr>
          <w:rFonts w:hint="eastAsia" w:ascii="楷体_GB2312" w:hAnsi="楷体" w:eastAsia="楷体_GB2312" w:cs="方正仿宋_GBK"/>
          <w:b/>
          <w:sz w:val="32"/>
          <w:szCs w:val="32"/>
        </w:rPr>
        <w:t>4.2判定原则</w:t>
      </w:r>
    </w:p>
    <w:p>
      <w:pPr>
        <w:spacing w:line="570" w:lineRule="exact"/>
        <w:ind w:firstLine="640" w:firstLineChars="200"/>
        <w:rPr>
          <w:rFonts w:ascii="仿宋_GB2312" w:hAnsi="仿宋" w:eastAsia="仿宋_GB2312"/>
          <w:bCs/>
          <w:kern w:val="0"/>
          <w:sz w:val="32"/>
          <w:szCs w:val="32"/>
        </w:rPr>
      </w:pPr>
      <w:r>
        <w:rPr>
          <w:rFonts w:hint="eastAsia" w:ascii="仿宋_GB2312" w:hAnsi="仿宋" w:eastAsia="仿宋_GB2312"/>
          <w:bCs/>
          <w:kern w:val="0"/>
          <w:sz w:val="32"/>
          <w:szCs w:val="32"/>
        </w:rPr>
        <w:t>经检验，检验项目全部合格，判定为被抽查产品所检项目未发现不合格；检验项目中任一项或一项以上不合格，判定为被抽查产品不合格。</w:t>
      </w:r>
    </w:p>
    <w:p>
      <w:pPr>
        <w:spacing w:line="570" w:lineRule="exact"/>
        <w:ind w:firstLine="640" w:firstLineChars="200"/>
        <w:rPr>
          <w:rFonts w:ascii="仿宋_GB2312" w:hAnsi="仿宋" w:eastAsia="仿宋_GB2312"/>
          <w:bCs/>
          <w:kern w:val="0"/>
          <w:sz w:val="32"/>
          <w:szCs w:val="32"/>
        </w:rPr>
      </w:pPr>
      <w:r>
        <w:rPr>
          <w:rFonts w:hint="eastAsia" w:ascii="仿宋_GB2312" w:hAnsi="仿宋" w:eastAsia="仿宋_GB2312"/>
          <w:bCs/>
          <w:kern w:val="0"/>
          <w:sz w:val="32"/>
          <w:szCs w:val="32"/>
        </w:rPr>
        <w:t>若被检产品明示的质量要求高于本细则中检验项目依据的标准要求时，应按被检产品明示的质量要求判定。</w:t>
      </w:r>
    </w:p>
    <w:p>
      <w:pPr>
        <w:spacing w:line="570" w:lineRule="exact"/>
        <w:ind w:firstLine="640" w:firstLineChars="200"/>
        <w:rPr>
          <w:rFonts w:ascii="仿宋_GB2312" w:hAnsi="仿宋" w:eastAsia="仿宋_GB2312"/>
          <w:bCs/>
          <w:kern w:val="0"/>
          <w:sz w:val="32"/>
          <w:szCs w:val="32"/>
        </w:rPr>
      </w:pPr>
      <w:r>
        <w:rPr>
          <w:rFonts w:hint="eastAsia" w:ascii="仿宋_GB2312" w:hAnsi="仿宋" w:eastAsia="仿宋_GB2312"/>
          <w:bCs/>
          <w:kern w:val="0"/>
          <w:sz w:val="32"/>
          <w:szCs w:val="32"/>
        </w:rPr>
        <w:t>若被检产品明示的质量要求低于本细则中检验项目依据的强制性标准要求时，应按照强制性标准要求判定。</w:t>
      </w:r>
    </w:p>
    <w:p>
      <w:pPr>
        <w:spacing w:line="570" w:lineRule="exact"/>
        <w:ind w:firstLine="640" w:firstLineChars="200"/>
        <w:rPr>
          <w:rFonts w:ascii="仿宋_GB2312" w:hAnsi="仿宋" w:eastAsia="仿宋_GB2312"/>
          <w:bCs/>
          <w:kern w:val="0"/>
          <w:sz w:val="32"/>
          <w:szCs w:val="32"/>
        </w:rPr>
      </w:pPr>
      <w:r>
        <w:rPr>
          <w:rFonts w:hint="eastAsia" w:ascii="仿宋_GB2312" w:hAnsi="仿宋" w:eastAsia="仿宋_GB2312"/>
          <w:bCs/>
          <w:kern w:val="0"/>
          <w:sz w:val="32"/>
          <w:szCs w:val="32"/>
        </w:rPr>
        <w:t>若被检产品明示的质量要求低于或包含本细则中检验项目依据的推荐性标准要求时，应以被检产品明示的质量要求判定。</w:t>
      </w:r>
    </w:p>
    <w:p>
      <w:pPr>
        <w:spacing w:line="570" w:lineRule="exact"/>
        <w:ind w:firstLine="640" w:firstLineChars="200"/>
        <w:rPr>
          <w:rFonts w:ascii="仿宋_GB2312" w:hAnsi="仿宋" w:eastAsia="仿宋_GB2312"/>
          <w:bCs/>
          <w:kern w:val="0"/>
          <w:sz w:val="32"/>
          <w:szCs w:val="32"/>
        </w:rPr>
      </w:pPr>
      <w:r>
        <w:rPr>
          <w:rFonts w:hint="eastAsia" w:ascii="仿宋_GB2312" w:hAnsi="仿宋" w:eastAsia="仿宋_GB2312"/>
          <w:bCs/>
          <w:kern w:val="0"/>
          <w:sz w:val="32"/>
          <w:szCs w:val="32"/>
        </w:rPr>
        <w:t>若被检产品明示的质量要求缺少本细则中检验项目依据的强制性标准要求时，应按照强制性标准要求判定。</w:t>
      </w:r>
    </w:p>
    <w:p>
      <w:pPr>
        <w:spacing w:line="570" w:lineRule="exact"/>
        <w:ind w:firstLine="640" w:firstLineChars="200"/>
        <w:rPr>
          <w:rFonts w:ascii="仿宋_GB2312" w:hAnsi="仿宋" w:eastAsia="仿宋_GB2312"/>
          <w:bCs/>
          <w:kern w:val="0"/>
          <w:sz w:val="32"/>
          <w:szCs w:val="32"/>
        </w:rPr>
      </w:pPr>
      <w:r>
        <w:rPr>
          <w:rFonts w:hint="eastAsia" w:ascii="仿宋_GB2312" w:hAnsi="仿宋" w:eastAsia="仿宋_GB2312"/>
          <w:bCs/>
          <w:kern w:val="0"/>
          <w:sz w:val="32"/>
          <w:szCs w:val="32"/>
        </w:rPr>
        <w:t>若被检产品明示的质量要求缺少本细则中检验项目依据的推荐性标准要求时，该项目不参与判定。</w:t>
      </w:r>
    </w:p>
    <w:p>
      <w:pPr>
        <w:spacing w:line="570" w:lineRule="exact"/>
        <w:ind w:firstLine="640" w:firstLineChars="200"/>
        <w:rPr>
          <w:rFonts w:ascii="黑体" w:hAnsi="黑体" w:eastAsia="黑体"/>
          <w:sz w:val="32"/>
          <w:szCs w:val="32"/>
        </w:rPr>
      </w:pPr>
      <w:r>
        <w:rPr>
          <w:rFonts w:hint="eastAsia" w:ascii="黑体" w:hAnsi="黑体" w:eastAsia="黑体"/>
          <w:sz w:val="32"/>
          <w:szCs w:val="32"/>
        </w:rPr>
        <w:t>5.异议处理</w:t>
      </w:r>
    </w:p>
    <w:p>
      <w:pPr>
        <w:spacing w:line="570" w:lineRule="exact"/>
        <w:ind w:firstLine="640" w:firstLineChars="200"/>
        <w:rPr>
          <w:rFonts w:ascii="仿宋_GB2312" w:eastAsia="仿宋_GB2312"/>
          <w:bCs/>
          <w:color w:val="000000"/>
          <w:sz w:val="32"/>
          <w:szCs w:val="32"/>
        </w:rPr>
      </w:pPr>
      <w:r>
        <w:rPr>
          <w:rFonts w:hint="eastAsia" w:eastAsia="方正仿宋_GBK"/>
          <w:sz w:val="32"/>
          <w:szCs w:val="32"/>
        </w:rPr>
        <w:t>5.1</w:t>
      </w:r>
      <w:r>
        <w:rPr>
          <w:rFonts w:hint="eastAsia" w:ascii="仿宋_GB2312" w:eastAsia="仿宋_GB2312"/>
          <w:bCs/>
          <w:color w:val="000000"/>
          <w:sz w:val="32"/>
          <w:szCs w:val="32"/>
        </w:rPr>
        <w:t>对监督抽查程序有异议的，由任务下达部门核查相关证据后维持或者撤销原检验结果。</w:t>
      </w:r>
    </w:p>
    <w:p>
      <w:pPr>
        <w:spacing w:line="570" w:lineRule="exact"/>
        <w:ind w:firstLine="640" w:firstLineChars="200"/>
        <w:rPr>
          <w:rFonts w:ascii="仿宋_GB2312" w:eastAsia="仿宋_GB2312"/>
          <w:bCs/>
          <w:color w:val="000000"/>
          <w:sz w:val="32"/>
          <w:szCs w:val="32"/>
        </w:rPr>
      </w:pPr>
      <w:r>
        <w:rPr>
          <w:rFonts w:hint="eastAsia" w:eastAsia="方正仿宋_GBK"/>
          <w:sz w:val="32"/>
          <w:szCs w:val="32"/>
        </w:rPr>
        <w:t>5.2</w:t>
      </w:r>
      <w:r>
        <w:rPr>
          <w:rFonts w:hint="eastAsia" w:ascii="仿宋_GB2312" w:eastAsia="仿宋_GB2312"/>
          <w:bCs/>
          <w:color w:val="000000"/>
          <w:sz w:val="32"/>
          <w:szCs w:val="32"/>
        </w:rPr>
        <w:t>对检验结果有异议的，任务下达部门核查相关证据，能够证明原检验结果准确的，维持原检验结果；不能证明原检验结果准确，需要进行复检的，由任务下达部门指定复检机构进行复检，复检结果为本次监督抽查最终结论。</w:t>
      </w:r>
    </w:p>
    <w:p>
      <w:pPr>
        <w:spacing w:line="520" w:lineRule="exact"/>
        <w:ind w:firstLine="560"/>
        <w:rPr>
          <w:rFonts w:eastAsia="仿宋_GB2312"/>
          <w:bCs/>
          <w:color w:val="000000"/>
          <w:sz w:val="32"/>
          <w:szCs w:val="32"/>
        </w:rPr>
      </w:pPr>
      <w:r>
        <w:rPr>
          <w:rFonts w:hint="eastAsia" w:eastAsia="方正仿宋_GBK"/>
          <w:sz w:val="32"/>
          <w:szCs w:val="32"/>
        </w:rPr>
        <w:t>5.3</w:t>
      </w:r>
      <w:r>
        <w:rPr>
          <w:rFonts w:hint="eastAsia" w:ascii="仿宋_GB2312" w:eastAsia="仿宋_GB2312"/>
          <w:bCs/>
          <w:color w:val="000000"/>
          <w:sz w:val="32"/>
          <w:szCs w:val="32"/>
        </w:rPr>
        <w:t>对样品信息有异议的，任务下达部门核查样品确认情况和生产企业提交证明材料后，维持或者撤销原检验结果。</w:t>
      </w:r>
    </w:p>
    <w:p/>
    <w:sectPr>
      <w:headerReference r:id="rId3" w:type="default"/>
      <w:footerReference r:id="rId4" w:type="default"/>
      <w:footerReference r:id="rId5" w:type="even"/>
      <w:pgSz w:w="11906" w:h="16838"/>
      <w:pgMar w:top="2098" w:right="1531" w:bottom="1985" w:left="1531"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altName w:val="汉仪中等线B5"/>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汉仪中等线B5"/>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Courier New">
    <w:altName w:val="DejaVu Sans"/>
    <w:panose1 w:val="02070309020205020404"/>
    <w:charset w:val="00"/>
    <w:family w:val="modern"/>
    <w:pitch w:val="default"/>
    <w:sig w:usb0="00000000" w:usb1="00000000" w:usb2="00000009" w:usb3="00000000" w:csb0="000001FF" w:csb1="00000000"/>
  </w:font>
  <w:font w:name="方正小标宋简体">
    <w:panose1 w:val="02000000000000000000"/>
    <w:charset w:val="86"/>
    <w:family w:val="script"/>
    <w:pitch w:val="default"/>
    <w:sig w:usb0="A00002BF" w:usb1="184F6CFA" w:usb2="00000012" w:usb3="00000000" w:csb0="00040001" w:csb1="00000000"/>
  </w:font>
  <w:font w:name="方正小标宋_GBK">
    <w:panose1 w:val="02000000000000000000"/>
    <w:charset w:val="86"/>
    <w:family w:val="auto"/>
    <w:pitch w:val="default"/>
    <w:sig w:usb0="00000001" w:usb1="08000000" w:usb2="00000000" w:usb3="00000000" w:csb0="00040000" w:csb1="00000000"/>
  </w:font>
  <w:font w:name="仿宋_GB2312">
    <w:altName w:val="方正仿宋_GBK"/>
    <w:panose1 w:val="02010609030101010101"/>
    <w:charset w:val="86"/>
    <w:family w:val="modern"/>
    <w:pitch w:val="default"/>
    <w:sig w:usb0="00000000" w:usb1="00000000" w:usb2="00000010" w:usb3="00000000" w:csb0="00040000" w:csb1="0000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楷体">
    <w:altName w:val="方正楷体_GBK"/>
    <w:panose1 w:val="02010609060101010101"/>
    <w:charset w:val="86"/>
    <w:family w:val="modern"/>
    <w:pitch w:val="default"/>
    <w:sig w:usb0="00000000" w:usb1="00000000" w:usb2="00000016" w:usb3="00000000" w:csb0="00040001" w:csb1="00000000"/>
  </w:font>
  <w:font w:name="方正楷体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楷体_GB2312">
    <w:altName w:val="方正楷体_GBK"/>
    <w:panose1 w:val="02010609030101010101"/>
    <w:charset w:val="86"/>
    <w:family w:val="modern"/>
    <w:pitch w:val="default"/>
    <w:sig w:usb0="00000000" w:usb1="00000000" w:usb2="00000010" w:usb3="00000000" w:csb0="00040000" w:csb1="00000000"/>
  </w:font>
  <w:font w:name="Liberation Serif">
    <w:panose1 w:val="02020603050405020304"/>
    <w:charset w:val="00"/>
    <w:family w:val="auto"/>
    <w:pitch w:val="default"/>
    <w:sig w:usb0="A00002AF" w:usb1="500078FB" w:usb2="00000000" w:usb3="00000000" w:csb0="6000009F" w:csb1="DFD70000"/>
  </w:font>
  <w:font w:name="汉仪中等线B5">
    <w:panose1 w:val="0101010401010101010B"/>
    <w:charset w:val="86"/>
    <w:family w:val="auto"/>
    <w:pitch w:val="default"/>
    <w:sig w:usb0="800000A3" w:usb1="00497878"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
    </w:sdtPr>
    <w:sdtContent>
      <w:p>
        <w:pPr>
          <w:pStyle w:val="5"/>
          <w:jc w:val="center"/>
        </w:pPr>
        <w:r>
          <w:fldChar w:fldCharType="begin"/>
        </w:r>
        <w:r>
          <w:instrText xml:space="preserve">PAGE   \* MERGEFORMAT</w:instrText>
        </w:r>
        <w:r>
          <w:fldChar w:fldCharType="separate"/>
        </w:r>
        <w:r>
          <w:rPr>
            <w:lang w:val="zh-CN"/>
          </w:rPr>
          <w:t>1</w:t>
        </w:r>
        <w: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9"/>
      </w:rPr>
    </w:pPr>
    <w:r>
      <w:fldChar w:fldCharType="begin"/>
    </w:r>
    <w:r>
      <w:rPr>
        <w:rStyle w:val="9"/>
      </w:rPr>
      <w:instrText xml:space="preserve">PAGE  </w:instrText>
    </w:r>
    <w:r>
      <w:fldChar w:fldCharType="end"/>
    </w:r>
  </w:p>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C84B35"/>
    <w:rsid w:val="00121391"/>
    <w:rsid w:val="003023FB"/>
    <w:rsid w:val="00415C62"/>
    <w:rsid w:val="0044658B"/>
    <w:rsid w:val="00690C22"/>
    <w:rsid w:val="006B3470"/>
    <w:rsid w:val="007F0C7D"/>
    <w:rsid w:val="008D4DFC"/>
    <w:rsid w:val="00AC7C28"/>
    <w:rsid w:val="00C71654"/>
    <w:rsid w:val="00C84B35"/>
    <w:rsid w:val="00CB249B"/>
    <w:rsid w:val="00E47251"/>
    <w:rsid w:val="02F1381E"/>
    <w:rsid w:val="0658541F"/>
    <w:rsid w:val="26217406"/>
    <w:rsid w:val="26FA1357"/>
    <w:rsid w:val="2EF17782"/>
    <w:rsid w:val="3AAF0E20"/>
    <w:rsid w:val="607D2157"/>
    <w:rsid w:val="64202F75"/>
    <w:rsid w:val="72A353BE"/>
    <w:rsid w:val="7BC875C2"/>
    <w:rsid w:val="F59F1D63"/>
    <w:rsid w:val="F95DDE1E"/>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unhideWhenUsed/>
    <w:qFormat/>
    <w:uiPriority w:val="99"/>
    <w:pPr>
      <w:spacing w:after="120"/>
      <w:ind w:left="420" w:leftChars="200"/>
    </w:pPr>
  </w:style>
  <w:style w:type="paragraph" w:styleId="3">
    <w:name w:val="Plain Text"/>
    <w:basedOn w:val="1"/>
    <w:qFormat/>
    <w:uiPriority w:val="0"/>
    <w:rPr>
      <w:rFonts w:ascii="宋体" w:hAnsi="Courier New"/>
      <w:szCs w:val="21"/>
    </w:rPr>
  </w:style>
  <w:style w:type="paragraph" w:styleId="4">
    <w:name w:val="Balloon Text"/>
    <w:basedOn w:val="1"/>
    <w:link w:val="11"/>
    <w:qFormat/>
    <w:uiPriority w:val="0"/>
    <w:rPr>
      <w:sz w:val="18"/>
      <w:szCs w:val="18"/>
    </w:rPr>
  </w:style>
  <w:style w:type="paragraph" w:styleId="5">
    <w:name w:val="footer"/>
    <w:basedOn w:val="1"/>
    <w:qFormat/>
    <w:uiPriority w:val="99"/>
    <w:pPr>
      <w:tabs>
        <w:tab w:val="center" w:pos="4153"/>
        <w:tab w:val="right" w:pos="8306"/>
      </w:tabs>
      <w:snapToGrid w:val="0"/>
      <w:jc w:val="left"/>
    </w:pPr>
    <w:rPr>
      <w:sz w:val="18"/>
    </w:rPr>
  </w:style>
  <w:style w:type="paragraph" w:styleId="6">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character" w:styleId="9">
    <w:name w:val="page number"/>
    <w:qFormat/>
    <w:uiPriority w:val="0"/>
  </w:style>
  <w:style w:type="character" w:styleId="10">
    <w:name w:val="Emphasis"/>
    <w:basedOn w:val="8"/>
    <w:qFormat/>
    <w:uiPriority w:val="0"/>
    <w:rPr>
      <w:i/>
    </w:rPr>
  </w:style>
  <w:style w:type="character" w:customStyle="1" w:styleId="11">
    <w:name w:val="批注框文本 Char"/>
    <w:basedOn w:val="8"/>
    <w:link w:val="4"/>
    <w:qFormat/>
    <w:uiPriority w:val="0"/>
    <w:rPr>
      <w:rFonts w:ascii="Times New Roman" w:hAnsi="Times New Roman" w:eastAsia="宋体" w:cs="Times New Roman"/>
      <w:kern w:val="2"/>
      <w:sz w:val="18"/>
      <w:szCs w:val="18"/>
    </w:rPr>
  </w:style>
  <w:style w:type="character" w:customStyle="1" w:styleId="12">
    <w:name w:val="15"/>
    <w:basedOn w:val="8"/>
    <w:qFormat/>
    <w:uiPriority w:val="0"/>
    <w:rPr>
      <w:rFonts w:hint="default" w:ascii="Times New Roman" w:hAnsi="Times New Roman" w:cs="Times New Roma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222</Words>
  <Characters>1272</Characters>
  <Lines>10</Lines>
  <Paragraphs>2</Paragraphs>
  <TotalTime>6</TotalTime>
  <ScaleCrop>false</ScaleCrop>
  <LinksUpToDate>false</LinksUpToDate>
  <CharactersWithSpaces>1492</CharactersWithSpaces>
  <Application>WPS Office_11.8.2.11717_F1E327BC-269C-435d-A152-05C5408002CA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2025-05-14T23:54:00Z</dcterms:created>
  <dc:creator>hp</dc:creator>
  <cp:lastModifiedBy>kylin</cp:lastModifiedBy>
  <dcterms:modified xsi:type="dcterms:W3CDTF">2026-03-24T10:39:27Z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2052-11.8.2.11717</vt:lpwstr>
  </property>
  <property fmtid="{D5CDD505-2E9C-101B-9397-08002B2CF9AE}" pid="3" name="KSOTemplateDocerSaveRecord">
    <vt:lpwstr>eyJoZGlkIjoiM2FhMjdkYTQxNTU4NDM0MzQ1MDEyN2E5Y2EyYjhkN2UiLCJ1c2VySWQiOiIzMzMwMjk3MjQifQ==</vt:lpwstr>
  </property>
  <property fmtid="{D5CDD505-2E9C-101B-9397-08002B2CF9AE}" pid="4" name="ICV">
    <vt:lpwstr>E85F6F0233B14FA39A971CF0EF5E6957_13</vt:lpwstr>
  </property>
</Properties>
</file>