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14:paraId="5E8F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14:paraId="6582E28E">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14:paraId="53321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14:paraId="1DE75410">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2026年度</w:t>
              <w:br w:type="textWrapping"/>
              <w:t/>
            </w:r>
            <w:r>
              <w:rPr>
                <w:b w:val="on"/>
                <w:rFonts w:ascii="宋体" w:eastAsia="宋体" w:hAnsi="宋体" w:cs="宋体"/>
                <w:sz w:val="52"/>
                <w:u w:color="auto"/>
              </w:rPr>
              <w:t>常州市河道湖泊管理处</w:t>
            </w:r>
            <w:r>
              <w:rPr>
                <w:b w:val="on"/>
                <w:rFonts w:ascii="宋体" w:eastAsia="宋体" w:hAnsi="宋体" w:cs="宋体"/>
                <w:sz w:val="52"/>
                <w:u w:color="auto"/>
              </w:rPr>
              <w:t xml:space="preserve"></w:t>
              <w:br w:type="textWrapping"/>
              <w:t>单位预算公开</w:t>
            </w:r>
            <w:r>
              <w:rPr>
                <w:b w:val="on"/>
                <w:rFonts w:ascii="宋体" w:eastAsia="宋体" w:hAnsi="宋体" w:cs="宋体"/>
                <w:sz w:val="52"/>
                <w:u w:color="auto"/>
              </w:rPr>
              <w:t/>
            </w:r>
            <w:r>
              <w:rPr>
                <w:b w:val="on"/>
                <w:rFonts w:ascii="宋体" w:eastAsia="宋体" w:hAnsi="宋体" w:cs="宋体"/>
                <w:sz w:val="52"/>
                <w:u w:color="auto"/>
              </w:rPr>
              <w:t/>
            </w:r>
          </w:p>
        </w:tc>
      </w:tr>
    </w:tbl>
    <w:p w14:paraId="14897ACB">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14:paraId="6AEB147C">
      <w:pPr>
        <w:pStyle w:val="8"/>
        <w:spacing w:before="4" w:after="0"/>
        <w:rPr>
          <w:rFonts w:ascii="华文仿宋" w:hAnsi="华文仿宋" w:eastAsia="华文仿宋" w:cs="仿宋"/>
          <w:sz w:val="10"/>
        </w:rPr>
      </w:pPr>
    </w:p>
    <w:p w14:paraId="739D6A77">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5499024E">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14:paraId="63325B0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14:paraId="502DA453">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14:paraId="658D6902">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14:paraId="552D6E10">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2026</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14:paraId="2B33D14A">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2026</w:t>
      </w:r>
      <w:r>
        <w:rPr>
          <w:rFonts w:hint="eastAsia" w:ascii="仿宋" w:hAnsi="仿宋" w:eastAsia="仿宋" w:cs="仿宋"/>
          <w:b/>
          <w:bCs/>
          <w:lang w:val="en-US" w:eastAsia="zh-CN"/>
          <w:u/>
        </w:rPr>
        <w:t>年度</w:t>
      </w:r>
      <w:r>
        <w:rPr>
          <w:b w:val="on"/>
          <w:rFonts w:ascii="仿宋" w:eastAsia="仿宋" w:hAnsi="仿宋" w:cs="仿宋"/>
          <w:u w:color="auto"/>
        </w:rPr>
        <w:t>单位</w:t>
      </w:r>
      <w:r>
        <w:rPr>
          <w:b w:val="on"/>
          <w:rFonts w:ascii="仿宋" w:eastAsia="仿宋" w:hAnsi="仿宋" w:cs="仿宋"/>
          <w:u w:color="auto"/>
        </w:rPr>
        <w:t>预算表</w:t>
      </w:r>
    </w:p>
    <w:p w14:paraId="697B2D1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14:paraId="21CD196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14:paraId="2D83067C">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14:paraId="4366880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14:paraId="5F8EC72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14:paraId="60D3009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14:paraId="6CA016C6">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14:paraId="54387C9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14:paraId="79124BC0">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14:paraId="31E56A9B">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14:paraId="58E1B9C8">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14:paraId="5D5451FF">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14:paraId="0C8D450D">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14:paraId="2B2329B3">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2026</w:t>
      </w:r>
      <w:r>
        <w:rPr>
          <w:rFonts w:hint="eastAsia" w:ascii="仿宋" w:hAnsi="仿宋" w:eastAsia="仿宋" w:cs="仿宋"/>
          <w:b/>
          <w:bCs/>
          <w:color w:val="000000"/>
          <w:sz w:val="30"/>
          <w:szCs w:val="30"/>
          <w:lang w:val="en-US" w:bidi="ar"/>
          <w:u/>
        </w:rPr>
        <w:t>年度</w:t>
      </w:r>
      <w:r>
        <w:rPr>
          <w:b w:val="on"/>
          <w:color w:val="000000"/>
          <w:rFonts w:ascii="仿宋" w:eastAsia="仿宋" w:hAnsi="仿宋" w:cs="仿宋"/>
          <w:sz w:val="30"/>
          <w:u w:color="auto"/>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14:paraId="17567B92">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14:paraId="3626083D">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14:paraId="62BECF84">
      <w:pPr>
        <w:pStyle w:val="8"/>
        <w:spacing w:before="1" w:after="0"/>
        <w:rPr>
          <w:rFonts w:ascii="华文仿宋" w:hAnsi="华文仿宋" w:eastAsia="华文仿宋" w:cs="仿宋"/>
          <w:sz w:val="14"/>
        </w:rPr>
      </w:pPr>
    </w:p>
    <w:p w14:paraId="6E02EF27">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14:paraId="596E3451">
      <w:pPr>
        <w:ind w:right="504" w:rightChars="229"/>
        <w:jc w:val="both"/>
        <w:rPr>
          <w:rFonts w:hint="eastAsia"/>
        </w:rPr>
      </w:pPr>
    </w:p>
    <w:p w14:paraId="4E0400A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（一）承担市管河道岸线及相关设施的长效管理、日常维护等工作。</w:t>
      </w:r>
      <w:r>
        <w:rPr>
          <w:rFonts w:ascii="仿宋" w:eastAsia="仿宋" w:hAnsi="仿宋" w:cs="仿宋"/>
          <w:u w:color="auto"/>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（二）承担市级水旱灾害防御物资储备调运以及市级防汛机动抢险的日常管理工作。</w:t>
      </w:r>
      <w:r>
        <w:rPr>
          <w:rFonts w:ascii="仿宋" w:eastAsia="仿宋" w:hAnsi="仿宋" w:cs="仿宋"/>
          <w:u w:color="auto"/>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（三）承担全市河湖长制事务性工作，参与相关监督和考核。</w:t>
      </w:r>
      <w:r>
        <w:rPr>
          <w:rFonts w:ascii="仿宋" w:eastAsia="仿宋" w:hAnsi="仿宋" w:cs="仿宋"/>
          <w:u w:color="auto"/>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（四）承担市管水利工程建设质量和安全生产监督的具体事务性。工作，参与相关事故调查；参与常州市水利工程建设从业单位行业监管工作。</w:t>
      </w:r>
      <w:r>
        <w:rPr>
          <w:rFonts w:ascii="仿宋" w:eastAsia="仿宋" w:hAnsi="仿宋" w:cs="仿宋"/>
          <w:u w:color="auto"/>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（五）负责市管河道管理范围内涉河建设项目前期调查、资料预审，承担涉河建设许可项目事中、事后监管的具体事务性工作。</w:t>
      </w:r>
      <w:r>
        <w:rPr>
          <w:rFonts w:ascii="仿宋" w:eastAsia="仿宋" w:hAnsi="仿宋" w:cs="仿宋"/>
          <w:u w:color="auto"/>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（六）承担全市水利工程运行管理、河道管理、移民后扶项目的监督检查的具体工作。负责河湖管理（保护）范围涉水违法违章的前期调查工作，配合办理河湖水行政违法案件。</w:t>
      </w:r>
      <w:r>
        <w:rPr>
          <w:rFonts w:ascii="仿宋" w:eastAsia="仿宋" w:hAnsi="仿宋" w:cs="仿宋"/>
          <w:u w:color="auto"/>
        </w:rPr>
        <w:t/>
      </w:r>
    </w:p>
    <w:p w14:paraId="7751453F">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（七）承办上级交办的其他任务。</w:t>
      </w:r>
      <w:r>
        <w:rPr>
          <w:rFonts w:ascii="仿宋" w:eastAsia="仿宋" w:hAnsi="仿宋" w:cs="仿宋"/>
          <w:u w:color="auto"/>
        </w:rPr>
        <w:t/>
      </w:r>
    </w:p>
    <w:p w14:paraId="6B17DDCD">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u/>
        </w:rPr>
        <w:t>二、</w:t>
      </w:r>
      <w:r>
        <w:rPr>
          <w:b w:val="on"/>
          <w:rFonts w:ascii="仿宋" w:eastAsia="仿宋" w:hAnsi="仿宋" w:cs="仿宋"/>
          <w:u w:color="auto"/>
        </w:rPr>
        <w:t>单位</w:t>
      </w:r>
      <w:r>
        <w:rPr>
          <w:rFonts w:hint="eastAsia" w:ascii="仿宋" w:hAnsi="仿宋" w:eastAsia="仿宋" w:cs="仿宋"/>
          <w:b/>
          <w:bCs/>
        </w:rPr>
        <w:t>机构设置及预算单位构成情况</w:t>
      </w:r>
    </w:p>
    <w:p w14:paraId="77273F30">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综合科、财务科、长效管护科、应急保障科、河湖长制工作科、质量监管科、安全监管科、河湖管理科。</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17E355E1">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2026</w:t>
      </w:r>
      <w:r>
        <w:rPr>
          <w:rFonts w:hint="eastAsia" w:ascii="仿宋" w:hAnsi="仿宋" w:eastAsia="仿宋" w:cs="仿宋"/>
          <w:b/>
          <w:bCs/>
          <w:u/>
        </w:rPr>
        <w:t>年度</w:t>
      </w:r>
      <w:r>
        <w:rPr>
          <w:b w:val="on"/>
          <w:rFonts w:ascii="仿宋" w:eastAsia="仿宋" w:hAnsi="仿宋" w:cs="仿宋"/>
          <w:u w:color="auto"/>
        </w:rPr>
        <w:t>单位</w:t>
      </w:r>
      <w:r>
        <w:rPr>
          <w:b w:val="on"/>
          <w:rFonts w:ascii="仿宋" w:eastAsia="仿宋" w:hAnsi="仿宋" w:cs="仿宋"/>
          <w:u w:color="auto"/>
        </w:rPr>
        <w:t>主要工作任务及目标</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2026年，市河湖处将立足新起点，围绕“党建强基、科研攻坚、智慧赋能、应急保障、质安提效、联动治理”六大方向再“提升”，推动河湖管理再上新台阶。</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（一）党建固基、融合共进，提升品牌建设硬实力</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是做优支部建设。严格落实组织生活制度，优化党员发展与管理机制，推进“省文明单位”申报和“四强党支部”创建；二是做强“亲清”品牌。结合“世界水日”“中国水周”开展专题宣传，深化“红色联盟”共建机制，加强与跨部门、跨领域党组织的协作联动；三是做深“河湖大讲堂”。将习近平总书记治水重要论述纳入核心课程，积极响应财政新政策下的要求和目标，聚焦重点任务，丰富课堂形式，鼓励业务骨干、先进个人登台分享，发挥党员先锋模范作用，推动党建与业务深度融合。</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（二）科研攻坚、成果转化，提升河湖管理支撑力</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是突出科技引领。市河湖处将围绕河湖治理提质增效目标，聚焦湖泊沉水植物恢复优先区识别技术、河道智能拦截设施、河湖水利设施形变监测应用研究、无人机及影像智能识别与研判技术等四项科技项目；二是强化科技赋能。市河湖处将依据相关科技项目，计划形成技术方案、设备平台、示范应用、专利、参数标准等多元成果，并加速科研与治理实践深度融合，全面提升河湖管理智慧化、精细化水平，为河湖管理提供强有力的科技支撑；三是聚焦重点管控。利用科研成果，充分发挥无人机巡检等优势，实现多类涉河问题智能预警，依法依规开展涉河项目监管，进一步落实河湖岸线管控职责，营造良好水事秩序。</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（三）严抓监管、深化协调，提升长效管护治理力</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持续深化市河长效管护工作，推进水域环境稳步提质。一是严抓监管补短板。聚焦重点难点河段，加密管护巡查频次，强化项目全流程精细化管理，提升管护质效。二是深化协调提质效。主动联动上下游、左右岸管护主体，对外凝聚协同治理合力，对内优化资源统筹调配，构建一体化管护格局。三是创新驱动强作为。聚焦保洁船升级改造、漂浮物智能拦截设备研发应用等关键环节，以技术创新实现节能降耗、提质增效。</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（四）物资筑基、队伍砺刃，提升防汛应急保障力</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建强物资保障体系，定期开展应急设备运维，保证设备工况良好；推动市级储备库信息化平台运用，实现物资“动态盘点、智能预警、精准调度”；确保关键时刻物资调得出、用得上。锻造专业抢险队伍，通过购买服务的方式，储备各类专业技术人员，组建市级防汛抢险队伍；开展实战化演练，强化移动泵车及新购设备等操作技能训练，提升极端天气下快速响应、科学处置能力，筑牢河湖安澜防线。</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（五）规范引领、协同监管，提升质量安全监管力</w:t>
      </w:r>
      <w:r>
        <w:rPr>
          <w:rFonts w:ascii="仿宋" w:eastAsia="仿宋" w:hAnsi="仿宋" w:cs="仿宋"/>
          <w:u w:color="auto"/>
        </w:rPr>
        <w:t/>
      </w:r>
    </w:p>
    <w:p w14:paraId="62EF1CDE">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谋划构建“规范引领+技术赋能+全域协同”的水利工程质安现代化监管体系。深化省级质量监督规范编制成果的应用，全面提升监管能力；强化检测经费使用，优化“市级全覆盖、区级重点抽样”飞行检查模式，监管专业机构以数据强化监管，抓实飞检精准性；实施监管能力提升工程，通过业务培训、联合监督、技术帮扶等举措，织密市—区协同网络，推动问题闭环整改，全面提升监管效能。</w:t>
      </w:r>
      <w:r>
        <w:rPr>
          <w:rFonts w:ascii="仿宋" w:eastAsia="仿宋" w:hAnsi="仿宋" w:cs="仿宋"/>
          <w:u w:color="auto"/>
        </w:rPr>
        <w:t/>
      </w:r>
    </w:p>
    <w:p w14:paraId="60B181B9">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22ACF442">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14:paraId="272DDB3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2D8EBC2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6F080D4">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79DBE682">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4341A017">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1DCEEF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14:paraId="67D7F2C8">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14:paraId="2C05E6B0">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2026</w:t>
      </w:r>
      <w:r>
        <w:rPr>
          <w:rFonts w:hint="eastAsia" w:ascii="仿宋" w:hAnsi="仿宋" w:eastAsia="仿宋" w:cs="仿宋"/>
          <w:b/>
          <w:bCs/>
          <w:sz w:val="44"/>
          <w:szCs w:val="44"/>
        </w:rPr>
        <w:t>年度</w:t>
      </w:r>
    </w:p>
    <w:p w14:paraId="199236A4">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常州市河道湖泊管理处</w:t>
      </w:r>
    </w:p>
    <w:p w14:paraId="341EDBD7">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u/>
        </w:rPr>
        <w:t>单位</w:t>
      </w:r>
      <w:r>
        <w:rPr>
          <w:b w:val="on"/>
          <w:rFonts w:ascii="仿宋" w:eastAsia="仿宋" w:hAnsi="仿宋" w:cs="仿宋"/>
          <w:sz w:val="44"/>
          <w:u w:color="auto"/>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14:paraId="6B843739">
        <w:tblPrEx>
          <w:tblCellMar>
            <w:top w:w="0" w:type="dxa"/>
            <w:left w:w="108" w:type="dxa"/>
            <w:bottom w:w="0" w:type="dxa"/>
            <w:right w:w="108" w:type="dxa"/>
          </w:tblCellMar>
        </w:tblPrEx>
        <w:trPr>
          <w:trHeight w:val="116" w:hRule="atLeast"/>
          <w:jc w:val="center"/>
        </w:trPr>
        <w:tc>
          <w:tcPr>
            <w:tcW w:w="11329" w:type="dxa"/>
            <w:gridSpan w:val="5"/>
            <w:vAlign w:val="center"/>
          </w:tcPr>
          <w:p w14:paraId="702297EC">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14:paraId="1764F984">
        <w:tblPrEx>
          <w:tblCellMar>
            <w:top w:w="0" w:type="dxa"/>
            <w:left w:w="108" w:type="dxa"/>
            <w:bottom w:w="0" w:type="dxa"/>
            <w:right w:w="108" w:type="dxa"/>
          </w:tblCellMar>
        </w:tblPrEx>
        <w:trPr>
          <w:trHeight w:val="348" w:hRule="atLeast"/>
          <w:jc w:val="center"/>
        </w:trPr>
        <w:tc>
          <w:tcPr>
            <w:tcW w:w="11329" w:type="dxa"/>
            <w:gridSpan w:val="5"/>
          </w:tcPr>
          <w:p w14:paraId="5C8D19CF">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14:paraId="24120ED6">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14:paraId="0821509B">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color w:val="000000"/>
                <w:sz w:val="22"/>
                <w:szCs w:val="22"/>
                <w:lang w:eastAsia="ar-SA"/>
              </w:rPr>
              <w:t>常州市河道湖泊管理处</w:t>
            </w:r>
          </w:p>
        </w:tc>
        <w:tc>
          <w:tcPr>
            <w:tcW w:w="1848" w:type="dxa"/>
            <w:gridSpan w:val="2"/>
            <w:tcBorders>
              <w:bottom w:val="single" w:color="000000" w:sz="4" w:space="0"/>
            </w:tcBorders>
            <w:vAlign w:val="center"/>
          </w:tcPr>
          <w:p w14:paraId="23651FFA">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14:paraId="3702B088">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14:paraId="3FD8F87B">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14:paraId="54A7E373">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14:paraId="1F1A563E">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454410D">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14:paraId="4A579FD4">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FF373DD">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14:paraId="6220095F">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1,703.96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1.54</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20.80</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1,317.63</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363.99</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2325378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C2522FE">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14:paraId="6F350C37">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A4A6E1F">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D00A2CD">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14:paraId="1F33EBB7">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017926F">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38DEB73F">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1,703.96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6DD57B8">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6382C9F7">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1,703.96</w:t>
            </w:r>
          </w:p>
        </w:tc>
      </w:tr>
      <w:tr w14:paraId="329AFA72">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4C8D4B2">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14:paraId="3E159CD5">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FC60096">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14:paraId="3704249E">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14:paraId="76EB94B8">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0222249">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4BCA5632">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1,703.96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97845E3">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5365208F">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1,703.96</w:t>
            </w:r>
          </w:p>
        </w:tc>
      </w:tr>
    </w:tbl>
    <w:p w14:paraId="6C3B3BB7">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14:paraId="38C4B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6B2E0BE6">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14:paraId="2F2C6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1E7DD5A7">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331B0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14:paraId="2E442F95">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14:paraId="64D72F53">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14:paraId="6835C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4B3A1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E94BD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97B8B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9015C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DBFDD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14:paraId="352CE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69B3E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824EB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72CFE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45D3E8">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9D190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F7B0A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C7D35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6CBF6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C8E72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14:paraId="15E05519">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443B4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F201C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EDF3CD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52065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14:paraId="7B512B5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B67ED2">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CFAAE3">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A0283C">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C79A7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28A4F5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208089B">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14:paraId="1760D3ED">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14:paraId="6B813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512FF8">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4F33B9">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1,703.96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E495F1">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1,703.96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05EBDD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1,703.96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7CD33D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732720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7C9D9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42198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ABB5A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7091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7A95074">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76769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D17D0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0118DB">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973A8F">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67099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E9FE47">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8CAED8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14:paraId="02F58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D051D5">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037004</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B5AA96">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常州市河道湖泊管理处</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77FF9A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1,703.96</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F45F0D">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1,703.96</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87E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1,703.96</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AF5C20">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53B2AC">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D0D17A">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3FFE4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F3458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0197A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38FC55">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E6E66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A7023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D981E2">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ADB0A8">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CE0663">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C8FB7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6ECA86">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14:paraId="05EA3505">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14:paraId="44611C65">
        <w:tblPrEx>
          <w:tblCellMar>
            <w:top w:w="55" w:type="dxa"/>
            <w:left w:w="55" w:type="dxa"/>
            <w:bottom w:w="55" w:type="dxa"/>
            <w:right w:w="55" w:type="dxa"/>
          </w:tblCellMar>
        </w:tblPrEx>
        <w:trPr>
          <w:trHeight w:val="341" w:hRule="atLeast"/>
        </w:trPr>
        <w:tc>
          <w:tcPr>
            <w:tcW w:w="15347" w:type="dxa"/>
            <w:gridSpan w:val="8"/>
            <w:vAlign w:val="center"/>
          </w:tcPr>
          <w:p w14:paraId="7061346E">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14:paraId="30701D2B">
        <w:tblPrEx>
          <w:tblCellMar>
            <w:top w:w="55" w:type="dxa"/>
            <w:left w:w="55" w:type="dxa"/>
            <w:bottom w:w="55" w:type="dxa"/>
            <w:right w:w="55" w:type="dxa"/>
          </w:tblCellMar>
        </w:tblPrEx>
        <w:trPr>
          <w:trHeight w:val="321" w:hRule="atLeast"/>
        </w:trPr>
        <w:tc>
          <w:tcPr>
            <w:tcW w:w="15347" w:type="dxa"/>
            <w:gridSpan w:val="8"/>
            <w:vAlign w:val="center"/>
          </w:tcPr>
          <w:p w14:paraId="314D5A46">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14:paraId="51B21317">
        <w:tblPrEx>
          <w:tblCellMar>
            <w:top w:w="55" w:type="dxa"/>
            <w:left w:w="55" w:type="dxa"/>
            <w:bottom w:w="55" w:type="dxa"/>
            <w:right w:w="55" w:type="dxa"/>
          </w:tblCellMar>
        </w:tblPrEx>
        <w:trPr>
          <w:trHeight w:val="218" w:hRule="atLeast"/>
        </w:trPr>
        <w:tc>
          <w:tcPr>
            <w:tcW w:w="12030" w:type="dxa"/>
            <w:gridSpan w:val="6"/>
            <w:vAlign w:val="center"/>
          </w:tcPr>
          <w:p w14:paraId="73FF8091">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3317" w:type="dxa"/>
            <w:gridSpan w:val="2"/>
            <w:vAlign w:val="center"/>
          </w:tcPr>
          <w:p w14:paraId="232D1AB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7A36CF1">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14:paraId="4A31811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14:paraId="0470B43A">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14:paraId="4035FCF0">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14:paraId="6DEB6C4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14:paraId="5D483D2D">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14:paraId="2C083FE1">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14:paraId="2282AC79">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14:paraId="4EC4AC47">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14:paraId="7275282F">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14:paraId="2436251E">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14:paraId="26D30828">
            <w:pPr>
              <w:pStyle w:val="22"/>
              <w:widowControl w:val="0"/>
              <w:jc w:val="center"/>
              <w:rPr>
                <w:rFonts w:hint="eastAsia" w:ascii="仿宋" w:hAnsi="仿宋" w:eastAsia="仿宋" w:cs="仿宋"/>
                <w:sz w:val="22"/>
                <w:szCs w:val="22"/>
              </w:rPr>
            </w:pPr>
            <w:r>
              <w:rPr>
                <w:rFonts w:hint="eastAsia" w:ascii="仿宋" w:hAnsi="仿宋" w:eastAsia="仿宋" w:cs="仿宋"/>
                <w:sz w:val="22"/>
                <w:szCs w:val="22"/>
                <w:u/>
              </w:rPr>
              <w:t/>
            </w:r>
            <w:r>
              <w:rPr>
                <w:rFonts w:ascii="仿宋" w:eastAsia="仿宋" w:hAnsi="仿宋" w:cs="仿宋"/>
                <w:sz w:val="22"/>
                <w:u w:color="auto"/>
              </w:rPr>
              <w:t>合计</w:t>
            </w:r>
          </w:p>
        </w:tc>
        <w:tc>
          <w:tcPr>
            <w:tcW w:w="1920" w:type="dxa"/>
            <w:tcBorders>
              <w:left w:val="single" w:color="000000" w:sz="4" w:space="0"/>
              <w:bottom w:val="single" w:color="000000" w:sz="4" w:space="0"/>
            </w:tcBorders>
            <w:vAlign w:val="center"/>
          </w:tcPr>
          <w:p w14:paraId="0B5646C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1,703.96</w:t>
            </w:r>
          </w:p>
        </w:tc>
        <w:tc>
          <w:tcPr>
            <w:tcW w:w="1714" w:type="dxa"/>
            <w:tcBorders>
              <w:left w:val="single" w:color="000000" w:sz="4" w:space="0"/>
              <w:bottom w:val="single" w:color="000000" w:sz="4" w:space="0"/>
            </w:tcBorders>
            <w:vAlign w:val="center"/>
          </w:tcPr>
          <w:p w14:paraId="7AC1DCF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1,506.58</w:t>
            </w:r>
          </w:p>
        </w:tc>
        <w:tc>
          <w:tcPr>
            <w:tcW w:w="1749" w:type="dxa"/>
            <w:tcBorders>
              <w:left w:val="single" w:color="000000" w:sz="4" w:space="0"/>
              <w:bottom w:val="single" w:color="000000" w:sz="4" w:space="0"/>
            </w:tcBorders>
            <w:vAlign w:val="center"/>
          </w:tcPr>
          <w:p w14:paraId="3D172D4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197.38</w:t>
            </w:r>
          </w:p>
        </w:tc>
        <w:tc>
          <w:tcPr>
            <w:tcW w:w="1868" w:type="dxa"/>
            <w:tcBorders>
              <w:left w:val="single" w:color="000000" w:sz="4" w:space="0"/>
              <w:bottom w:val="single" w:color="000000" w:sz="4" w:space="0"/>
            </w:tcBorders>
            <w:vAlign w:val="center"/>
          </w:tcPr>
          <w:p w14:paraId="2CBEB3F2">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14:paraId="0456E32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14:paraId="725A005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1,317.63</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1,120.25</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197.38</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1,317.63</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1,120.25</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197.38</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1,317.63</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1,120.25</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197.38</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98.80</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98.80</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140.38</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140.38</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18E2B30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B96CBEC">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14:paraId="2A3ABE8B">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14:paraId="1235623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124.81</w:t>
            </w:r>
          </w:p>
        </w:tc>
        <w:tc>
          <w:tcPr>
            <w:tcW w:w="1714" w:type="dxa"/>
            <w:tcBorders>
              <w:top w:val="single" w:color="000000" w:sz="4" w:space="0"/>
              <w:left w:val="single" w:color="000000" w:sz="4" w:space="0"/>
              <w:bottom w:val="single" w:color="000000" w:sz="4" w:space="0"/>
              <w:right w:val="single" w:color="000000" w:sz="4" w:space="0"/>
            </w:tcBorders>
          </w:tcPr>
          <w:p w14:paraId="4306DCC4">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124.81</w:t>
            </w:r>
          </w:p>
        </w:tc>
        <w:tc>
          <w:tcPr>
            <w:tcW w:w="1749" w:type="dxa"/>
            <w:tcBorders>
              <w:top w:val="single" w:color="000000" w:sz="4" w:space="0"/>
              <w:left w:val="single" w:color="000000" w:sz="4" w:space="0"/>
              <w:bottom w:val="single" w:color="000000" w:sz="4" w:space="0"/>
              <w:right w:val="single" w:color="000000" w:sz="4" w:space="0"/>
            </w:tcBorders>
          </w:tcPr>
          <w:p w14:paraId="2DAFC3E0">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14:paraId="45A8172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14:paraId="26224AB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14:paraId="1E770A4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14:paraId="6F47FE99">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14:paraId="76E67744">
        <w:tblPrEx>
          <w:tblCellMar>
            <w:top w:w="55" w:type="dxa"/>
            <w:left w:w="55" w:type="dxa"/>
            <w:bottom w:w="55" w:type="dxa"/>
            <w:right w:w="55" w:type="dxa"/>
          </w:tblCellMar>
        </w:tblPrEx>
        <w:trPr>
          <w:trHeight w:val="319" w:hRule="atLeast"/>
        </w:trPr>
        <w:tc>
          <w:tcPr>
            <w:tcW w:w="15789" w:type="dxa"/>
            <w:gridSpan w:val="4"/>
          </w:tcPr>
          <w:p w14:paraId="62E867CC">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14:paraId="1820DDA8">
        <w:tblPrEx>
          <w:tblCellMar>
            <w:top w:w="55" w:type="dxa"/>
            <w:left w:w="55" w:type="dxa"/>
            <w:bottom w:w="55" w:type="dxa"/>
            <w:right w:w="55" w:type="dxa"/>
          </w:tblCellMar>
        </w:tblPrEx>
        <w:trPr>
          <w:trHeight w:val="319" w:hRule="atLeast"/>
        </w:trPr>
        <w:tc>
          <w:tcPr>
            <w:tcW w:w="15789" w:type="dxa"/>
            <w:gridSpan w:val="4"/>
          </w:tcPr>
          <w:p w14:paraId="3FB28F56">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14:paraId="00B5EFFF">
        <w:tblPrEx>
          <w:tblCellMar>
            <w:top w:w="55" w:type="dxa"/>
            <w:left w:w="55" w:type="dxa"/>
            <w:bottom w:w="55" w:type="dxa"/>
            <w:right w:w="55" w:type="dxa"/>
          </w:tblCellMar>
        </w:tblPrEx>
        <w:trPr>
          <w:trHeight w:val="319" w:hRule="atLeast"/>
        </w:trPr>
        <w:tc>
          <w:tcPr>
            <w:tcW w:w="11890" w:type="dxa"/>
            <w:gridSpan w:val="3"/>
          </w:tcPr>
          <w:p w14:paraId="397DE508">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sz w:val="22"/>
                <w:szCs w:val="22"/>
              </w:rPr>
              <w:t>常州市河道湖泊管理处</w:t>
            </w:r>
          </w:p>
        </w:tc>
        <w:tc>
          <w:tcPr>
            <w:tcW w:w="3899" w:type="dxa"/>
            <w:vAlign w:val="center"/>
          </w:tcPr>
          <w:p w14:paraId="53F407E4">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14:paraId="78DBC8FC">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14:paraId="4627C4B5">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14:paraId="4ABF517F">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14:paraId="3B93835E">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14:paraId="3B46D60A">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u/>
              </w:rPr>
              <w:t/>
            </w:r>
            <w:r>
              <w:rPr>
                <w:b w:val="on"/>
                <w:rFonts w:ascii="仿宋" w:eastAsia="仿宋" w:hAnsi="仿宋" w:cs="仿宋"/>
                <w:sz w:val="22"/>
                <w:u w:color="auto"/>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14:paraId="39117F34">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14:paraId="360C3CE6">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14:paraId="0A0EBC85">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1,703.96</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1,703.96</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1,703.96</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1.54</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20.80</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1,317.63</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363.99</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441B6CF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4E1ABE6">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14:paraId="371EAB5E">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14:paraId="49E9F22B">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14:paraId="4480C3DB">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14:paraId="3F2BB7B5">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14:paraId="52476F76">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14:paraId="50DBCC23">
            <w:pPr>
              <w:widowControl w:val="0"/>
              <w:jc w:val="right"/>
              <w:rPr>
                <w:rFonts w:hint="eastAsia" w:ascii="仿宋" w:hAnsi="仿宋" w:eastAsia="仿宋" w:cs="仿宋"/>
                <w:sz w:val="22"/>
                <w:szCs w:val="22"/>
              </w:rPr>
            </w:pPr>
            <w:r>
              <w:rPr>
                <w:rFonts w:hint="eastAsia" w:ascii="仿宋" w:hAnsi="仿宋" w:eastAsia="仿宋" w:cs="仿宋"/>
                <w:sz w:val="22"/>
                <w:szCs w:val="22"/>
              </w:rPr>
              <w:t>1,703.96</w:t>
            </w:r>
          </w:p>
        </w:tc>
        <w:tc>
          <w:tcPr>
            <w:tcW w:w="3943" w:type="dxa"/>
            <w:tcBorders>
              <w:left w:val="single" w:color="000000" w:sz="4" w:space="0"/>
              <w:bottom w:val="single" w:color="000000" w:sz="4" w:space="0"/>
            </w:tcBorders>
            <w:vAlign w:val="center"/>
          </w:tcPr>
          <w:p w14:paraId="72FA9CBD">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14:paraId="0A3CBB07">
            <w:pPr>
              <w:widowControl w:val="0"/>
              <w:jc w:val="right"/>
              <w:rPr>
                <w:rFonts w:hint="eastAsia" w:ascii="仿宋" w:hAnsi="仿宋" w:eastAsia="仿宋" w:cs="仿宋"/>
                <w:sz w:val="22"/>
                <w:szCs w:val="22"/>
              </w:rPr>
            </w:pPr>
            <w:r>
              <w:rPr>
                <w:rFonts w:hint="eastAsia" w:ascii="仿宋" w:hAnsi="仿宋" w:eastAsia="仿宋" w:cs="仿宋"/>
                <w:sz w:val="22"/>
                <w:szCs w:val="22"/>
              </w:rPr>
              <w:t>1,703.96</w:t>
            </w:r>
          </w:p>
        </w:tc>
      </w:tr>
    </w:tbl>
    <w:p w14:paraId="18BF5FBD">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14:paraId="781504FE">
        <w:tblPrEx>
          <w:tblCellMar>
            <w:top w:w="55" w:type="dxa"/>
            <w:left w:w="55" w:type="dxa"/>
            <w:bottom w:w="55" w:type="dxa"/>
            <w:right w:w="55" w:type="dxa"/>
          </w:tblCellMar>
        </w:tblPrEx>
        <w:trPr>
          <w:trHeight w:val="321" w:hRule="atLeast"/>
        </w:trPr>
        <w:tc>
          <w:tcPr>
            <w:tcW w:w="15216" w:type="dxa"/>
            <w:gridSpan w:val="7"/>
            <w:vAlign w:val="center"/>
          </w:tcPr>
          <w:p w14:paraId="344B4167">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14:paraId="0DD1905D">
        <w:tblPrEx>
          <w:tblCellMar>
            <w:top w:w="55" w:type="dxa"/>
            <w:left w:w="55" w:type="dxa"/>
            <w:bottom w:w="55" w:type="dxa"/>
            <w:right w:w="55" w:type="dxa"/>
          </w:tblCellMar>
        </w:tblPrEx>
        <w:trPr>
          <w:trHeight w:val="321" w:hRule="atLeast"/>
        </w:trPr>
        <w:tc>
          <w:tcPr>
            <w:tcW w:w="15216" w:type="dxa"/>
            <w:gridSpan w:val="7"/>
          </w:tcPr>
          <w:p w14:paraId="3979B85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14:paraId="597F73CC">
        <w:tblPrEx>
          <w:tblCellMar>
            <w:top w:w="55" w:type="dxa"/>
            <w:left w:w="55" w:type="dxa"/>
            <w:bottom w:w="55" w:type="dxa"/>
            <w:right w:w="55" w:type="dxa"/>
          </w:tblCellMar>
        </w:tblPrEx>
        <w:trPr>
          <w:trHeight w:val="309" w:hRule="atLeast"/>
        </w:trPr>
        <w:tc>
          <w:tcPr>
            <w:tcW w:w="13552" w:type="dxa"/>
            <w:gridSpan w:val="6"/>
          </w:tcPr>
          <w:p w14:paraId="4FF30C2D">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1664" w:type="dxa"/>
            <w:vAlign w:val="center"/>
          </w:tcPr>
          <w:p w14:paraId="3A0AD504">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72EB53EE">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14:paraId="6B53EBEE">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14:paraId="596BB34A">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14:paraId="7309852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14:paraId="358079C4">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14:paraId="045615D7">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14:paraId="01EF94C3">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14:paraId="154AA0F0">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14:paraId="76900091">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14:paraId="3FA268C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14:paraId="5B38143E">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14:paraId="4C4F172F">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14:paraId="4F619415">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14:paraId="39AA244C">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14:paraId="40F8EE40">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14:paraId="702733D5">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14:paraId="04A5033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1,703.96</w:t>
            </w:r>
          </w:p>
        </w:tc>
        <w:tc>
          <w:tcPr>
            <w:tcW w:w="1827" w:type="dxa"/>
            <w:tcBorders>
              <w:left w:val="single" w:color="000000" w:sz="6" w:space="0"/>
              <w:bottom w:val="single" w:color="000000" w:sz="6" w:space="0"/>
            </w:tcBorders>
          </w:tcPr>
          <w:p w14:paraId="72125376">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1,506.58</w:t>
            </w:r>
          </w:p>
        </w:tc>
        <w:tc>
          <w:tcPr>
            <w:tcW w:w="1813" w:type="dxa"/>
            <w:tcBorders>
              <w:left w:val="single" w:color="000000" w:sz="6" w:space="0"/>
              <w:bottom w:val="single" w:color="000000" w:sz="6" w:space="0"/>
            </w:tcBorders>
          </w:tcPr>
          <w:p w14:paraId="21468739">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1,431.25</w:t>
            </w:r>
          </w:p>
        </w:tc>
        <w:tc>
          <w:tcPr>
            <w:tcW w:w="1813" w:type="dxa"/>
            <w:tcBorders>
              <w:left w:val="single" w:color="000000" w:sz="6" w:space="0"/>
              <w:bottom w:val="single" w:color="000000" w:sz="6" w:space="0"/>
            </w:tcBorders>
          </w:tcPr>
          <w:p w14:paraId="3253527E">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75.33</w:t>
            </w:r>
          </w:p>
        </w:tc>
        <w:tc>
          <w:tcPr>
            <w:tcW w:w="1664" w:type="dxa"/>
            <w:tcBorders>
              <w:left w:val="single" w:color="000000" w:sz="6" w:space="0"/>
              <w:bottom w:val="single" w:color="000000" w:sz="6" w:space="0"/>
              <w:right w:val="single" w:color="000000" w:sz="6" w:space="0"/>
            </w:tcBorders>
          </w:tcPr>
          <w:p w14:paraId="1DC734D5">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197.38</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20.80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20.80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20.80</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20.80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20.80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20.80</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20.80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20.80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20.80</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1,317.63</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1,120.25</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1,044.92</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75.33</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197.38</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1,317.63</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1,120.25</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1,044.92</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75.33</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197.38</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1,317.63</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1,120.25</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1,044.92</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75.33</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197.38</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363.99</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363.99</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363.99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363.99</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363.99</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363.99</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98.80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98.80</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98.80</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140.38</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140.38</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140.38</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14:paraId="079D0DE9">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089E7D5">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C66E0D8">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0EF794E0">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124.81</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7D1EF">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124.81</w:t>
            </w:r>
          </w:p>
        </w:tc>
        <w:tc>
          <w:tcPr>
            <w:tcW w:w="1813" w:type="dxa"/>
            <w:tcBorders>
              <w:top w:val="single" w:color="000000" w:sz="6" w:space="0"/>
              <w:left w:val="single" w:color="000000" w:sz="4" w:space="0"/>
              <w:bottom w:val="single" w:color="000000" w:sz="6" w:space="0"/>
              <w:right w:val="single" w:color="000000" w:sz="4" w:space="0"/>
            </w:tcBorders>
            <w:vAlign w:val="center"/>
          </w:tcPr>
          <w:p w14:paraId="7540CD41">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124.81</w:t>
            </w:r>
          </w:p>
        </w:tc>
        <w:tc>
          <w:tcPr>
            <w:tcW w:w="1813" w:type="dxa"/>
            <w:tcBorders>
              <w:top w:val="single" w:color="000000" w:sz="6" w:space="0"/>
              <w:left w:val="single" w:color="000000" w:sz="4" w:space="0"/>
              <w:bottom w:val="single" w:color="000000" w:sz="6" w:space="0"/>
              <w:right w:val="single" w:color="000000" w:sz="4" w:space="0"/>
            </w:tcBorders>
            <w:vAlign w:val="center"/>
          </w:tcPr>
          <w:p w14:paraId="3153665B">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14:paraId="5BB7162C">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14:paraId="6144A040">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0A669AC6">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14:paraId="6C9496A1">
        <w:tblPrEx>
          <w:tblCellMar>
            <w:top w:w="55" w:type="dxa"/>
            <w:left w:w="55" w:type="dxa"/>
            <w:bottom w:w="55" w:type="dxa"/>
            <w:right w:w="55" w:type="dxa"/>
          </w:tblCellMar>
        </w:tblPrEx>
        <w:trPr>
          <w:trHeight w:val="319" w:hRule="atLeast"/>
        </w:trPr>
        <w:tc>
          <w:tcPr>
            <w:tcW w:w="10817" w:type="dxa"/>
            <w:gridSpan w:val="5"/>
            <w:vAlign w:val="center"/>
          </w:tcPr>
          <w:p w14:paraId="5B4201F6">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14:paraId="16CF153D">
        <w:tblPrEx>
          <w:tblCellMar>
            <w:top w:w="55" w:type="dxa"/>
            <w:left w:w="55" w:type="dxa"/>
            <w:bottom w:w="55" w:type="dxa"/>
            <w:right w:w="55" w:type="dxa"/>
          </w:tblCellMar>
        </w:tblPrEx>
        <w:trPr>
          <w:trHeight w:val="319" w:hRule="atLeast"/>
        </w:trPr>
        <w:tc>
          <w:tcPr>
            <w:tcW w:w="10817" w:type="dxa"/>
            <w:gridSpan w:val="5"/>
          </w:tcPr>
          <w:p w14:paraId="2DF9A6DA">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14:paraId="61428C1F">
        <w:tblPrEx>
          <w:tblCellMar>
            <w:top w:w="55" w:type="dxa"/>
            <w:left w:w="55" w:type="dxa"/>
            <w:bottom w:w="55" w:type="dxa"/>
            <w:right w:w="55" w:type="dxa"/>
          </w:tblCellMar>
        </w:tblPrEx>
        <w:trPr>
          <w:trHeight w:val="319" w:hRule="atLeast"/>
        </w:trPr>
        <w:tc>
          <w:tcPr>
            <w:tcW w:w="8760" w:type="dxa"/>
            <w:gridSpan w:val="4"/>
          </w:tcPr>
          <w:p w14:paraId="5F7506DC">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sz w:val="22"/>
                <w:szCs w:val="22"/>
              </w:rPr>
              <w:t>常州市河道湖泊管理处</w:t>
            </w:r>
          </w:p>
        </w:tc>
        <w:tc>
          <w:tcPr>
            <w:tcW w:w="2057" w:type="dxa"/>
            <w:vAlign w:val="center"/>
          </w:tcPr>
          <w:p w14:paraId="6C4E20D2">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22FFB9C6">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14:paraId="02A4A69D">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14:paraId="3A654AB3">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14:paraId="3135FA81">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14:paraId="20B4517E">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14:paraId="0810D023">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7B983408">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15CA38C0">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14:paraId="1888E2CD">
            <w:pPr>
              <w:pStyle w:val="22"/>
              <w:widowControl w:val="0"/>
              <w:jc w:val="center"/>
              <w:rPr>
                <w:rFonts w:hint="eastAsia" w:ascii="仿宋" w:hAnsi="仿宋" w:eastAsia="仿宋" w:cs="仿宋"/>
              </w:rPr>
            </w:pPr>
            <w:r>
              <w:rPr>
                <w:rFonts w:hint="eastAsia" w:ascii="仿宋" w:hAnsi="仿宋" w:eastAsia="仿宋" w:cs="仿宋"/>
              </w:rPr>
              <w:t>公用经费</w:t>
            </w:r>
          </w:p>
        </w:tc>
      </w:tr>
      <w:tr w14:paraId="39E08D31">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14:paraId="2046E541">
            <w:pPr>
              <w:pStyle w:val="22"/>
              <w:widowControl w:val="0"/>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0DAA66E4">
            <w:pPr>
              <w:pStyle w:val="22"/>
              <w:widowControl w:val="0"/>
              <w:jc w:val="right"/>
              <w:rPr>
                <w:rFonts w:hint="eastAsia" w:ascii="仿宋" w:hAnsi="仿宋" w:eastAsia="仿宋" w:cs="仿宋"/>
              </w:rPr>
            </w:pPr>
            <w:r>
              <w:rPr>
                <w:rFonts w:hint="eastAsia" w:ascii="仿宋" w:hAnsi="仿宋" w:eastAsia="仿宋" w:cs="仿宋"/>
              </w:rPr>
              <w:t>1,506.58</w:t>
            </w:r>
          </w:p>
        </w:tc>
        <w:tc>
          <w:tcPr>
            <w:tcW w:w="2040" w:type="dxa"/>
            <w:tcBorders>
              <w:left w:val="single" w:color="000000" w:sz="4" w:space="0"/>
              <w:bottom w:val="single" w:color="000000" w:sz="4" w:space="0"/>
            </w:tcBorders>
            <w:vAlign w:val="center"/>
          </w:tcPr>
          <w:p w14:paraId="544608F4">
            <w:pPr>
              <w:pStyle w:val="22"/>
              <w:widowControl w:val="0"/>
              <w:jc w:val="right"/>
              <w:rPr>
                <w:rFonts w:hint="eastAsia" w:ascii="仿宋" w:hAnsi="仿宋" w:eastAsia="仿宋" w:cs="仿宋"/>
              </w:rPr>
            </w:pPr>
            <w:r>
              <w:rPr>
                <w:rFonts w:hint="eastAsia" w:ascii="仿宋" w:hAnsi="仿宋" w:eastAsia="仿宋" w:cs="仿宋"/>
              </w:rPr>
              <w:t>1,431.25</w:t>
            </w:r>
          </w:p>
        </w:tc>
        <w:tc>
          <w:tcPr>
            <w:tcW w:w="2057" w:type="dxa"/>
            <w:tcBorders>
              <w:left w:val="single" w:color="000000" w:sz="4" w:space="0"/>
              <w:bottom w:val="single" w:color="000000" w:sz="4" w:space="0"/>
              <w:right w:val="single" w:color="000000" w:sz="4" w:space="0"/>
            </w:tcBorders>
            <w:vAlign w:val="center"/>
          </w:tcPr>
          <w:p w14:paraId="4F5B871A">
            <w:pPr>
              <w:pStyle w:val="22"/>
              <w:widowControl w:val="0"/>
              <w:jc w:val="right"/>
              <w:rPr>
                <w:rFonts w:hint="eastAsia" w:ascii="仿宋" w:hAnsi="仿宋" w:eastAsia="仿宋" w:cs="仿宋"/>
              </w:rPr>
            </w:pPr>
            <w:r>
              <w:rPr>
                <w:rFonts w:hint="eastAsia" w:ascii="仿宋" w:hAnsi="仿宋" w:eastAsia="仿宋" w:cs="仿宋"/>
              </w:rPr>
              <w:t>75.33</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1,352.67</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1,352.67</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243.91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243.91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191.01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191.01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295.06</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295.06</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286.95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286.95</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117.75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117.75</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58.87</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58.87</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36.61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36.61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20.80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20.80</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2.91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2.91</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98.80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98.80</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75.33</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75.33</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16.20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16.20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2.25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2.25</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5.85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5.85</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36.00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36.00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4.05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4.05</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1.80</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1.80</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1.35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1.35</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6.75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6.75</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1.08</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1.08</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78.58</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78.58</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75.72</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75.72</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1.26</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1.26</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0.05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0.05</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r w14:paraId="0BB3218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3A70F6">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EF729E">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988FE79">
            <w:pPr>
              <w:pStyle w:val="22"/>
              <w:widowControl w:val="0"/>
              <w:jc w:val="right"/>
              <w:rPr>
                <w:rFonts w:hint="eastAsia" w:ascii="仿宋" w:hAnsi="仿宋" w:eastAsia="仿宋" w:cs="仿宋"/>
              </w:rPr>
            </w:pPr>
            <w:r>
              <w:rPr>
                <w:rFonts w:hint="eastAsia" w:ascii="仿宋" w:hAnsi="仿宋" w:eastAsia="仿宋" w:cs="仿宋"/>
              </w:rPr>
              <w:t>1.55</w:t>
            </w:r>
          </w:p>
        </w:tc>
        <w:tc>
          <w:tcPr>
            <w:tcW w:w="2040" w:type="dxa"/>
            <w:tcBorders>
              <w:top w:val="single" w:color="000000" w:sz="4" w:space="0"/>
              <w:left w:val="single" w:color="000000" w:sz="4" w:space="0"/>
              <w:bottom w:val="single" w:color="000000" w:sz="4" w:space="0"/>
              <w:right w:val="single" w:color="000000" w:sz="4" w:space="0"/>
            </w:tcBorders>
            <w:vAlign w:val="center"/>
          </w:tcPr>
          <w:p w14:paraId="03C532EC">
            <w:pPr>
              <w:pStyle w:val="22"/>
              <w:widowControl w:val="0"/>
              <w:jc w:val="right"/>
              <w:rPr>
                <w:rFonts w:hint="eastAsia" w:ascii="仿宋" w:hAnsi="仿宋" w:eastAsia="仿宋" w:cs="仿宋"/>
              </w:rPr>
            </w:pPr>
            <w:r>
              <w:rPr>
                <w:rFonts w:hint="eastAsia" w:ascii="仿宋" w:hAnsi="仿宋" w:eastAsia="仿宋" w:cs="仿宋"/>
              </w:rPr>
              <w:t>1.55</w:t>
            </w:r>
          </w:p>
        </w:tc>
        <w:tc>
          <w:tcPr>
            <w:tcW w:w="2057" w:type="dxa"/>
            <w:tcBorders>
              <w:top w:val="single" w:color="000000" w:sz="4" w:space="0"/>
              <w:left w:val="single" w:color="000000" w:sz="4" w:space="0"/>
              <w:bottom w:val="single" w:color="000000" w:sz="4" w:space="0"/>
              <w:right w:val="single" w:color="000000" w:sz="4" w:space="0"/>
            </w:tcBorders>
            <w:vAlign w:val="center"/>
          </w:tcPr>
          <w:p w14:paraId="0ABBD53D">
            <w:pPr>
              <w:pStyle w:val="22"/>
              <w:widowControl w:val="0"/>
              <w:jc w:val="right"/>
              <w:rPr>
                <w:rFonts w:hint="eastAsia" w:ascii="仿宋" w:hAnsi="仿宋" w:eastAsia="仿宋" w:cs="仿宋"/>
              </w:rPr>
            </w:pPr>
            <w:r>
              <w:rPr>
                <w:rFonts w:hint="eastAsia" w:ascii="仿宋" w:hAnsi="仿宋" w:eastAsia="仿宋" w:cs="仿宋"/>
              </w:rPr>
              <w:t/>
            </w:r>
          </w:p>
        </w:tc>
      </w:tr>
    </w:tbl>
    <w:p w14:paraId="69219CD5">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14:paraId="494EE97C">
        <w:tblPrEx>
          <w:tblCellMar>
            <w:top w:w="55" w:type="dxa"/>
            <w:left w:w="55" w:type="dxa"/>
            <w:bottom w:w="55" w:type="dxa"/>
            <w:right w:w="55" w:type="dxa"/>
          </w:tblCellMar>
        </w:tblPrEx>
        <w:trPr>
          <w:trHeight w:val="321" w:hRule="atLeast"/>
        </w:trPr>
        <w:tc>
          <w:tcPr>
            <w:tcW w:w="15216" w:type="dxa"/>
            <w:gridSpan w:val="7"/>
            <w:vAlign w:val="center"/>
          </w:tcPr>
          <w:p w14:paraId="51EC2F5C">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14:paraId="2FDF7549">
        <w:tblPrEx>
          <w:tblCellMar>
            <w:top w:w="55" w:type="dxa"/>
            <w:left w:w="55" w:type="dxa"/>
            <w:bottom w:w="55" w:type="dxa"/>
            <w:right w:w="55" w:type="dxa"/>
          </w:tblCellMar>
        </w:tblPrEx>
        <w:trPr>
          <w:trHeight w:val="321" w:hRule="atLeast"/>
        </w:trPr>
        <w:tc>
          <w:tcPr>
            <w:tcW w:w="15216" w:type="dxa"/>
            <w:gridSpan w:val="7"/>
          </w:tcPr>
          <w:p w14:paraId="72828270">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14:paraId="586FA423">
        <w:tblPrEx>
          <w:tblCellMar>
            <w:top w:w="55" w:type="dxa"/>
            <w:left w:w="55" w:type="dxa"/>
            <w:bottom w:w="55" w:type="dxa"/>
            <w:right w:w="55" w:type="dxa"/>
          </w:tblCellMar>
        </w:tblPrEx>
        <w:trPr>
          <w:trHeight w:val="288" w:hRule="atLeast"/>
        </w:trPr>
        <w:tc>
          <w:tcPr>
            <w:tcW w:w="13566" w:type="dxa"/>
            <w:gridSpan w:val="6"/>
          </w:tcPr>
          <w:p w14:paraId="5561AF88">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1650" w:type="dxa"/>
            <w:vAlign w:val="center"/>
          </w:tcPr>
          <w:p w14:paraId="704B056B">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099C2DA8">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14:paraId="4E3D23C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14:paraId="6BBC9BFE">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14:paraId="4E56B37C">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14:paraId="71663243">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14:paraId="05D3C45D">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14:paraId="31087D9D">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14:paraId="2A2EB686">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14:paraId="7B9A2FE2">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14:paraId="1F65438A">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14:paraId="678B5745">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14:paraId="14B7F204">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14:paraId="3140B1B7">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14:paraId="00D137D4">
            <w:pPr>
              <w:widowControl w:val="0"/>
              <w:jc w:val="left"/>
              <w:rPr>
                <w:rFonts w:hint="eastAsia" w:ascii="仿宋" w:hAnsi="仿宋" w:eastAsia="仿宋" w:cs="仿宋"/>
                <w:sz w:val="22"/>
                <w:szCs w:val="22"/>
              </w:rPr>
            </w:pPr>
          </w:p>
        </w:tc>
      </w:tr>
      <w:tr w14:paraId="2919B456">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14:paraId="4007DAB5">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14:paraId="5E2CD935">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1,703.96</w:t>
            </w:r>
          </w:p>
        </w:tc>
        <w:tc>
          <w:tcPr>
            <w:tcW w:w="1693" w:type="dxa"/>
            <w:tcBorders>
              <w:left w:val="single" w:color="000000" w:sz="6" w:space="0"/>
              <w:bottom w:val="single" w:color="000000" w:sz="6" w:space="0"/>
            </w:tcBorders>
          </w:tcPr>
          <w:p w14:paraId="772ED106">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1,506.58</w:t>
            </w:r>
          </w:p>
        </w:tc>
        <w:tc>
          <w:tcPr>
            <w:tcW w:w="1987" w:type="dxa"/>
            <w:tcBorders>
              <w:left w:val="single" w:color="000000" w:sz="6" w:space="0"/>
              <w:bottom w:val="single" w:color="000000" w:sz="6" w:space="0"/>
            </w:tcBorders>
          </w:tcPr>
          <w:p w14:paraId="5BD8E28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1,431.25</w:t>
            </w:r>
          </w:p>
        </w:tc>
        <w:tc>
          <w:tcPr>
            <w:tcW w:w="1827" w:type="dxa"/>
            <w:tcBorders>
              <w:left w:val="single" w:color="000000" w:sz="6" w:space="0"/>
              <w:bottom w:val="single" w:color="000000" w:sz="6" w:space="0"/>
            </w:tcBorders>
          </w:tcPr>
          <w:p w14:paraId="2831BE4A">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75.33</w:t>
            </w:r>
          </w:p>
        </w:tc>
        <w:tc>
          <w:tcPr>
            <w:tcW w:w="1650" w:type="dxa"/>
            <w:tcBorders>
              <w:left w:val="single" w:color="000000" w:sz="6" w:space="0"/>
              <w:bottom w:val="single" w:color="000000" w:sz="6" w:space="0"/>
              <w:right w:val="single" w:color="000000" w:sz="6" w:space="0"/>
            </w:tcBorders>
          </w:tcPr>
          <w:p w14:paraId="2A55F17D">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197.38</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2080502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20.80</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1,317.63</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1,120.25</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1,044.92</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75.33</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197.38</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1,317.63</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1,120.25</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1,044.92</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75.33</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197.38</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2130304</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1,317.63</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1,120.25</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1,044.92</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75.33</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197.38</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363.99</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98.80</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98.80</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98.80</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140.38</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140.38</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140.38</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3EB09A1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4520BEB">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14:paraId="30EAD941">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3800CB0C">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124.81</w:t>
            </w:r>
          </w:p>
        </w:tc>
        <w:tc>
          <w:tcPr>
            <w:tcW w:w="1693" w:type="dxa"/>
            <w:tcBorders>
              <w:top w:val="single" w:color="000000" w:sz="6" w:space="0"/>
              <w:left w:val="single" w:color="000000" w:sz="4" w:space="0"/>
              <w:bottom w:val="single" w:color="000000" w:sz="6" w:space="0"/>
              <w:right w:val="single" w:color="000000" w:sz="4" w:space="0"/>
            </w:tcBorders>
            <w:vAlign w:val="center"/>
          </w:tcPr>
          <w:p w14:paraId="7C2359A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124.81</w:t>
            </w:r>
          </w:p>
        </w:tc>
        <w:tc>
          <w:tcPr>
            <w:tcW w:w="1987" w:type="dxa"/>
            <w:tcBorders>
              <w:top w:val="single" w:color="000000" w:sz="6" w:space="0"/>
              <w:left w:val="single" w:color="000000" w:sz="4" w:space="0"/>
              <w:bottom w:val="single" w:color="000000" w:sz="6" w:space="0"/>
              <w:right w:val="single" w:color="000000" w:sz="4" w:space="0"/>
            </w:tcBorders>
            <w:vAlign w:val="center"/>
          </w:tcPr>
          <w:p w14:paraId="6EF0EF87">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124.81</w:t>
            </w:r>
          </w:p>
        </w:tc>
        <w:tc>
          <w:tcPr>
            <w:tcW w:w="1827" w:type="dxa"/>
            <w:tcBorders>
              <w:top w:val="single" w:color="000000" w:sz="6" w:space="0"/>
              <w:left w:val="single" w:color="000000" w:sz="4" w:space="0"/>
              <w:bottom w:val="single" w:color="000000" w:sz="6" w:space="0"/>
              <w:right w:val="single" w:color="000000" w:sz="4" w:space="0"/>
            </w:tcBorders>
            <w:vAlign w:val="center"/>
          </w:tcPr>
          <w:p w14:paraId="6EDE03D8">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14:paraId="5C6A7171">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14:paraId="5914C3F0">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14:paraId="484721E5">
        <w:tblPrEx>
          <w:tblCellMar>
            <w:top w:w="55" w:type="dxa"/>
            <w:left w:w="55" w:type="dxa"/>
            <w:bottom w:w="55" w:type="dxa"/>
            <w:right w:w="55" w:type="dxa"/>
          </w:tblCellMar>
        </w:tblPrEx>
        <w:trPr>
          <w:trHeight w:val="319" w:hRule="atLeast"/>
        </w:trPr>
        <w:tc>
          <w:tcPr>
            <w:tcW w:w="10954" w:type="dxa"/>
            <w:gridSpan w:val="5"/>
          </w:tcPr>
          <w:p w14:paraId="16647F55">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14:paraId="002F78A7">
        <w:tblPrEx>
          <w:tblCellMar>
            <w:top w:w="55" w:type="dxa"/>
            <w:left w:w="55" w:type="dxa"/>
            <w:bottom w:w="55" w:type="dxa"/>
            <w:right w:w="55" w:type="dxa"/>
          </w:tblCellMar>
        </w:tblPrEx>
        <w:trPr>
          <w:trHeight w:val="189" w:hRule="atLeast"/>
        </w:trPr>
        <w:tc>
          <w:tcPr>
            <w:tcW w:w="10954" w:type="dxa"/>
            <w:gridSpan w:val="5"/>
          </w:tcPr>
          <w:p w14:paraId="2FCCAE70">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14:paraId="7162EBB8">
        <w:tblPrEx>
          <w:tblCellMar>
            <w:top w:w="55" w:type="dxa"/>
            <w:left w:w="55" w:type="dxa"/>
            <w:bottom w:w="55" w:type="dxa"/>
            <w:right w:w="55" w:type="dxa"/>
          </w:tblCellMar>
        </w:tblPrEx>
        <w:trPr>
          <w:trHeight w:val="138" w:hRule="atLeast"/>
        </w:trPr>
        <w:tc>
          <w:tcPr>
            <w:tcW w:w="9281" w:type="dxa"/>
            <w:gridSpan w:val="4"/>
            <w:vAlign w:val="center"/>
          </w:tcPr>
          <w:p w14:paraId="17C5FA13">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1673" w:type="dxa"/>
            <w:vAlign w:val="center"/>
          </w:tcPr>
          <w:p w14:paraId="2960F62D">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31596070">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14:paraId="45445754">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14:paraId="292CB882">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14:paraId="634ABDFF">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14:paraId="059ADFB9">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14:paraId="35A783EC">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14:paraId="11A39AD5">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14:paraId="7319D78B">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14:paraId="38FEFFB9">
            <w:pPr>
              <w:pStyle w:val="22"/>
              <w:widowControl w:val="0"/>
              <w:jc w:val="center"/>
              <w:rPr>
                <w:rFonts w:hint="eastAsia" w:ascii="仿宋" w:hAnsi="仿宋" w:eastAsia="仿宋" w:cs="仿宋"/>
              </w:rPr>
            </w:pPr>
            <w:r>
              <w:rPr>
                <w:rFonts w:hint="eastAsia" w:ascii="仿宋" w:hAnsi="仿宋" w:eastAsia="仿宋" w:cs="仿宋"/>
              </w:rPr>
              <w:t>公用经费</w:t>
            </w:r>
          </w:p>
        </w:tc>
      </w:tr>
      <w:tr w14:paraId="23A107EC">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14:paraId="39BF1B54">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14:paraId="056B7E8D">
            <w:pPr>
              <w:pStyle w:val="22"/>
              <w:widowControl w:val="0"/>
              <w:jc w:val="right"/>
              <w:rPr>
                <w:rFonts w:hint="eastAsia" w:ascii="仿宋" w:hAnsi="仿宋" w:eastAsia="仿宋" w:cs="仿宋"/>
              </w:rPr>
            </w:pPr>
            <w:r>
              <w:rPr>
                <w:rFonts w:hint="eastAsia" w:ascii="仿宋" w:hAnsi="仿宋" w:eastAsia="仿宋" w:cs="仿宋"/>
              </w:rPr>
              <w:t>1,506.58</w:t>
            </w:r>
          </w:p>
        </w:tc>
        <w:tc>
          <w:tcPr>
            <w:tcW w:w="1974" w:type="dxa"/>
            <w:tcBorders>
              <w:left w:val="single" w:color="000000" w:sz="4" w:space="0"/>
              <w:bottom w:val="single" w:color="000000" w:sz="4" w:space="0"/>
            </w:tcBorders>
            <w:vAlign w:val="center"/>
          </w:tcPr>
          <w:p w14:paraId="386099AD">
            <w:pPr>
              <w:pStyle w:val="22"/>
              <w:widowControl w:val="0"/>
              <w:jc w:val="right"/>
              <w:rPr>
                <w:rFonts w:hint="eastAsia" w:ascii="仿宋" w:hAnsi="仿宋" w:eastAsia="仿宋" w:cs="仿宋"/>
              </w:rPr>
            </w:pPr>
            <w:r>
              <w:rPr>
                <w:rFonts w:hint="eastAsia" w:ascii="仿宋" w:hAnsi="仿宋" w:eastAsia="仿宋" w:cs="仿宋"/>
              </w:rPr>
              <w:t>1,431.25</w:t>
            </w:r>
          </w:p>
        </w:tc>
        <w:tc>
          <w:tcPr>
            <w:tcW w:w="1673" w:type="dxa"/>
            <w:tcBorders>
              <w:left w:val="single" w:color="000000" w:sz="4" w:space="0"/>
              <w:bottom w:val="single" w:color="000000" w:sz="4" w:space="0"/>
              <w:right w:val="single" w:color="000000" w:sz="4" w:space="0"/>
            </w:tcBorders>
            <w:vAlign w:val="center"/>
          </w:tcPr>
          <w:p w14:paraId="01C226C0">
            <w:pPr>
              <w:pStyle w:val="22"/>
              <w:widowControl w:val="0"/>
              <w:jc w:val="right"/>
              <w:rPr>
                <w:rFonts w:hint="eastAsia" w:ascii="仿宋" w:hAnsi="仿宋" w:eastAsia="仿宋" w:cs="仿宋"/>
              </w:rPr>
            </w:pPr>
            <w:r>
              <w:rPr>
                <w:rFonts w:hint="eastAsia" w:ascii="仿宋" w:hAnsi="仿宋" w:eastAsia="仿宋" w:cs="仿宋"/>
              </w:rPr>
              <w:t>75.33</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1,352.67</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1,352.67</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243.91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243.91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191.01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191.01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295.06</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295.06</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286.95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286.95</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117.75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117.75</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58.87</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58.87</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36.61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36.61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20.80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20.80</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2.91</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2.91</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98.80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98.80</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75.33</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75.33</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16.20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16.20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2.25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2.25</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5.85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5.85</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36.00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36.00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4.05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4.05</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1.80</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1.80</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1.35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1.35</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6.75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6.75</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1.08</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1.08</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78.58</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78.58</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75.72</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75.72</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1.26</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1.26</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0.05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0.05</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r w14:paraId="6060659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EB6AB2">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64DCD5E">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2ECD1">
            <w:pPr>
              <w:pStyle w:val="22"/>
              <w:widowControl w:val="0"/>
              <w:jc w:val="right"/>
              <w:rPr>
                <w:rFonts w:hint="eastAsia" w:ascii="仿宋" w:hAnsi="仿宋" w:eastAsia="仿宋" w:cs="仿宋"/>
              </w:rPr>
            </w:pPr>
            <w:r>
              <w:rPr>
                <w:rFonts w:hint="eastAsia" w:ascii="仿宋" w:hAnsi="仿宋" w:eastAsia="仿宋" w:cs="仿宋"/>
              </w:rPr>
              <w:t>1.55</w:t>
            </w:r>
          </w:p>
        </w:tc>
        <w:tc>
          <w:tcPr>
            <w:tcW w:w="1974" w:type="dxa"/>
            <w:tcBorders>
              <w:top w:val="single" w:color="000000" w:sz="4" w:space="0"/>
              <w:left w:val="single" w:color="000000" w:sz="4" w:space="0"/>
              <w:bottom w:val="single" w:color="000000" w:sz="4" w:space="0"/>
              <w:right w:val="single" w:color="000000" w:sz="4" w:space="0"/>
            </w:tcBorders>
            <w:vAlign w:val="center"/>
          </w:tcPr>
          <w:p w14:paraId="0705D06C">
            <w:pPr>
              <w:pStyle w:val="22"/>
              <w:widowControl w:val="0"/>
              <w:jc w:val="right"/>
              <w:rPr>
                <w:rFonts w:hint="eastAsia" w:ascii="仿宋" w:hAnsi="仿宋" w:eastAsia="仿宋" w:cs="仿宋"/>
              </w:rPr>
            </w:pPr>
            <w:r>
              <w:rPr>
                <w:rFonts w:hint="eastAsia" w:ascii="仿宋" w:hAnsi="仿宋" w:eastAsia="仿宋" w:cs="仿宋"/>
              </w:rPr>
              <w:t>1.55</w:t>
            </w:r>
          </w:p>
        </w:tc>
        <w:tc>
          <w:tcPr>
            <w:tcW w:w="1673" w:type="dxa"/>
            <w:tcBorders>
              <w:top w:val="single" w:color="000000" w:sz="4" w:space="0"/>
              <w:left w:val="single" w:color="000000" w:sz="4" w:space="0"/>
              <w:bottom w:val="single" w:color="000000" w:sz="4" w:space="0"/>
              <w:right w:val="single" w:color="000000" w:sz="4" w:space="0"/>
            </w:tcBorders>
            <w:vAlign w:val="center"/>
          </w:tcPr>
          <w:p w14:paraId="2EEE3087">
            <w:pPr>
              <w:pStyle w:val="22"/>
              <w:widowControl w:val="0"/>
              <w:jc w:val="right"/>
              <w:rPr>
                <w:rFonts w:hint="eastAsia" w:ascii="仿宋" w:hAnsi="仿宋" w:eastAsia="仿宋" w:cs="仿宋"/>
              </w:rPr>
            </w:pPr>
            <w:r>
              <w:rPr>
                <w:rFonts w:hint="eastAsia" w:ascii="仿宋" w:hAnsi="仿宋" w:eastAsia="仿宋" w:cs="仿宋"/>
              </w:rPr>
              <w:t/>
            </w:r>
          </w:p>
        </w:tc>
      </w:tr>
    </w:tbl>
    <w:p w14:paraId="5ADFF928">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14:paraId="38FA862D">
        <w:tblPrEx>
          <w:tblCellMar>
            <w:top w:w="55" w:type="dxa"/>
            <w:left w:w="55" w:type="dxa"/>
            <w:bottom w:w="55" w:type="dxa"/>
            <w:right w:w="55" w:type="dxa"/>
          </w:tblCellMar>
        </w:tblPrEx>
        <w:trPr>
          <w:trHeight w:val="321" w:hRule="atLeast"/>
        </w:trPr>
        <w:tc>
          <w:tcPr>
            <w:tcW w:w="15909" w:type="dxa"/>
            <w:gridSpan w:val="8"/>
          </w:tcPr>
          <w:p w14:paraId="11F1E16B">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14:paraId="73844359">
        <w:tblPrEx>
          <w:tblCellMar>
            <w:top w:w="55" w:type="dxa"/>
            <w:left w:w="55" w:type="dxa"/>
            <w:bottom w:w="55" w:type="dxa"/>
            <w:right w:w="55" w:type="dxa"/>
          </w:tblCellMar>
        </w:tblPrEx>
        <w:trPr>
          <w:trHeight w:val="207" w:hRule="atLeast"/>
        </w:trPr>
        <w:tc>
          <w:tcPr>
            <w:tcW w:w="15909" w:type="dxa"/>
            <w:gridSpan w:val="8"/>
          </w:tcPr>
          <w:p w14:paraId="22B22F3F">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14:paraId="2F8DA7EF">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14:paraId="6A83A7CB">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3840" w:type="dxa"/>
            <w:gridSpan w:val="2"/>
            <w:tcBorders>
              <w:bottom w:val="single" w:color="auto" w:sz="4" w:space="0"/>
            </w:tcBorders>
            <w:vAlign w:val="center"/>
          </w:tcPr>
          <w:p w14:paraId="362828F0">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14:paraId="1E8B6C91">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14:paraId="7EF73657">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14:paraId="7191D0ED">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14:paraId="237531A7">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14:paraId="7A1094E9">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14:paraId="197F2909">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14:paraId="414C9174">
            <w:pPr>
              <w:pStyle w:val="22"/>
              <w:widowControl w:val="0"/>
              <w:jc w:val="center"/>
              <w:rPr>
                <w:rFonts w:hint="eastAsia" w:ascii="仿宋" w:hAnsi="仿宋" w:eastAsia="仿宋" w:cs="仿宋"/>
                <w:sz w:val="20"/>
              </w:rPr>
            </w:pPr>
            <w:r>
              <w:rPr>
                <w:rFonts w:hint="eastAsia" w:ascii="仿宋" w:hAnsi="仿宋" w:eastAsia="仿宋" w:cs="仿宋"/>
              </w:rPr>
              <w:t>培训费</w:t>
            </w:r>
          </w:p>
        </w:tc>
      </w:tr>
      <w:tr w14:paraId="0D589B7C">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14:paraId="1BFDF809">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14:paraId="6170C8C2">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14:paraId="2DAB6B6B">
            <w:pPr>
              <w:pStyle w:val="22"/>
              <w:widowControl w:val="0"/>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6D34F0AB">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14:paraId="6F0F2BAC">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14:paraId="48B4809D">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14:paraId="4097DD05">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14:paraId="4A5FCFD1">
            <w:pPr>
              <w:widowControl w:val="0"/>
              <w:jc w:val="left"/>
              <w:rPr>
                <w:rFonts w:hint="eastAsia" w:ascii="仿宋" w:hAnsi="仿宋" w:eastAsia="仿宋" w:cs="仿宋"/>
                <w:sz w:val="2"/>
                <w:szCs w:val="2"/>
              </w:rPr>
            </w:pPr>
          </w:p>
        </w:tc>
      </w:tr>
      <w:tr w14:paraId="1E0DC4E9">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14:paraId="5FAC3463">
            <w:pPr>
              <w:pStyle w:val="22"/>
              <w:widowControl w:val="0"/>
              <w:jc w:val="right"/>
              <w:rPr>
                <w:rFonts w:hint="eastAsia" w:ascii="仿宋" w:hAnsi="仿宋" w:eastAsia="仿宋" w:cs="仿宋"/>
              </w:rPr>
            </w:pPr>
            <w:r>
              <w:rPr>
                <w:rFonts w:hint="eastAsia" w:ascii="仿宋" w:hAnsi="仿宋" w:eastAsia="仿宋" w:cs="仿宋"/>
              </w:rPr>
              <w:t>8.85</w:t>
            </w:r>
          </w:p>
        </w:tc>
        <w:tc>
          <w:tcPr>
            <w:tcW w:w="2332" w:type="dxa"/>
            <w:tcBorders>
              <w:top w:val="single" w:color="auto" w:sz="4" w:space="0"/>
              <w:left w:val="single" w:color="auto" w:sz="4" w:space="0"/>
              <w:bottom w:val="single" w:color="auto" w:sz="4" w:space="0"/>
              <w:right w:val="single" w:color="auto" w:sz="4" w:space="0"/>
            </w:tcBorders>
            <w:vAlign w:val="center"/>
          </w:tcPr>
          <w:p w14:paraId="70149B39">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14:paraId="49C502E0">
            <w:pPr>
              <w:pStyle w:val="22"/>
              <w:widowControl w:val="0"/>
              <w:jc w:val="right"/>
              <w:rPr>
                <w:rFonts w:hint="eastAsia" w:ascii="仿宋" w:hAnsi="仿宋" w:eastAsia="仿宋" w:cs="仿宋"/>
              </w:rPr>
            </w:pPr>
            <w:r>
              <w:rPr>
                <w:rFonts w:hint="eastAsia" w:ascii="仿宋" w:hAnsi="仿宋" w:eastAsia="仿宋" w:cs="仿宋"/>
              </w:rPr>
              <w:t>7.50</w:t>
            </w:r>
          </w:p>
        </w:tc>
        <w:tc>
          <w:tcPr>
            <w:tcW w:w="1697" w:type="dxa"/>
            <w:tcBorders>
              <w:top w:val="single" w:color="auto" w:sz="4" w:space="0"/>
              <w:left w:val="single" w:color="auto" w:sz="4" w:space="0"/>
              <w:bottom w:val="single" w:color="auto" w:sz="4" w:space="0"/>
              <w:right w:val="single" w:color="auto" w:sz="4" w:space="0"/>
            </w:tcBorders>
            <w:vAlign w:val="center"/>
          </w:tcPr>
          <w:p w14:paraId="10F36C48">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14:paraId="021B69C0">
            <w:pPr>
              <w:pStyle w:val="22"/>
              <w:widowControl w:val="0"/>
              <w:jc w:val="right"/>
              <w:rPr>
                <w:rFonts w:hint="eastAsia" w:ascii="仿宋" w:hAnsi="仿宋" w:eastAsia="仿宋" w:cs="仿宋"/>
              </w:rPr>
            </w:pPr>
            <w:r>
              <w:rPr>
                <w:rFonts w:hint="eastAsia" w:ascii="仿宋" w:hAnsi="仿宋" w:eastAsia="仿宋" w:cs="仿宋"/>
              </w:rPr>
              <w:t>7.50</w:t>
            </w:r>
          </w:p>
        </w:tc>
        <w:tc>
          <w:tcPr>
            <w:tcW w:w="1852" w:type="dxa"/>
            <w:tcBorders>
              <w:top w:val="single" w:color="auto" w:sz="4" w:space="0"/>
              <w:left w:val="single" w:color="auto" w:sz="4" w:space="0"/>
              <w:bottom w:val="single" w:color="auto" w:sz="4" w:space="0"/>
              <w:right w:val="single" w:color="auto" w:sz="4" w:space="0"/>
            </w:tcBorders>
            <w:vAlign w:val="center"/>
          </w:tcPr>
          <w:p w14:paraId="2A253F9B">
            <w:pPr>
              <w:pStyle w:val="22"/>
              <w:widowControl w:val="0"/>
              <w:jc w:val="right"/>
              <w:rPr>
                <w:rFonts w:hint="eastAsia" w:ascii="仿宋" w:hAnsi="仿宋" w:eastAsia="仿宋" w:cs="仿宋"/>
              </w:rPr>
            </w:pPr>
            <w:r>
              <w:rPr>
                <w:rFonts w:hint="eastAsia" w:ascii="仿宋" w:hAnsi="仿宋" w:eastAsia="仿宋" w:cs="仿宋"/>
              </w:rPr>
              <w:t>1.35</w:t>
            </w:r>
          </w:p>
        </w:tc>
        <w:tc>
          <w:tcPr>
            <w:tcW w:w="2057" w:type="dxa"/>
            <w:tcBorders>
              <w:top w:val="single" w:color="auto" w:sz="4" w:space="0"/>
              <w:left w:val="single" w:color="auto" w:sz="4" w:space="0"/>
              <w:bottom w:val="single" w:color="auto" w:sz="4" w:space="0"/>
              <w:right w:val="single" w:color="auto" w:sz="4" w:space="0"/>
            </w:tcBorders>
            <w:vAlign w:val="center"/>
          </w:tcPr>
          <w:p w14:paraId="209A7A6A">
            <w:pPr>
              <w:pStyle w:val="22"/>
              <w:widowControl w:val="0"/>
              <w:jc w:val="right"/>
              <w:rPr>
                <w:rFonts w:hint="eastAsia" w:ascii="仿宋" w:hAnsi="仿宋" w:eastAsia="仿宋" w:cs="仿宋"/>
              </w:rPr>
            </w:pPr>
            <w:r>
              <w:rPr>
                <w:rFonts w:hint="eastAsia" w:ascii="仿宋" w:hAnsi="仿宋" w:eastAsia="仿宋" w:cs="仿宋"/>
              </w:rPr>
              <w:t>4.05</w:t>
            </w:r>
          </w:p>
        </w:tc>
        <w:tc>
          <w:tcPr>
            <w:tcW w:w="1783" w:type="dxa"/>
            <w:tcBorders>
              <w:top w:val="single" w:color="auto" w:sz="4" w:space="0"/>
              <w:left w:val="single" w:color="auto" w:sz="4" w:space="0"/>
              <w:bottom w:val="single" w:color="auto" w:sz="4" w:space="0"/>
              <w:right w:val="single" w:color="auto" w:sz="4" w:space="0"/>
            </w:tcBorders>
            <w:vAlign w:val="center"/>
          </w:tcPr>
          <w:p w14:paraId="0455D567">
            <w:pPr>
              <w:pStyle w:val="22"/>
              <w:widowControl w:val="0"/>
              <w:jc w:val="right"/>
              <w:rPr>
                <w:rFonts w:hint="eastAsia" w:ascii="仿宋" w:hAnsi="仿宋" w:eastAsia="仿宋" w:cs="仿宋"/>
              </w:rPr>
            </w:pPr>
            <w:r>
              <w:rPr>
                <w:rFonts w:hint="eastAsia" w:ascii="仿宋" w:hAnsi="仿宋" w:eastAsia="仿宋" w:cs="仿宋"/>
              </w:rPr>
              <w:t>4.60</w:t>
            </w:r>
          </w:p>
        </w:tc>
      </w:tr>
    </w:tbl>
    <w:p w14:paraId="633D90CA">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14:paraId="62805DB4">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5636E86">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14:paraId="6EED4EA3">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C7C957B">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14:paraId="51688803">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14:paraId="7A598C4F">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2485" w:type="dxa"/>
            <w:tcBorders>
              <w:top w:val="nil"/>
              <w:left w:val="nil"/>
              <w:bottom w:val="single" w:color="auto" w:sz="4" w:space="0"/>
              <w:right w:val="nil"/>
            </w:tcBorders>
            <w:vAlign w:val="center"/>
          </w:tcPr>
          <w:p w14:paraId="3147BBD4">
            <w:pPr>
              <w:pStyle w:val="22"/>
              <w:widowControl w:val="0"/>
              <w:jc w:val="right"/>
              <w:rPr>
                <w:rFonts w:hint="eastAsia" w:ascii="仿宋" w:hAnsi="仿宋" w:eastAsia="仿宋" w:cs="仿宋"/>
              </w:rPr>
            </w:pPr>
            <w:r>
              <w:rPr>
                <w:rFonts w:hint="eastAsia" w:ascii="仿宋" w:hAnsi="仿宋" w:eastAsia="仿宋" w:cs="仿宋"/>
              </w:rPr>
              <w:t>单位：万元</w:t>
            </w:r>
          </w:p>
        </w:tc>
      </w:tr>
      <w:tr w14:paraId="36644733">
        <w:trPr>
          <w:trHeight w:val="187" w:hRule="atLeast"/>
        </w:trPr>
        <w:tc>
          <w:tcPr>
            <w:tcW w:w="1618" w:type="dxa"/>
            <w:vMerge w:val="restart"/>
            <w:tcBorders>
              <w:top w:val="single" w:color="auto" w:sz="4" w:space="0"/>
              <w:left w:val="single" w:color="auto" w:sz="4" w:space="0"/>
              <w:right w:val="single" w:color="auto" w:sz="4" w:space="0"/>
            </w:tcBorders>
            <w:vAlign w:val="center"/>
          </w:tcPr>
          <w:p w14:paraId="139A3874">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14:paraId="699CEF7D">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14:paraId="696DDF51">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14:paraId="2A031337">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14:paraId="0291B8E1">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14:paraId="40D2FDA2">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7625D4FC">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14:paraId="509FCBF0">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14:paraId="7EAB88D3">
            <w:pPr>
              <w:pStyle w:val="22"/>
              <w:widowControl w:val="0"/>
              <w:jc w:val="center"/>
              <w:rPr>
                <w:rFonts w:hint="eastAsia" w:ascii="仿宋" w:hAnsi="仿宋" w:eastAsia="仿宋" w:cs="仿宋"/>
              </w:rPr>
            </w:pPr>
            <w:r>
              <w:rPr>
                <w:rFonts w:hint="eastAsia" w:ascii="仿宋" w:hAnsi="仿宋" w:eastAsia="仿宋" w:cs="仿宋"/>
              </w:rPr>
              <w:t>项目支出</w:t>
            </w:r>
          </w:p>
        </w:tc>
      </w:tr>
      <w:tr w14:paraId="5A7DB80A">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14:paraId="14C9CFFF">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14:paraId="215C3078">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14:paraId="430CBA39">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14:paraId="2E533D50">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14:paraId="755F292C">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14:paraId="736E2B16">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22584B85">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14:paraId="5B20A601">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14:paraId="7EB45BA1">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14:paraId="24188B76">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14:paraId="6EED0780">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14:paraId="736E2B16">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22584B85">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14:paraId="5B20A601">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14:paraId="7EB45BA1">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14:paraId="24188B76">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14:paraId="6EED0780">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14:paraId="6E6DB1B1">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u/>
        </w:rPr>
        <w:t>本</w:t>
      </w:r>
      <w:r>
        <w:rPr>
          <w:b w:val="on"/>
          <w:rFonts w:ascii="仿宋" w:eastAsia="仿宋" w:hAnsi="仿宋" w:cs="仿宋"/>
          <w:sz w:val="22"/>
          <w:u w:color="auto"/>
        </w:rPr>
        <w:t>单位</w:t>
      </w:r>
      <w:r>
        <w:rPr>
          <w:b w:val="on"/>
          <w:rFonts w:ascii="仿宋" w:eastAsia="仿宋" w:hAnsi="仿宋" w:cs="仿宋"/>
          <w:sz w:val="22"/>
          <w:u w:color="auto"/>
        </w:rPr>
        <w:t>无政府性基金预算，也没有使用政府性基金安排的支出，故本表无数据。</w:t>
      </w:r>
      <w:r>
        <w:rPr>
          <w:b w:val="on"/>
          <w:rFonts w:ascii="仿宋" w:eastAsia="仿宋" w:hAnsi="仿宋" w:cs="仿宋"/>
          <w:sz w:val="22"/>
          <w:u w:color="auto"/>
        </w:rPr>
        <w:t/>
      </w:r>
    </w:p>
    <w:p w14:paraId="6A70A19F">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14:paraId="4774AA8D">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14:paraId="3156F4BF">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14:paraId="4EF98964">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14:paraId="0D2A9578">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14:paraId="1AADF766">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14:paraId="062AC01C">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3091" w:type="dxa"/>
            <w:tcBorders>
              <w:top w:val="nil"/>
              <w:left w:val="nil"/>
              <w:bottom w:val="nil"/>
              <w:right w:val="nil"/>
            </w:tcBorders>
            <w:shd w:val="clear" w:color="auto" w:fill="auto"/>
            <w:noWrap/>
            <w:vAlign w:val="center"/>
          </w:tcPr>
          <w:p w14:paraId="4B5E2371">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14:paraId="2404FBD4">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0A26E2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5671D8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8BADFD">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F5C96E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14:paraId="432E2794">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14:paraId="4441FA9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14:paraId="610A31B2">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14:paraId="0C0CD14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14:paraId="6658BEEA">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14:paraId="503CA6E1">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14:paraId="00D98D52">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14:paraId="1138F447">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B42B31F">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34F07641">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9518AF4">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2C53BBAB">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14:paraId="23E635B9">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DA080F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811437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53DCC2D3">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54D26D6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14:paraId="199C4C7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25698B1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0A0BDF5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7643D8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AB6140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636582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14:paraId="199C4C76">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25698B19">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0A0BDF5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7643D8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3AB61406">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636582C">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14:paraId="7AA8870D">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u/>
        </w:rPr>
        <w:t/>
      </w:r>
      <w:r>
        <w:rPr>
          <w:b w:val="on"/>
          <w:rFonts w:ascii="仿宋" w:eastAsia="仿宋" w:hAnsi="仿宋" w:cs="仿宋"/>
          <w:sz w:val="22"/>
          <w:u w:color="auto"/>
        </w:rPr>
        <w:t>注：本</w:t>
      </w:r>
      <w:r>
        <w:rPr>
          <w:b w:val="on"/>
          <w:rFonts w:ascii="仿宋" w:eastAsia="仿宋" w:hAnsi="仿宋" w:cs="仿宋"/>
          <w:sz w:val="22"/>
          <w:u w:color="auto"/>
        </w:rPr>
        <w:t>单位</w:t>
      </w:r>
      <w:r>
        <w:rPr>
          <w:b w:val="on"/>
          <w:rFonts w:ascii="仿宋" w:eastAsia="仿宋" w:hAnsi="仿宋" w:cs="仿宋"/>
          <w:sz w:val="22"/>
          <w:u w:color="auto"/>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u/>
        </w:rPr>
        <w:t>，故本表无数据。</w:t>
      </w:r>
      <w:r>
        <w:rPr>
          <w:b w:val="on"/>
          <w:rFonts w:ascii="仿宋" w:eastAsia="仿宋" w:hAnsi="仿宋" w:cs="仿宋"/>
          <w:sz w:val="22"/>
          <w:u w:color="auto"/>
        </w:rPr>
        <w:t/>
      </w:r>
    </w:p>
    <w:p w14:paraId="4F525B1A">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14:paraId="081ECABF">
        <w:tblPrEx>
          <w:tblCellMar>
            <w:top w:w="55" w:type="dxa"/>
            <w:left w:w="55" w:type="dxa"/>
            <w:bottom w:w="55" w:type="dxa"/>
            <w:right w:w="55" w:type="dxa"/>
          </w:tblCellMar>
        </w:tblPrEx>
        <w:trPr>
          <w:trHeight w:val="319" w:hRule="atLeast"/>
        </w:trPr>
        <w:tc>
          <w:tcPr>
            <w:tcW w:w="10235" w:type="dxa"/>
            <w:gridSpan w:val="4"/>
          </w:tcPr>
          <w:p w14:paraId="3FDF9E28">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14:paraId="291E3CF1">
        <w:tblPrEx>
          <w:tblCellMar>
            <w:top w:w="55" w:type="dxa"/>
            <w:left w:w="55" w:type="dxa"/>
            <w:bottom w:w="55" w:type="dxa"/>
            <w:right w:w="55" w:type="dxa"/>
          </w:tblCellMar>
        </w:tblPrEx>
        <w:trPr>
          <w:trHeight w:val="90" w:hRule="atLeast"/>
        </w:trPr>
        <w:tc>
          <w:tcPr>
            <w:tcW w:w="10235" w:type="dxa"/>
            <w:gridSpan w:val="4"/>
          </w:tcPr>
          <w:p w14:paraId="231D1385">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14:paraId="04B652B4">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14:paraId="35496929">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2351" w:type="dxa"/>
            <w:tcBorders>
              <w:bottom w:val="single" w:color="auto" w:sz="4" w:space="0"/>
            </w:tcBorders>
            <w:vAlign w:val="center"/>
          </w:tcPr>
          <w:p w14:paraId="14A254D4">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14:paraId="11FC7058">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14:paraId="0F6FED56">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14:paraId="0F83CC29">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14:paraId="6EFE394A">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14:paraId="68F893FF">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14:paraId="06E7A0CE">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DF58F83">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14:paraId="4AEE5119">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14:paraId="22D89DA4">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14:paraId="19469693">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7BBBD09F">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14:paraId="28F6C040">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24CC900D">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u/>
        </w:rPr>
        <w:t>本</w:t>
      </w:r>
      <w:r>
        <w:rPr>
          <w:b w:val="on"/>
          <w:rFonts w:ascii="仿宋" w:eastAsia="仿宋" w:hAnsi="仿宋" w:cs="仿宋"/>
          <w:sz w:val="22"/>
          <w:u w:color="auto"/>
        </w:rPr>
        <w:t>单位</w:t>
      </w:r>
      <w:r>
        <w:rPr>
          <w:b w:val="on"/>
          <w:rFonts w:ascii="仿宋" w:eastAsia="仿宋" w:hAnsi="仿宋" w:cs="仿宋"/>
          <w:sz w:val="22"/>
          <w:u w:color="auto"/>
        </w:rPr>
        <w:t>无一般公共预算机关运行经费支出，故本表无数据。</w:t>
      </w:r>
      <w:r>
        <w:rPr>
          <w:b w:val="on"/>
          <w:rFonts w:ascii="仿宋" w:eastAsia="仿宋" w:hAnsi="仿宋" w:cs="仿宋"/>
          <w:sz w:val="22"/>
          <w:u w:color="auto"/>
        </w:rPr>
        <w:t/>
      </w:r>
    </w:p>
    <w:p w14:paraId="219881AC">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479"/>
        <w:gridCol w:w="1109"/>
        <w:gridCol w:w="1173"/>
        <w:gridCol w:w="1188"/>
        <w:gridCol w:w="1169"/>
        <w:gridCol w:w="1421"/>
      </w:tblGrid>
      <w:tr w14:paraId="17AE5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25ABA2C5">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14:paraId="76100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7C23C5B6">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14:paraId="2D4D3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213"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14:paraId="2DB53ADF">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u/>
              </w:rPr>
              <w:t>单位</w:t>
            </w:r>
            <w:r>
              <w:rPr>
                <w:color w:val="000000"/>
                <w:rFonts w:ascii="仿宋" w:eastAsia="仿宋" w:hAnsi="仿宋" w:cs="仿宋"/>
                <w:sz w:val="22"/>
                <w:u w:color="auto"/>
              </w:rPr>
              <w:t>：</w:t>
            </w:r>
            <w:r>
              <w:rPr>
                <w:rFonts w:hint="eastAsia" w:ascii="仿宋" w:hAnsi="仿宋" w:eastAsia="仿宋" w:cs="仿宋"/>
              </w:rPr>
              <w:t>常州市河道湖泊管理处</w:t>
            </w:r>
          </w:p>
        </w:tc>
        <w:tc>
          <w:tcPr>
            <w:tcW w:w="4639"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14:paraId="535DB9A2">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14:paraId="13948C0E">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14:paraId="10946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4FC7E2">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F93C99">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19AB60">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63A4CB">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479"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822C97">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39"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9C219A">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1AEF8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14:paraId="6D92C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91EE03">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A12B648">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2F3862">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B5BF50">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E3A18FB">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64F1135">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DBF9C2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76F5A3">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0F303E">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F2CFD1">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14:paraId="0AAAF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CFE2A4">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E522CA">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85776D">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59CECE">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86FA57">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DC751C">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127.00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0F214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2F438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545084">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61AB642">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127.00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常州市河道湖泊管理处</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126.50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126.50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常州市河道湖泊管理处</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126.50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126.50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119.00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119.00</w:t>
            </w:r>
          </w:p>
        </w:tc>
      </w:tr>
      <w:tr w14:paraId="5085D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0F4E60">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BB609C0">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水利行业业务管理经费.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674CC">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公务用车运行维护费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306F4">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车辆维修和保养服务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3BD637">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33CA0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7.50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D539A7">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D1A62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0091EF8">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1C3341">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7.50</w:t>
            </w:r>
          </w:p>
        </w:tc>
      </w:tr>
    </w:tbl>
    <w:p w14:paraId="51FF3C07">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14:paraId="3ED135E2">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2026</w:t>
      </w:r>
      <w:r>
        <w:rPr>
          <w:rFonts w:hint="eastAsia" w:ascii="仿宋" w:hAnsi="仿宋" w:eastAsia="仿宋" w:cs="仿宋"/>
          <w:b/>
          <w:bCs/>
          <w:sz w:val="44"/>
          <w:szCs w:val="44"/>
          <w:u/>
        </w:rPr>
        <w:t>年度</w:t>
      </w:r>
      <w:r>
        <w:rPr>
          <w:b w:val="on"/>
          <w:rFonts w:ascii="仿宋" w:eastAsia="仿宋" w:hAnsi="仿宋" w:cs="仿宋"/>
          <w:sz w:val="44"/>
          <w:u w:color="auto"/>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14:paraId="1540B497">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一、收支预算总体情况说明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常州市河道湖泊管理处2026年度收入、支出预算总计1,703.96万元，与上年相比收、支预算总计各增加148.09万元，增长9.52%。其中：</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（一）收入预算总计1,703.96万元。包括：</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1．本年收入合计1,703.96万元。</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（1）一般公共预算拨款收入1,703.96万元，与上年相比增加148.09万元，增长9.52%。主要原因是本年新增在职人员3人，导致人员类经费及公用类经费增加。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（2）政府性基金预算拨款收入0万元，与上年预算数相同。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（3）国有资本经营预算拨款收入0万元，与上年预算数相同。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（4）财政专户管理资金收入0万元，与上年预算数相同。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（5）事业收入0万元，与上年预算数相同。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（6）事业单位经营收入0万元，与上年预算数相同。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（7）上级补助收入0万元，与上年预算数相同。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（8）附属单位上缴收入0万元，与上年预算数相同。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（9）其他收入0万元，与上年预算数相同。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2．上年结转结余为0万元。与上年预算数相同。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（二）支出预算总计1,703.96万元。包括：</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1．本年支出合计1,703.96万元。</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（1）社会保障和就业支出（类）支出1.54万元，主要用于退休人员费用。与上年预算数相同。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（2）卫生健康支出（类）支出20.8万元，主要用于公务员医疗补助费。与上年相比增加3万元，增长16.85%。主要原因是本年新增在职人员3人，导致卫生健康类支出增加。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3）农林水支出（类）支出1,317.63万元，主要用于工资福利支出、商品和服务支出、对个人和家庭的补助支出以及部门预算项目。与上年相比增加104.81万元，增长8.64%。主要原因是本年新增在职人员3人，导致工资福利支出、商品和服务支出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（4）住房保障支出（类）支出363.99万元，主要用于住房公积金、提租补贴、购房补贴。与上年相比增加40.28万元，增长12.44%。主要原因是本年新增在职人员3人，导致住房保障类支出增加。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2．年终结转结余为0万元。</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二、收入预算情况说明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常州市河道湖泊管理处2026年收入预算合计1,703.96万元，包括本年收入1,703.96万元，上年结转结余0万元。</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其中：</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本年一般公共预算收入1,703.96万元，占100%；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本年政府性基金预算收入0万元，占0%；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本年国有资本经营预算收入0万元，占0%；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本年财政专户管理资金0万元，占0%；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本年事业收入0万元，占0%；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本年事业单位经营收入0万元，占0%；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本年上级补助收入0万元，占0%；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本年附属单位上缴收入0万元，占0%；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本年其他收入0万元，占0%；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上年结转结余的一般公共预算收入0万元，占0%；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上年结转结余的政府性基金预算收入0万元，占0%；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上年结转结余的国有资本经营预算收入0万元，占0%；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上年结转结余的财政专户管理资金0万元，占0%；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上年结转结余的单位资金0万元，占0%。</w:t>
      </w:r>
      <w:r>
        <w:rPr>
          <w:rFonts w:ascii="仿宋" w:eastAsia="仿宋" w:hAnsi="仿宋" w:cs="仿宋"/>
          <w:u w:color="auto"/>
        </w:rPr>
        <w:t/>
      </w:r>
    </w:p>
    <w:p w14:paraId="5E7D86B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三、支出预算情况说明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常州市河道湖泊管理处2026年支出预算合计1,703.96万元，其中：</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基本支出1,506.58万元，占88.42%；</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项目支出197.38万元，占11.58%；</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事业单位经营支出0万元，占0%；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上缴上级支出0万元，占0%；</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对附属单位补助支出0万元，占0%。</w:t>
      </w:r>
      <w:r>
        <w:rPr>
          <w:rFonts w:ascii="仿宋" w:eastAsia="仿宋" w:hAnsi="仿宋" w:cs="仿宋"/>
          <w:u w:color="auto"/>
        </w:rPr>
        <w:t/>
      </w:r>
    </w:p>
    <w:p w14:paraId="5E7D86B6">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四、财政拨款收支预算总体情况说明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常州市河道湖泊管理处2026年度财政拨款收、支总预算1,703.96万元。与上年相比，财政拨款收、支总计各增加148.09万元，增长9.52%。主要原因是本年新增在职人员3人，导致人员类经费及公用类经费增加。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五、财政拨款支出预算情况说明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常州市河道湖泊管理处2026年财政拨款预算支出1,703.96万元，占本年支出合计的100%。与上年相比，财政拨款支出增加148.09万元，增长9.52%。主要原因是本年新增在职人员3人，导致人员类经费及公用类经费增加。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其中：</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（一）社会保障和就业支出（类）</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行政事业单位养老支出（款）事业单位离退休（项）支出1.54万元，与上年预算数相同。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（二）卫生健康支出（类）</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行政事业单位医疗（款）公务员医疗补助（项）支出20.8万元，与上年相比增加3万元，增长16.85%。主要原因是本年新增在职人员3人，导致公务员医疗补助支出增加。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（三）农林水支出（类）</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水利（款）水利行业业务管理（项）支出1,317.63万元，与上年相比增加104.81万元，增长8.64%。主要原因是本年新增在职人员3人，导致工资福利支出、商品和服务支出增加。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（四）住房保障支出（类）</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1.住房改革支出（款）住房公积金（项）支出98.8万元，与上年相比增加19.99万元，增长25.36%。主要原因是本年新增在职人员3人以及年度公积金基数调整，导致住房公积金支出增加。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2.住房改革支出（款）提租补贴（项）支出140.38万元，与上年相比增加10.41万元，增长8.01%。主要原因是本年新增老职工提租补贴基数2人，导致提租补贴支出增加。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3.住房改革支出（款）购房补贴（项）支出124.81万元，与上年相比增加9.88万元，增长8.6%。主要原因是本年调整及新增新职工购房补贴基数6人，导致购房补贴支出增加。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六、财政拨款基本支出预算情况说明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常州市河道湖泊管理处2026年度财政拨款基本支出预算1,506.58万元，其中：</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一）人员经费1,431.25万元。主要包括：基本工资、津贴补贴、奖金、绩效工资、机关事业单位基本养老保险缴费、职业年金缴费、职工基本医疗保险缴费、公务员医疗补助缴费、其他社会保障缴费、住房公积金、退休费、生活补助、奖励金、其他对个人和家庭的补助。</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（二）公用经费75.33万元。主要包括：办公费、水费、电费、差旅费、会议费、培训费、公务接待费、工会经费、其他商品和服务支出。</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七、一般公共预算支出预算情况说明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常州市河道湖泊管理处2026年一般公共预算财政拨款支出预算1,703.96万元，与上年相比增加148.09万元，增长9.52%。主要原因是本年新增在职人员3人，导致工资福利支出、商品和服务支出增加。</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八、一般公共预算基本支出预算情况说明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常州市河道湖泊管理处2026年度一般公共预算财政拨款基本支出预算1,506.58万元，其中：</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一）人员经费1,431.25万元。主要包括：基本工资、津贴补贴、奖金、绩效工资、机关事业单位基本养老保险缴费、职业年金缴费、职工基本医疗保险缴费、公务员医疗补助缴费、其他社会保障缴费、住房公积金、退休费、生活补助、奖励金、其他对个人和家庭的补助。</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（二）公用经费75.33万元。主要包括：办公费、水费、电费、差旅费、会议费、培训费、公务接待费、工会经费、其他商品和服务支出。</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九、一般公共预算“三公”经费、会议费、培训费支出预算情况说明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度一般公共预算拨款安排的“三公”经费支出预算8.85万元，比上年预算减少1.71万元，变动原因落实政府过紧日子，严控“三公”经费支出要求，本年度降低了公车运维综合定额标准。其中，因公出国（境）费支出0万元，占“三公”经费的0%；公务用车购置及运行维护费支出7.5万元，占“三公”经费的84.75%；公务接待费支出1.35万元，占“三公”经费的15.25%。具体情况如下：</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1．因公出国（境）费预算支出0万元，与上年预算数相同。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2．公务用车购置及运行维护费预算支出7.5万元。其中：</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（1）公务用车购置预算支出0万元，与上年预算数相同。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（2）公务用车运行维护费预算支出7.5万元，比上年预算减少1.8万元，主要原因是落实政府过紧日子，严控“三公”经费支出要求，本年度降低了公车运维综合定额标准。</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3．公务接待费预算支出1.35万元，比上年预算增加0.09万元，主要原因是预计2026年增加外单位来我处调研的公务接待支出。</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常州市河道湖泊管理处2026年度一般公共预算拨款安排的会议费预算支出4.05万元，比上年预算增加0.27万元，主要原因是预计2026年增加河湖长制业务方面的会议支出。</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常州市河道湖泊管理处2026年度一般公共预算拨款安排的培训费预算支出4.6万元，比上年预算减少4.01万元，主要原因是本年度水利系统业务能力提升培训费用整合至上级主管局导致该支出减少。</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十、政府性基金预算支出预算情况说明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常州市河道湖泊管理处2026年政府性基金支出预算支出0万元。与上年预算数相同。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十一、国有资本经营预算支出预算情况说明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常州市河道湖泊管理处2026年国有资本经营预算支出0万元。与上年预算数相同。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十二、一般公共预算机关运行经费支出预算情况说明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2026年本单位一般公共预算机关运行经费预算支出0万元，与上年预算数相同。</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十三、政府采购支出预算情况说明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2026年度政府采购支出预算总额127万元，其中：拟采购货物支出0.5万元、拟采购工程支出0万元、拟采购服务支出126.5万元。</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十四、国有资产占用情况说明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本单位共有车辆13辆，其中，副部（省）级及以上领导用车0辆、主要负责人用车0辆、机要通信用车0辆、应急保障用车1辆、执法执勤用车0辆、特种专业技术用车7辆、离退休干部用车0辆，其他用车5辆；单价100万元（含）以上的设备1台（套）。</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b w:val="on"/>
        </w:rPr>
        <w:t>十五、预算绩效目标设置情况说明</w:t>
      </w:r>
      <w:r>
        <w:rPr>
          <w:rFonts w:ascii="仿宋" w:eastAsia="仿宋" w:hAnsi="仿宋" w:cs="仿宋"/>
          <w:u w:color="auto"/>
        </w:rPr>
        <w:t/>
      </w:r>
    </w:p>
    <w:p w14:paraId="6D34BEFA">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eastAsia="仿宋" w:hAnsi="仿宋" w:cs="仿宋"/>
          <w:u w:color="auto"/>
        </w:rPr>
        <w:t>2026年度，本单位整体支出纳入绩效目标管理，涉及财政性资金1,703.96万元；本单位共3个项目纳入绩效目标管理，涉及财政性资金合计197.38万元，占财政性资金(人员类和运转类中的公用经费项目支出除外)总额的比例为100%。</w:t>
      </w:r>
      <w:r>
        <w:rPr>
          <w:rFonts w:ascii="仿宋" w:eastAsia="仿宋" w:hAnsi="仿宋" w:cs="仿宋"/>
          <w:u w:color="auto"/>
        </w:rPr>
        <w:t/>
      </w:r>
    </w:p>
    <w:p w14:paraId="60A71CD5">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14:paraId="63293F33">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一、财政拨款</w:t>
      </w:r>
      <w:r>
        <w:rPr>
          <w:b w:val="on"/>
          <w:rFonts w:ascii="仿宋" w:eastAsia="仿宋" w:hAnsi="仿宋" w:cs="仿宋"/>
          <w:u w:color="auto"/>
        </w:rPr>
        <w:t>：</w:t>
      </w:r>
      <w:r>
        <w:rPr>
          <w:rFonts w:hint="eastAsia" w:ascii="仿宋" w:hAnsi="仿宋" w:eastAsia="仿宋" w:cs="仿宋"/>
        </w:rPr>
        <w:t>单位从同级财政部门取得的各类财政拨款，包括一般公共预算拨款、政府性基金预算拨款、国有资本经营预算拨款。</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二、财政专户管理资金</w:t>
      </w:r>
      <w:r>
        <w:rPr>
          <w:b w:val="on"/>
          <w:rFonts w:ascii="仿宋" w:eastAsia="仿宋" w:hAnsi="仿宋" w:cs="仿宋"/>
          <w:u w:color="auto"/>
        </w:rPr>
        <w:t>：</w:t>
      </w:r>
      <w:r>
        <w:rPr>
          <w:rFonts w:hint="eastAsia" w:ascii="仿宋" w:hAnsi="仿宋" w:eastAsia="仿宋" w:cs="仿宋"/>
        </w:rPr>
        <w:t>缴入财政专户、实行专项管理的高中以上学费、住宿费、高校委托培养费、函大、电大、夜大及短训班培训费等教育收费。</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三、单位资金</w:t>
      </w:r>
      <w:r>
        <w:rPr>
          <w:b w:val="on"/>
          <w:rFonts w:ascii="仿宋" w:eastAsia="仿宋" w:hAnsi="仿宋" w:cs="仿宋"/>
          <w:u w:color="auto"/>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四、基本支出</w:t>
      </w:r>
      <w:r>
        <w:rPr>
          <w:b w:val="on"/>
          <w:rFonts w:ascii="仿宋" w:eastAsia="仿宋" w:hAnsi="仿宋" w:cs="仿宋"/>
          <w:u w:color="auto"/>
        </w:rPr>
        <w:t>：</w:t>
      </w:r>
      <w:r>
        <w:rPr>
          <w:rFonts w:hint="eastAsia" w:ascii="仿宋" w:hAnsi="仿宋" w:eastAsia="仿宋" w:cs="仿宋"/>
        </w:rPr>
        <w:t>指为保障机构正常运转、完成工作任务而发生的人员支出和公用支出。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五、项目支出</w:t>
      </w:r>
      <w:r>
        <w:rPr>
          <w:b w:val="on"/>
          <w:rFonts w:ascii="仿宋" w:eastAsia="仿宋" w:hAnsi="仿宋" w:cs="仿宋"/>
          <w:u w:color="auto"/>
        </w:rPr>
        <w:t>：</w:t>
      </w:r>
      <w:r>
        <w:rPr>
          <w:rFonts w:hint="eastAsia" w:ascii="仿宋" w:hAnsi="仿宋" w:eastAsia="仿宋" w:cs="仿宋"/>
        </w:rPr>
        <w:t>指在基本支出之外为完成特定工作任务和事业发展目标所发生的支出。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六、“三公”经费</w:t>
      </w:r>
      <w:r>
        <w:rPr>
          <w:b w:val="on"/>
          <w:rFonts w:ascii="仿宋" w:eastAsia="仿宋" w:hAnsi="仿宋" w:cs="仿宋"/>
          <w:u w:color="auto"/>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七、机关运行经费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八、社会保障和就业支出(类)行政事业单位养老支出(款)事业单位离退休(项)</w:t>
      </w:r>
      <w:r>
        <w:rPr>
          <w:b w:val="on"/>
          <w:rFonts w:ascii="仿宋" w:eastAsia="仿宋" w:hAnsi="仿宋" w:cs="仿宋"/>
          <w:u w:color="auto"/>
        </w:rPr>
        <w:t>：</w:t>
      </w:r>
      <w:r>
        <w:rPr>
          <w:rFonts w:hint="eastAsia" w:ascii="仿宋" w:hAnsi="仿宋" w:eastAsia="仿宋" w:cs="仿宋"/>
        </w:rPr>
        <w:t>反映事业单位开支的离退休经费。</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九、卫生健康支出(类)行政事业单位医疗(款)公务员医疗补助(项)</w:t>
      </w:r>
      <w:r>
        <w:rPr>
          <w:b w:val="on"/>
          <w:rFonts w:ascii="仿宋" w:eastAsia="仿宋" w:hAnsi="仿宋" w:cs="仿宋"/>
          <w:u w:color="auto"/>
        </w:rPr>
        <w:t>：</w:t>
      </w:r>
      <w:r>
        <w:rPr>
          <w:rFonts w:hint="eastAsia" w:ascii="仿宋" w:hAnsi="仿宋" w:eastAsia="仿宋" w:cs="仿宋"/>
        </w:rPr>
        <w:t>反映财政部门安排的公务员医疗补助经费。</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十、农林水支出(类)水利(款)水利行业业务管理(项)</w:t>
      </w:r>
      <w:r>
        <w:rPr>
          <w:b w:val="on"/>
          <w:rFonts w:ascii="仿宋" w:eastAsia="仿宋" w:hAnsi="仿宋" w:cs="仿宋"/>
          <w:u w:color="auto"/>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十一、住房保障支出(类)住房改革支出(款)住房公积金(项)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十二、住房保障支出(类)住房改革支出(款)提租补贴(项)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00D7B87C">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u/>
        </w:rPr>
        <w:t>十三、住房保障支出(类)住房改革支出(款)购房补贴(项)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9D44A">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7B329B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55044">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674D884">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DB4F1">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43F9E01C">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06B37">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54973739">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B7DF2">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7387FC5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C2DD7">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14:paraId="1EE1AB0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B43712">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14:paraId="7C57DB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54045">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14:paraId="1B453216">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838EE">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14:paraId="11550493">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124A0">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14:paraId="14E81EC5">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55A">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14:paraId="108D36C8">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881FA">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14:paraId="1E3E9A2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3E973">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14:paraId="5279EB44">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FF68D">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14:paraId="7BD642AB">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00F64">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14:paraId="405305FE">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D1B7F">
    <w:pPr>
      <w:pStyle w:val="10"/>
      <w:pBdr>
        <w:bottom w:val="single" w:color="000000" w:sz="4" w:space="1"/>
      </w:pBdr>
      <w:jc w:val="both"/>
      <w:rPr>
        <w:rFonts w:hint="default" w:eastAsia="Arial Unicode MS"/>
        <w:lang w:val="en-US" w:eastAsia="zh-CN"/>
      </w:rPr>
    </w:pPr>
    <w:r>
      <w:rPr>
        <w:rFonts w:hint="eastAsia"/>
        <w:lang w:val="en-US" w:eastAsia="zh-CN"/>
        <w:u/>
      </w:rPr>
      <w:t>常州市河道湖泊管理处</w:t>
    </w:r>
    <w:r>
      <w:rPr>
        <w:u w:color="auto"/>
      </w:rPr>
      <w:t>2026</w:t>
    </w:r>
    <w:r>
      <w:rPr>
        <w:u w:color="auto"/>
      </w:rPr>
      <w:t>年度</w:t>
    </w:r>
    <w:r>
      <w:rPr>
        <w:u w:color="auto"/>
      </w:rPr>
      <w:t>单位</w:t>
    </w:r>
    <w:r>
      <w:rPr>
        <w:u w:color="auto"/>
      </w:rP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1B3BA">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11C07"/>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0623A"/>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6CDC"/>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07AD9"/>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7313B"/>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9C3A6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537E16"/>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05098"/>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1911</Words>
  <Characters>6537</Characters>
  <Paragraphs>501</Paragraphs>
  <TotalTime>0</TotalTime>
  <ScaleCrop>false</ScaleCrop>
  <LinksUpToDate>false</LinksUpToDate>
  <CharactersWithSpaces>6554</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2025-05-21T07:38:56Z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2052-12.1.0.21171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