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10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4" w:hRule="atLeast"/>
        </w:trPr>
        <w:tc>
          <w:tcPr>
            <w:tcW w:w="1008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5" w:hRule="atLeast"/>
        </w:trPr>
        <w:tc>
          <w:tcPr>
            <w:tcW w:w="1008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2026年度</w:t>
              <w:br w:type="textWrapping"/>
              <w:t/>
            </w:r>
            <w:r>
              <w:rPr>
                <w:b w:val="on"/>
                <w:rFonts w:ascii="宋体" w:eastAsia="宋体" w:hAnsi="宋体" w:cs="宋体"/>
                <w:sz w:val="52"/>
                <w:u w:color="auto"/>
              </w:rPr>
              <w:t>常州市城市防洪工程管理处</w:t>
            </w:r>
            <w:r>
              <w:rPr>
                <w:b w:val="on"/>
                <w:rFonts w:ascii="宋体" w:eastAsia="宋体" w:hAnsi="宋体" w:cs="宋体"/>
                <w:sz w:val="52"/>
                <w:u w:color="auto"/>
              </w:rPr>
              <w:t xml:space="preserve"></w:t>
              <w:br w:type="textWrapping"/>
              <w:t>单位预算公开</w:t>
            </w:r>
            <w:r>
              <w:rPr>
                <w:b w:val="on"/>
                <w:rFonts w:ascii="宋体" w:eastAsia="宋体" w:hAnsi="宋体" w:cs="宋体"/>
                <w:sz w:val="52"/>
                <w:u w:color="auto"/>
              </w:rPr>
              <w:t/>
            </w:r>
            <w:r>
              <w:rPr>
                <w:b w:val="on"/>
                <w:rFonts w:ascii="宋体" w:eastAsia="宋体" w:hAnsi="宋体" w:cs="宋体"/>
                <w:sz w:val="52"/>
                <w:u w:color="auto"/>
              </w:rPr>
              <w:t/>
            </w:r>
          </w:p>
        </w:tc>
      </w:tr>
    </w:tbl>
    <w:p>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2026</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2026</w:t>
      </w:r>
      <w:r>
        <w:rPr>
          <w:rFonts w:hint="eastAsia" w:ascii="仿宋" w:hAnsi="仿宋" w:eastAsia="仿宋" w:cs="仿宋"/>
          <w:b/>
          <w:bCs/>
          <w:lang w:val="en-US" w:eastAsia="zh-CN"/>
          <w:u/>
        </w:rPr>
        <w:t>年度</w:t>
      </w:r>
      <w:r>
        <w:rPr>
          <w:b w:val="on"/>
          <w:rFonts w:ascii="仿宋" w:eastAsia="仿宋" w:hAnsi="仿宋" w:cs="仿宋"/>
          <w:u w:color="auto"/>
        </w:rPr>
        <w:t>单位</w:t>
      </w:r>
      <w:r>
        <w:rPr>
          <w:b w:val="on"/>
          <w:rFonts w:ascii="仿宋" w:eastAsia="仿宋" w:hAnsi="仿宋" w:cs="仿宋"/>
          <w:u w:color="auto"/>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2026</w:t>
      </w:r>
      <w:r>
        <w:rPr>
          <w:rFonts w:hint="eastAsia" w:ascii="仿宋" w:hAnsi="仿宋" w:eastAsia="仿宋" w:cs="仿宋"/>
          <w:b/>
          <w:bCs/>
          <w:color w:val="000000"/>
          <w:sz w:val="30"/>
          <w:szCs w:val="30"/>
          <w:lang w:val="en-US" w:bidi="ar"/>
          <w:u/>
        </w:rPr>
        <w:t>年度</w:t>
      </w:r>
      <w:r>
        <w:rPr>
          <w:b w:val="on"/>
          <w:color w:val="000000"/>
          <w:rFonts w:ascii="仿宋" w:eastAsia="仿宋" w:hAnsi="仿宋" w:cs="仿宋"/>
          <w:sz w:val="30"/>
          <w:u w:color="auto"/>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5"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根据调度规程及上级调度指令，负责长江大堤（常州段）、市直管沿江水利工程、运北片城市防洪节点工程、主城区活动堰、市区中小型泵闸站范围内水利工程设施的统一管理及调度运行，做好防洪排涝、水量调度等工作。</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2.参与市直管水利工程调度规程、应急预案的编制和修订。</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3.承担所辖范围内市直管水利工程设施的维修、养护、检查、观测和控制运用等日常工作，负责拟定所辖范围内市直管的水利工程维修、防汛应急工程计划并组织实施。</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4.负责长江魏村集中式饮用水源地日常管理相关工作。</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5.承担常州市青龙潭水利风景区的管理和保护工作。</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6.承担长江采砂管理的具体工作。</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7.承担船舶过闸费、长江岸线占用补偿费收缴工作。</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8.协助做好市直管水利工程范围内水事巡查、水事违法案件调查处理等工作。</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9.承办上级交办的其他任务。</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u/>
        </w:rPr>
        <w:t>二、</w:t>
      </w:r>
      <w:r>
        <w:rPr>
          <w:b w:val="on"/>
          <w:rFonts w:ascii="仿宋" w:eastAsia="仿宋" w:hAnsi="仿宋" w:cs="仿宋"/>
          <w:u w:color="auto"/>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综合科、组宣科、财务科、工程科、运行调度科（安全监督科）、魏村片管理所、圩塘片管理所、龙虎塘片管理所、青龙片管理所、雕庄片管理所、湖塘片管理所、北港片管理所、市区闸站管理所、江堤管理所（水源地管理所）。</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2026</w:t>
      </w:r>
      <w:r>
        <w:rPr>
          <w:rFonts w:hint="eastAsia" w:ascii="仿宋" w:hAnsi="仿宋" w:eastAsia="仿宋" w:cs="仿宋"/>
          <w:b/>
          <w:bCs/>
          <w:u/>
        </w:rPr>
        <w:t>年度</w:t>
      </w:r>
      <w:r>
        <w:rPr>
          <w:b w:val="on"/>
          <w:rFonts w:ascii="仿宋" w:eastAsia="仿宋" w:hAnsi="仿宋" w:cs="仿宋"/>
          <w:u w:color="auto"/>
        </w:rPr>
        <w:t>单位</w:t>
      </w:r>
      <w:r>
        <w:rPr>
          <w:b w:val="on"/>
          <w:rFonts w:ascii="仿宋" w:eastAsia="仿宋" w:hAnsi="仿宋" w:cs="仿宋"/>
          <w:u w:color="auto"/>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筑牢防汛安全防线，提升应急处置能力。一是压实防汛责任。完善防汛责任制，严格执行值班值守制度，确保人员在岗、机组待命。开展汛前汛后检查，建立问题台账，限期整改到位。二是科学精准调度。严格执行调度指令，优化沿江水利工程调度方案。完善大包围工程联合运行机制，提升小片区排涝预降能力。三是加强应急演练。组织开展防汛抗旱、防台风等专项演练，提升实战能力。完善应急预案体系，提高针对性和可操作性。</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推进工程精细管理，提升运行维护水平。一是深化精细化管理。充分运用精细化平台，高效处置发现的问题；结合实际需求，配合推动水利一体化平台（二期）项目落地实施。二是规范维修养护。提前完成2026年维修养护实施方案报批，及早开展招投标工作。加强项目实施监管，确保工程质量和使用安全。摸清管理设施设备底数、推进维修养护精细化建设。三是推进科技创新。按时序推进已立项科技项目研究，开展智能泵站、堤防监测等新技术研究。加强与科研院校合作，搭建产学研平台，做好2026年科技项目申报准备工作。</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强化安全生产管理，守住安全发展底线。一是加强安全管理考核。继续推进安全生产主体责任落实，完成安全生产目标分解，层层签订安全责任书，完善安全考核体系，进一步激励各部门做好安全管理工作。二是提升安全意识。开拓思路、创新方式，充分利用南运河枢纽实训基地开展教育培训、技能竞赛等活动，充分发掘职工业务水平和各项安全防护技能。加强对特种设备和特种作业证的管理，激励职工做到持证上岗，引导职工摒弃侥幸心理和麻痹思想，提升安全风险意识。三是加大隐患治理力度。开展各项安全检查，针对检查出的问题，积极整改，提升提优。落实安全风险分级管控和隐患排查治理双重预防工作机制，开展春节、国庆等节假日安全大检查，每月组织隐患排查并整改，定期组织特种设备、职业危害因素等安全检测，开展安全生产专项整治行动。</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加强人才队伍建设，提供坚实人才支撑。一是高效用好编制资源，灵活采取公开招录、市内流动、军转安置等多种方式，广泛吸纳具有不同背景的专业人才。二是健全新录用人员导师制度管理办法，强化传帮带机制，助力年轻干部成长提速提质。三是突出实践导向，加大交流锻炼力度，对基础好、能力强、干劲足的年轻干部大胆交任务、压担子。推行“课题+一线”培养模式，鼓励年轻干部带着课题下沉一线，在实战中锤炼调查研究、应急处突、群众工作和抓落实等核心能力。四是优化干部成长路径，常态化开展谈心谈话，精准运用提醒、函询、诫勉等手段，筑牢人才思想根基；健全考核评价机制，动态跟踪新录用、新提拔干部表现，夯实人才梯队基础；统筹运用考核结果、荣誉表彰和岗位聘用等激励措施，激发年轻干部敢闯敢试，为单位人才队伍建设注入持续活力。</w:t>
      </w:r>
      <w:r>
        <w:rPr>
          <w:rFonts w:ascii="仿宋" w:eastAsia="仿宋" w:hAnsi="仿宋" w:cs="仿宋"/>
          <w:u w:color="auto"/>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提升综合管理效能，增强服务保障能力。一是持续强化基层党组织政治功能和组织功能，以“四强”党支部创建为抓手，全面推进党支部标准化规范化建设，夯实基层战斗堡垒。二是坚持“清诚”党建品牌引领，推动学习内容从“讲理论”向“解难题”转变，把党性锤炼、政策学习嵌入工程管理、防汛调度等具体场景，确保学以致用、用以促干。三是规范内部管理。加强预算执行管理，提高资金使用效益。完善内控制度，防范财务风险。推进采购工作规范化，加强固定资产管理。强化物业监管，完善景区配套设施，加强执法队伍建设，严抓涉河建设项目事前审批，规范事中事后监管流程和标准，提高管理水平。四是增强单位活力，坚持党建带群建团建，聚焦干部职工关切，灵活开展职工春秋游、运动会、“六一”亲子活动、青年交流座谈等暖心举措，精准服务团员青年、妇女等群体，提升队伍凝聚力与幸福感。</w:t>
      </w:r>
      <w:r>
        <w:rPr>
          <w:rFonts w:ascii="仿宋" w:eastAsia="仿宋" w:hAnsi="仿宋" w:cs="仿宋"/>
          <w:u w:color="auto"/>
        </w:rPr>
        <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2026</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常州市城市防洪工程管理处</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u/>
        </w:rPr>
        <w:t>单位</w:t>
      </w:r>
      <w:r>
        <w:rPr>
          <w:b w:val="on"/>
          <w:rFonts w:ascii="仿宋" w:eastAsia="仿宋" w:hAnsi="仿宋" w:cs="仿宋"/>
          <w:sz w:val="44"/>
          <w:u w:color="auto"/>
        </w:rPr>
        <w:t>预算表</w:t>
      </w:r>
    </w:p>
    <w:tbl>
      <w:tblPr>
        <w:tblStyle w:val="12"/>
        <w:tblW w:w="11329" w:type="dxa"/>
        <w:jc w:val="center"/>
        <w:tblInd w:w="0" w:type="dxa"/>
        <w:tblLayout w:type="fixed"/>
        <w:tblCellMar>
          <w:top w:w="0" w:type="dxa"/>
          <w:left w:w="108" w:type="dxa"/>
          <w:bottom w:w="0" w:type="dxa"/>
          <w:right w:w="108" w:type="dxa"/>
        </w:tblCellMar>
      </w:tblPr>
      <w:tblGrid>
        <w:gridCol w:w="3908"/>
        <w:gridCol w:w="1869"/>
        <w:gridCol w:w="3704"/>
        <w:gridCol w:w="67"/>
        <w:gridCol w:w="1781"/>
      </w:tblGrid>
      <w:tr>
        <w:tblPrEx>
          <w:tblLayout w:type="fixed"/>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Layout w:type="fixed"/>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Layout w:type="fixed"/>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color w:val="000000"/>
                <w:sz w:val="22"/>
                <w:szCs w:val="22"/>
                <w:lang w:eastAsia="ar-SA"/>
              </w:rPr>
              <w:t>常州市城市防洪工程管理处</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Layout w:type="fixed"/>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Layout w:type="fixed"/>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3,988.16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2.99</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46.60</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3,185.43</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753.14</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Layout w:type="fixed"/>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3,988.16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3,988.16</w:t>
            </w:r>
          </w:p>
        </w:tc>
      </w:tr>
      <w:tr>
        <w:tblPrEx>
          <w:tblLayout w:type="fixed"/>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Layout w:type="fixed"/>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3,988.16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3,988.16</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7"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3,988.16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3,988.16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3,988.16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037003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常州市城市防洪工程管理处</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3,988.16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3,988.16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3,988.16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8"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Layout w:type="fixed"/>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Layout w:type="fixed"/>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Layout w:type="fixed"/>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Layout w:type="fixed"/>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Layout w:type="fixed"/>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u/>
              </w:rPr>
              <w:t/>
            </w:r>
            <w:r>
              <w:rPr>
                <w:rFonts w:ascii="仿宋" w:eastAsia="仿宋" w:hAnsi="仿宋" w:cs="仿宋"/>
                <w:sz w:val="22"/>
                <w:u w:color="auto"/>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3,988.16</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3,688.73</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299.43</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3,185.43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2,886.00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299.43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3,185.43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2,886.00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299.43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6.52</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水利执法监督</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防汛</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2130333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信息管理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其他水利支出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2,923.00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2,886.00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216.70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216.70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234.02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234.02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Layout w:type="fixed"/>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Layout w:type="fixed"/>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Layout w:type="fixed"/>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sz w:val="22"/>
                <w:szCs w:val="22"/>
              </w:rPr>
              <w:t>常州市城市防洪工程管理处</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Layout w:type="fixed"/>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Layout w:type="fixed"/>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u/>
              </w:rPr>
              <w:t/>
            </w:r>
            <w:r>
              <w:rPr>
                <w:b w:val="on"/>
                <w:rFonts w:ascii="仿宋" w:eastAsia="仿宋" w:hAnsi="仿宋" w:cs="仿宋"/>
                <w:sz w:val="22"/>
                <w:u w:color="auto"/>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3,988.16</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3,988.16</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3,988.16</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2.99</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46.60</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3,185.43</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753.14</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3,988.16</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3,988.16</w:t>
            </w:r>
          </w:p>
        </w:tc>
      </w:tr>
    </w:tbl>
    <w:p>
      <w:pPr>
        <w:ind w:left="-220" w:leftChars="-100" w:firstLine="0" w:firstLineChars="0"/>
        <w:rPr>
          <w:rFonts w:hint="eastAsia" w:ascii="仿宋" w:hAnsi="仿宋" w:eastAsia="仿宋" w:cs="仿宋"/>
          <w:b/>
          <w:bCs/>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Layout w:type="fixed"/>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Layout w:type="fixed"/>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Layout w:type="fixed"/>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Layout w:type="fixed"/>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3,988.16</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3,688.73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3,516.31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172.42</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299.43</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3,185.43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2,886.00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2,713.58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172.42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299.43</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3,185.43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2,886.00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2,713.58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172.42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299.43</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6.52</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水利执法监督</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防汛</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24.27</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2130333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信息管理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32.24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其他水利支出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2,923.00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2,886.00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2,713.58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172.42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216.70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216.70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216.70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302.42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302.42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302.42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234.02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234.02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234.02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Layout w:type="fixed"/>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Layout w:type="fixed"/>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Layout w:type="fixed"/>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sz w:val="22"/>
                <w:szCs w:val="22"/>
              </w:rPr>
              <w:t>常州市城市防洪工程管理处</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Layout w:type="fixed"/>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Layout w:type="fixed"/>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3,688.73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3,516.31</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172.42</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3,350.68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543.36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543.36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665.58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665.58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647.69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647.69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264.10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132.05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132.05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216.70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216.70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350.06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172.42</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37.08</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5.15</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82.40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9.27</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4.12</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15.45</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165.63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165.63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143.42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2"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Layout w:type="fixed"/>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Layout w:type="fixed"/>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Layout w:type="fixed"/>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Layout w:type="fixed"/>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3,988.16</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3,688.73</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3,516.31</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172.42</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299.43</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3,185.43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2,886.00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2,713.58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172.42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299.43</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3,185.43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2,886.00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2,713.58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172.42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299.43</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6.52</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水利执法监督</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防汛</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24.27</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2130333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信息管理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其他水利支出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2,923.00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2,886.00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2,713.58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172.42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216.70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216.70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216.70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234.02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234.02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234.02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3"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Layout w:type="fixed"/>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Layout w:type="fixed"/>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Layout w:type="fixed"/>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Layout w:type="fixed"/>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Layout w:type="fixed"/>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3,688.73</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3,516.31</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172.42</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3,350.68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543.36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543.36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665.58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665.58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647.69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647.69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264.10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132.05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132.05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82.01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216.70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216.70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350.06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350.06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172.42</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37.08</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5.15</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13.39</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82.40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9.27</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4.12</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15.45</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165.63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165.63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143.42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Layout w:type="fixed"/>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Layout w:type="fixed"/>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Layout w:type="fixed"/>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Layout w:type="fixed"/>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Layout w:type="fixed"/>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21.09</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9.27</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5"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Layout w:type="fixed"/>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Layout w:type="fixed"/>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Layout w:type="fixed"/>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Layout w:type="fixed"/>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Layout w:type="fixed"/>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Layout w:type="fixed"/>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Layout w:type="fixed"/>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Layout w:type="fixed"/>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u/>
        </w:rPr>
        <w:t>本</w:t>
      </w:r>
      <w:r>
        <w:rPr>
          <w:b w:val="on"/>
          <w:rFonts w:ascii="仿宋" w:eastAsia="仿宋" w:hAnsi="仿宋" w:cs="仿宋"/>
          <w:sz w:val="22"/>
          <w:u w:color="auto"/>
        </w:rPr>
        <w:t>单位</w:t>
      </w:r>
      <w:r>
        <w:rPr>
          <w:b w:val="on"/>
          <w:rFonts w:ascii="仿宋" w:eastAsia="仿宋" w:hAnsi="仿宋" w:cs="仿宋"/>
          <w:sz w:val="22"/>
          <w:u w:color="auto"/>
        </w:rPr>
        <w:t>无政府性基金预算，也没有使用政府性基金安排的支出，故本表无数据。</w:t>
      </w:r>
      <w:r>
        <w:rPr>
          <w:b w:val="on"/>
          <w:rFonts w:ascii="仿宋" w:eastAsia="仿宋" w:hAnsi="仿宋" w:cs="仿宋"/>
          <w:sz w:val="22"/>
          <w:u w:color="auto"/>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6"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Ind w:w="0" w:type="dxa"/>
        <w:tblLayout w:type="fixed"/>
        <w:tblCellMar>
          <w:top w:w="0" w:type="dxa"/>
          <w:left w:w="108" w:type="dxa"/>
          <w:bottom w:w="0" w:type="dxa"/>
          <w:right w:w="108" w:type="dxa"/>
        </w:tblCellMar>
      </w:tblPr>
      <w:tblGrid>
        <w:gridCol w:w="1596"/>
        <w:gridCol w:w="3803"/>
        <w:gridCol w:w="3111"/>
        <w:gridCol w:w="3094"/>
        <w:gridCol w:w="3091"/>
      </w:tblGrid>
      <w:tr>
        <w:tblPrEx>
          <w:tblLayout w:type="fixed"/>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Layout w:type="fixed"/>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Layout w:type="fixed"/>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Layout w:type="fixed"/>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Layout w:type="fixed"/>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Layout w:type="fixed"/>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Layout w:type="fixed"/>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Layout w:type="fixed"/>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Layout w:type="fixed"/>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u/>
        </w:rPr>
        <w:t/>
      </w:r>
      <w:r>
        <w:rPr>
          <w:b w:val="on"/>
          <w:rFonts w:ascii="仿宋" w:eastAsia="仿宋" w:hAnsi="仿宋" w:cs="仿宋"/>
          <w:sz w:val="22"/>
          <w:u w:color="auto"/>
        </w:rPr>
        <w:t>注：本</w:t>
      </w:r>
      <w:r>
        <w:rPr>
          <w:b w:val="on"/>
          <w:rFonts w:ascii="仿宋" w:eastAsia="仿宋" w:hAnsi="仿宋" w:cs="仿宋"/>
          <w:sz w:val="22"/>
          <w:u w:color="auto"/>
        </w:rPr>
        <w:t>单位</w:t>
      </w:r>
      <w:r>
        <w:rPr>
          <w:b w:val="on"/>
          <w:rFonts w:ascii="仿宋" w:eastAsia="仿宋" w:hAnsi="仿宋" w:cs="仿宋"/>
          <w:sz w:val="22"/>
          <w:u w:color="auto"/>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u/>
        </w:rPr>
        <w:t>，故本表无数据。</w:t>
      </w:r>
      <w:r>
        <w:rPr>
          <w:b w:val="on"/>
          <w:rFonts w:ascii="仿宋" w:eastAsia="仿宋" w:hAnsi="仿宋" w:cs="仿宋"/>
          <w:sz w:val="22"/>
          <w:u w:color="auto"/>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Layout w:type="fixed"/>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Layout w:type="fixed"/>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Layout w:type="fixed"/>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Layout w:type="fixed"/>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u/>
        </w:rPr>
        <w:t>本</w:t>
      </w:r>
      <w:r>
        <w:rPr>
          <w:b w:val="on"/>
          <w:rFonts w:ascii="仿宋" w:eastAsia="仿宋" w:hAnsi="仿宋" w:cs="仿宋"/>
          <w:sz w:val="22"/>
          <w:u w:color="auto"/>
        </w:rPr>
        <w:t>单位</w:t>
      </w:r>
      <w:r>
        <w:rPr>
          <w:b w:val="on"/>
          <w:rFonts w:ascii="仿宋" w:eastAsia="仿宋" w:hAnsi="仿宋" w:cs="仿宋"/>
          <w:sz w:val="22"/>
          <w:u w:color="auto"/>
        </w:rPr>
        <w:t>无一般公共预算机关运行经费支出，故本表无数据。</w:t>
      </w:r>
      <w:r>
        <w:rPr>
          <w:b w:val="on"/>
          <w:rFonts w:ascii="仿宋" w:eastAsia="仿宋" w:hAnsi="仿宋" w:cs="仿宋"/>
          <w:sz w:val="22"/>
          <w:u w:color="auto"/>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7"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479"/>
        <w:gridCol w:w="1109"/>
        <w:gridCol w:w="1173"/>
        <w:gridCol w:w="1188"/>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9213"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常州市城市防洪工程管理处</w:t>
            </w:r>
          </w:p>
        </w:tc>
        <w:tc>
          <w:tcPr>
            <w:tcW w:w="4639"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479"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39"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217.28</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21.24</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常州市城市防洪工程管理处</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21.24</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设备设施购置费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空调机</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3.24</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水利行业业务管理费用</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小型客车</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196.04</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常州市城市防洪工程管理处</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196.04</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物业管理费用</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169.00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信息化运行维护</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维修（护）费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其他运行维护服务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27.04</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27.04</w:t>
            </w:r>
          </w:p>
        </w:tc>
      </w:tr>
    </w:tbl>
    <w:p>
      <w:pPr>
        <w:bidi w:val="0"/>
        <w:rPr>
          <w:rFonts w:hint="eastAsia" w:ascii="仿宋" w:hAnsi="仿宋" w:eastAsia="仿宋" w:cs="仿宋"/>
          <w:b/>
          <w:bCs/>
          <w:sz w:val="22"/>
          <w:szCs w:val="22"/>
        </w:rPr>
        <w:sectPr>
          <w:footerReference r:id="rId18"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2026</w:t>
      </w:r>
      <w:r>
        <w:rPr>
          <w:rFonts w:hint="eastAsia" w:ascii="仿宋" w:hAnsi="仿宋" w:eastAsia="仿宋" w:cs="仿宋"/>
          <w:b/>
          <w:bCs/>
          <w:sz w:val="44"/>
          <w:szCs w:val="44"/>
          <w:u/>
        </w:rPr>
        <w:t>年度</w:t>
      </w:r>
      <w:r>
        <w:rPr>
          <w:b w:val="on"/>
          <w:rFonts w:ascii="仿宋" w:eastAsia="仿宋" w:hAnsi="仿宋" w:cs="仿宋"/>
          <w:sz w:val="44"/>
          <w:u w:color="auto"/>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一、收支预算总体情况说明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常州市城市防洪工程管理处2026年度收入、支出预算总计3,988.16万元，与上年相比收、支预算总计各减少28.93万元，减少0.72%。其中：</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（一）收入预算总计3,988.16万元。包括：</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1．本年收入合计3,988.16万元。</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（1）一般公共预算拨款收入3,988.16万元，与上年相比减少28.93万元，减少0.72%。主要原因是公用经费及项目支出经费减少。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（2）政府性基金预算拨款收入0万元，与上年预算数相同。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（3）国有资本经营预算拨款收入0万元，与上年预算数相同。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（4）财政专户管理资金收入0万元，与上年预算数相同。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（5）事业收入0万元，与上年预算数相同。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（6）事业单位经营收入0万元，与上年预算数相同。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（7）上级补助收入0万元，与上年预算数相同。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（8）附属单位上缴收入0万元，与上年预算数相同。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（9）其他收入0万元，与上年预算数相同。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2．上年结转结余为0万元。与上年预算数相同。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（二）支出预算总计3,988.16万元。包括：</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1．本年支出合计3,988.16万元。</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（1）社会保障和就业支出（类）支出2.99万元，主要用于事业单位退休人员支出。与上年相比增加0.09万元，增长3.1%。主要原因是退休人员增加。</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（2）卫生健康支出（类）支出46.6万元，主要用于事业单位医疗方面的支出。与上年相比增加1.6万元，增长3.56%。主要原因是社会保障缴费基数调高。</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（3）农林水支出（类）支出3,185.43万元，主要用于水利方面的支出。与上年相比减少39.41万元，减少1.22%。主要原因是项目支出减少。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（4）住房保障支出（类）支出753.14万元，主要用于住房改革方面的支出。与上年相比增加8.79万元，增长1.18%。主要原因是公积金基数提高导致住房保障支出增加。</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2．年终结转结余为0万元。</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二、收入预算情况说明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常州市城市防洪工程管理处2026年收入预算合计3,988.16万元，包括本年收入3,988.16万元，上年结转结余0万元。</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其中：</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本年一般公共预算收入3,988.16万元，占100%；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本年政府性基金预算收入0万元，占0%；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本年国有资本经营预算收入0万元，占0%；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本年财政专户管理资金0万元，占0%；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本年事业收入0万元，占0%；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本年事业单位经营收入0万元，占0%；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本年上级补助收入0万元，占0%；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本年附属单位上缴收入0万元，占0%；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本年其他收入0万元，占0%；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上年结转结余的一般公共预算收入0万元，占0%；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上年结转结余的政府性基金预算收入0万元，占0%；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上年结转结余的国有资本经营预算收入0万元，占0%；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上年结转结余的财政专户管理资金0万元，占0%；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上年结转结余的单位资金0万元，占0%。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三、支出预算情况说明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常州市城市防洪工程管理处2026年支出预算合计3,988.16万元，其中：</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基本支出3,688.73万元，占92.49%；</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项目支出299.43万元，占7.51%；</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事业单位经营支出0万元，占0%；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上缴上级支出0万元，占0%；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对附属单位补助支出0万元，占0%。</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四、财政拨款收支预算总体情况说明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常州市城市防洪工程管理处2026年度财政拨款收、支总预算3,988.16万元。与上年相比，财政拨款收、支总计各减少28.93万元，减少0.72%。主要原因是公用经费及项目支出经费减少。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五、财政拨款支出预算情况说明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常州市城市防洪工程管理处2026年财政拨款预算支出3,988.16万元，占本年支出合计的100%。与上年相比，财政拨款支出减少28.93万元，减少0.72%。主要原因是公用经费及项目支出经费减少。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其中：</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（一）社会保障和就业支出（类）</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行政事业单位养老支出（款）事业单位离退休（项）支出2.99万元，与上年相比增加0.09万元，增长3.1%。主要原因是退休人员增加。</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（二）卫生健康支出（类）</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行政事业单位医疗（款）公务员医疗补助（项）支出46.6万元，与上年相比增加1.6万元，增长3.56%。主要原因是社保缴费基数调高。</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（三）农林水支出（类）</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1.水利（款）水利行业业务管理（项）支出6.52万元，与上年相比减少10.38万元，减少61.42%。主要原因是办公设备购置减少。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2.水利（款）水利工程运行与维护（项）支出183万元，与上年相比减少7万元，减少3.68%。主要原因是物业管理费减少。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3.水利（款）水利执法监督（项）支出16.4万元，与上年相比减少2.6万元，减少13.68%。主要原因是水利执法经费减少。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4.水利（款）防汛（项）支出24.27万元，与上年相比减少4.63万元，减少16.02%。主要原因是防汛防旱经费减少。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5.水利（款）信息管理（项）支出32.24万元，与上年相比减少3.52万元，减少9.84%。主要原因是信息系统日常运行维护经费减少。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6.水利（款）其他水利支出（项）支出2,923万元，与上年相比减少11.28万元，减少0.38%。主要原因是在职人员减少。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（四）住房保障支出（类）</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1.住房改革支出（款）住房公积金（项）支出216.7万元，与上年相比增加23.22万元，增长12%。主要原因是公积金基数提高。</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2.住房改革支出（款）提租补贴（项）支出302.42万元，与上年相比减少14.7万元，减少4.64%。主要原因是在职老职工人员减少。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3.住房改革支出（款）购房补贴（项）支出234.02万元，与上年相比增加0.27万元，增长0.12%。主要原因是部分新职工缴存基数调高及招录新职工导致购房补贴增加。</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六、财政拨款基本支出预算情况说明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常州市城市防洪工程管理处2026年度财政拨款基本支出预算3,688.73万元，其中：</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一）人员经费3,516.31万元。主要包括：基本工资、津贴补贴、奖金、绩效工资、机关事业单位基本养老保险缴费、职业年金缴费、职工基本医疗保险缴费、公务员医疗补助缴费、其他社会保障缴费、住房公积金、其他工资福利支出、退休费、生活补助、奖励金、其他对个人和家庭的补助。</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（二）公用经费172.42万元。主要包括：办公费、水费、电费、差旅费、会议费、培训费、公务接待费、工会经费、其他商品和服务支出。</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七、一般公共预算支出预算情况说明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常州市城市防洪工程管理处2026年一般公共预算财政拨款支出预算3,988.16万元，与上年相比减少28.93万元，减少0.72%。主要原因是公用经费及项目支出经费减少。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八、一般公共预算基本支出预算情况说明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常州市城市防洪工程管理处2026年度一般公共预算财政拨款基本支出预算3,688.73万元，其中：</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一）人员经费3,516.31万元。主要包括：基本工资、津贴补贴、奖金、绩效工资、机关事业单位基本养老保险缴费、职业年金缴费、职工基本医疗保险缴费、公务员医疗补助缴费、其他社会保障缴费、住房公积金、其他工资福利支出、退休费、生活补助、奖励金、其他对个人和家庭的补助。</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（二）公用经费172.42万元。主要包括：办公费、水费、电费、差旅费、会议费、培训费、公务接待费、工会经费、其他商品和服务支出。</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九、一般公共预算“三公”经费、会议费、培训费支出预算情况说明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度一般公共预算拨款安排的“三公”经费支出预算21.09万元，比上年预算减少0.98万元，变动原因厉行节约，减少“三公”经费支出。其中，因公出国（境）费支出0万元，占“三公”经费的0%；公务用车购置及运行维护费支出18万元，占“三公”经费的85.35%；公务接待费支出3.09万元，占“三公”经费的14.65%。具体情况如下：</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1．因公出国（境）费预算支出0万元，与上年预算数相同。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2．公务用车购置及运行维护费预算支出18万元。其中：</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（1）公务用车购置预算支出18万元，比上年预算减少0.8万元，主要原因是更新新能源车辆，减少相关费用支出。</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（2）公务用车运行维护费预算支出0万元，与上年预算数相同。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3．公务接待费预算支出3.09万元，比上年预算减少0.18万元，主要原因是厉行节约，减少公务接待支出。</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常州市城市防洪工程管理处2026年度一般公共预算拨款安排的会议费预算支出9.27万元，比上年预算减少0.54万元，主要原因是厉行节约，减少会议费支出。</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常州市城市防洪工程管理处2026年度一般公共预算拨款安排的培训费预算支出7.12万元，比上年预算减少8.74万元，主要原因是本单位水利系统业务能力提升培训费用整合在局本级列支，导致该费用本年支出减少。</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十、政府性基金预算支出预算情况说明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常州市城市防洪工程管理处2026年政府性基金支出预算支出0万元。与上年预算数相同。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十一、国有资本经营预算支出预算情况说明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常州市城市防洪工程管理处2026年国有资本经营预算支出0万元。与上年预算数相同。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十二、一般公共预算机关运行经费支出预算情况说明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2026年本单位一般公共预算机关运行经费预算支出0万元，与上年预算数相同。</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十三、政府采购支出预算情况说明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2026年度政府采购支出预算总额217.28万元，其中：拟采购货物支出21.24万元、拟采购工程支出0万元、拟采购服务支出196.04万元。</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十四、国有资产占用情况说明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单位共有车辆11辆，其中，副部（省）级及以上领导用车0辆、主要负责人用车0辆、机要通信用车0辆、应急保障用车0辆、执法执勤用车0辆、特种专业技术用车0辆、离退休干部用车0辆，其他用车11辆；单价100万元（含）以上的设备23台（套）。</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十五、预算绩效目标设置情况说明</w:t>
      </w:r>
      <w:r>
        <w:rPr>
          <w:rFonts w:ascii="仿宋" w:eastAsia="仿宋" w:hAnsi="仿宋" w:cs="仿宋"/>
          <w:u w:color="auto"/>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2026年度，本单位整体支出纳入绩效目标管理，涉及财政性资金3,988.16万元；本单位共7个项目纳入绩效目标管理，涉及财政性资金合计299.43万元，占财政性资金(人员类和运转类中的公用经费项目支出除外)总额的比例为100%。</w:t>
      </w:r>
      <w:r>
        <w:rPr>
          <w:rFonts w:ascii="仿宋" w:eastAsia="仿宋" w:hAnsi="仿宋" w:cs="仿宋"/>
          <w:u w:color="auto"/>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一、财政拨款</w:t>
      </w:r>
      <w:r>
        <w:rPr>
          <w:b w:val="on"/>
          <w:rFonts w:ascii="仿宋" w:eastAsia="仿宋" w:hAnsi="仿宋" w:cs="仿宋"/>
          <w:u w:color="auto"/>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二、财政专户管理资金</w:t>
      </w:r>
      <w:r>
        <w:rPr>
          <w:b w:val="on"/>
          <w:rFonts w:ascii="仿宋" w:eastAsia="仿宋" w:hAnsi="仿宋" w:cs="仿宋"/>
          <w:u w:color="auto"/>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三、单位资金</w:t>
      </w:r>
      <w:r>
        <w:rPr>
          <w:b w:val="on"/>
          <w:rFonts w:ascii="仿宋" w:eastAsia="仿宋" w:hAnsi="仿宋" w:cs="仿宋"/>
          <w:u w:color="auto"/>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四、基本支出</w:t>
      </w:r>
      <w:r>
        <w:rPr>
          <w:b w:val="on"/>
          <w:rFonts w:ascii="仿宋" w:eastAsia="仿宋" w:hAnsi="仿宋" w:cs="仿宋"/>
          <w:u w:color="auto"/>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五、项目支出</w:t>
      </w:r>
      <w:r>
        <w:rPr>
          <w:b w:val="on"/>
          <w:rFonts w:ascii="仿宋" w:eastAsia="仿宋" w:hAnsi="仿宋" w:cs="仿宋"/>
          <w:u w:color="auto"/>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六、“三公”经费</w:t>
      </w:r>
      <w:r>
        <w:rPr>
          <w:b w:val="on"/>
          <w:rFonts w:ascii="仿宋" w:eastAsia="仿宋" w:hAnsi="仿宋" w:cs="仿宋"/>
          <w:u w:color="auto"/>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七、机关运行经费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八、社会保障和就业支出(类)行政事业单位养老支出(款)事业单位离退休(项)</w:t>
      </w:r>
      <w:r>
        <w:rPr>
          <w:b w:val="on"/>
          <w:rFonts w:ascii="仿宋" w:eastAsia="仿宋" w:hAnsi="仿宋" w:cs="仿宋"/>
          <w:u w:color="auto"/>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九、卫生健康支出(类)行政事业单位医疗(款)公务员医疗补助(项)</w:t>
      </w:r>
      <w:r>
        <w:rPr>
          <w:b w:val="on"/>
          <w:rFonts w:ascii="仿宋" w:eastAsia="仿宋" w:hAnsi="仿宋" w:cs="仿宋"/>
          <w:u w:color="auto"/>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十、农林水支出(类)水利(款)水利行业业务管理(项)</w:t>
      </w:r>
      <w:r>
        <w:rPr>
          <w:b w:val="on"/>
          <w:rFonts w:ascii="仿宋" w:eastAsia="仿宋" w:hAnsi="仿宋" w:cs="仿宋"/>
          <w:u w:color="auto"/>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十一、农林水支出(类)水利(款)水利工程运行与维护(项)</w:t>
      </w:r>
      <w:r>
        <w:rPr>
          <w:b w:val="on"/>
          <w:rFonts w:ascii="仿宋" w:eastAsia="仿宋" w:hAnsi="仿宋" w:cs="仿宋"/>
          <w:u w:color="auto"/>
        </w:rPr>
        <w:t>：</w:t>
      </w:r>
      <w:r>
        <w:rPr>
          <w:rFonts w:hint="eastAsia" w:ascii="仿宋" w:hAnsi="仿宋" w:eastAsia="仿宋" w:cs="仿宋"/>
        </w:rPr>
        <w:t>反映水利系统用于江、河、湖、滩等治理工程运行与维护方面的支出，以及纳入预算管理的水利工程管理单位的支出。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十二、农林水支出(类)水利(款)水利执法监督(项)</w:t>
      </w:r>
      <w:r>
        <w:rPr>
          <w:b w:val="on"/>
          <w:rFonts w:ascii="仿宋" w:eastAsia="仿宋" w:hAnsi="仿宋" w:cs="仿宋"/>
          <w:u w:color="auto"/>
        </w:rPr>
        <w:t>：</w:t>
      </w:r>
      <w:r>
        <w:rPr>
          <w:rFonts w:hint="eastAsia" w:ascii="仿宋" w:hAnsi="仿宋" w:eastAsia="仿宋" w:cs="仿宋"/>
        </w:rPr>
        <w:t>反映水利系统纳入预算管理的事业单位开展水利执法监督活动的支出。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十三、农林水支出(类)水利(款)防汛(项)</w:t>
      </w:r>
      <w:r>
        <w:rPr>
          <w:b w:val="on"/>
          <w:rFonts w:ascii="仿宋" w:eastAsia="仿宋" w:hAnsi="仿宋" w:cs="仿宋"/>
          <w:u w:color="auto"/>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十四、农林水支出(类)水利(款)信息管理(项)</w:t>
      </w:r>
      <w:r>
        <w:rPr>
          <w:b w:val="on"/>
          <w:rFonts w:ascii="仿宋" w:eastAsia="仿宋" w:hAnsi="仿宋" w:cs="仿宋"/>
          <w:u w:color="auto"/>
        </w:rPr>
        <w:t>：</w:t>
      </w:r>
      <w:r>
        <w:rPr>
          <w:rFonts w:hint="eastAsia" w:ascii="仿宋" w:hAnsi="仿宋" w:eastAsia="仿宋" w:cs="仿宋"/>
        </w:rPr>
        <w:t>反映水利系统纳入预算管理的信息管理事业单位支出。有关事项包括业务信息数据的收集、整理、分析、保存以及信息管理系统的建设、维护等。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十五、农林水支出(类)水利(款)其他水利支出(项)</w:t>
      </w:r>
      <w:r>
        <w:rPr>
          <w:b w:val="on"/>
          <w:rFonts w:ascii="仿宋" w:eastAsia="仿宋" w:hAnsi="仿宋" w:cs="仿宋"/>
          <w:u w:color="auto"/>
        </w:rPr>
        <w:t>：</w:t>
      </w:r>
      <w:r>
        <w:rPr>
          <w:rFonts w:hint="eastAsia" w:ascii="仿宋" w:hAnsi="仿宋" w:eastAsia="仿宋" w:cs="仿宋"/>
        </w:rPr>
        <w:t>反映除上述项目以外其他用于水利方面的支出。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十六、住房保障支出(类)住房改革支出(款)住房公积金(项)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十七、住房保障支出(类)住房改革支出(款)提租补贴(项)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十八、住房保障支出(类)住房改革支出(款)购房补贴(项)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u/>
      </w:rPr>
      <w:t>常州市城市防洪工程管理处</w:t>
    </w:r>
    <w:r>
      <w:rPr>
        <w:u w:color="auto"/>
      </w:rPr>
      <w:t>2026</w:t>
    </w:r>
    <w:r>
      <w:rPr>
        <w:u w:color="auto"/>
      </w:rPr>
      <w:t>年度</w:t>
    </w:r>
    <w:r>
      <w:rPr>
        <w:u w:color="auto"/>
      </w:rPr>
      <w:t>单位</w:t>
    </w:r>
    <w:r>
      <w:rPr>
        <w:u w:color="auto"/>
      </w:rP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11C07"/>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0623A"/>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6CDC"/>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46FE0"/>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07AD9"/>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7313B"/>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9C3A6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537E16"/>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05098"/>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Layout w:type="fixed"/>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footer14.xml" Type="http://schemas.openxmlformats.org/officeDocument/2006/relationships/footer"/><Relationship Id="rId19" Target="footer15.xml" Type="http://schemas.openxmlformats.org/officeDocument/2006/relationships/footer"/><Relationship Id="rId2" Target="settings.xml" Type="http://schemas.openxmlformats.org/officeDocument/2006/relationships/settings"/><Relationship Id="rId20" Target="theme/theme1.xml" Type="http://schemas.openxmlformats.org/officeDocument/2006/relationships/theme"/><Relationship Id="rId21" Target="../customXml/item1.xml" Type="http://schemas.openxmlformats.org/officeDocument/2006/relationships/customXml"/><Relationship Id="rId22" Target="fontTable.xml" Type="http://schemas.openxmlformats.org/officeDocument/2006/relationships/fontTable"/><Relationship Id="rId23" Target="media/image1.jpeg" Type="http://schemas.openxmlformats.org/officeDocument/2006/relationships/image"/><Relationship Id="rId24"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1911</Words>
  <Characters>6537</Characters>
  <Paragraphs>501</Paragraphs>
  <TotalTime>0</TotalTime>
  <ScaleCrop>false</ScaleCrop>
  <LinksUpToDate>false</LinksUpToDate>
  <CharactersWithSpaces>6554</CharactersWithSpaces>
  <Application>WPS Office_11.1.0.9021_F1E327BC-269C-435d-A152-05C5408002CA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Administrator</cp:lastModifiedBy>
  <dcterms:modified xsi:type="dcterms:W3CDTF">2026-02-26T06:28:26Z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2052-11.1.0.9021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