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常州市住房和城乡建设局</w:t>
            </w:r>
            <w:r>
              <w:rPr>
                <w:rFonts w:ascii="宋体" w:hAnsi="宋体" w:cs="宋体" w:eastAsia="宋体"/>
                <w:b w:val="true"/>
                <w:sz w:val="52"/>
              </w:rPr>
              <w:t xml:space="preserve"></w:t>
              <w:br w:type="textWrapping"/>
              <w:t>部门预算公开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部门</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部门</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部门</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部门</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部门</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部门</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负责贯彻落实中央关于住房和城乡建设工作的方针政策和省委、市委的决策部署，在履行职责过程中坚持和加强党对住房和城乡建设的集中统一领导。主要职责是：</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规范全市住房和城乡建设管理秩序。依法组织起草有关地方性法规、规章草案，制定规范性文件。研究提出住房和城乡建设重大问题的政策建议。负责住房和城乡建设相关行政执法工作。组织开展住房和城乡建设市场信用体系建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2.编制和下达年度城市建设资金使用计划和年度城市建设工程计划，监督城建资金使用情况。负责城市建设规费的征收、住宅专项维修资金、住房保障专项资金和住房发展基金的监管、预算编制和决算报批。</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负责建设工程勘察设计行业管理。拟订建设工程勘察设计行业发展规划、技术政策和规章制度，对建设工程勘察设计市场行为和质量行为实施监督。指导城市设计、建筑设计、工程勘察设计工作，会同有关部门负责历史文化名城（名镇、名村）和历史文化保护区的申报、保护规划的审查报批和监督实施工作。监督管理施工图设计审查工作。组织编制城乡建设抗震防灾规划并监督实施，负责各类房屋建筑及其附属设施和市政设施抗震设防监督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负责绿色建筑和建筑节能监督管理工作，会同有关部门拟订绿色建筑、智慧建筑、建筑节能的政策、规划并监督实施。组织实施重大绿色建筑、建筑节能项目。拟订建筑产业现代化发展规划和政策，推进建筑产业现代化，组织实施重大建筑产业现代化项目。指导建筑能效测评和绿色建筑标识管理。促进建设科技进步，拟订建设科技发展规划和政策，组织重大科技项目研究，指导科技成果转化推广。</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拟订建筑业行业发展战略、中长期规划、改革方案、产业政策、规章制度并监督执行。制定规范建筑市场主体及中介服务机构行为的规章制度并监督实施。负责建筑业企业、中介服务机构和从业人员的资质、资格管理。负责房屋建筑和市政基础设施工程项目招投标活动、施工许可、竣工验收和备案的监督管理。负责工程建设实施阶段的监督管理，指导工程项目建设、合同管理和工程风险管理。制定建筑业技术政策并指导实施。监督指导各类工程建设标准定额的实施和工程造价计价，组织发布工程造价信息。促进建筑企业开拓海外市场、参与国际工程承包。按职责范围做好建设工程消防设计审查验收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负责城市建设、市政工程建设、建筑业、市政公用行业安全生产监督管理工作。制定建筑工程质量、安全生产的规章制度。负责建筑工程质量、安全生产和文明施工及建筑材料、设备、构配件使用的监督管理。拟订全市政府投资工程集中建设的规章制度并监督执行，负责市级政府投资非盈利性工程项目集中建设日常指导和监管。参与市政府组织的工程重大安全事故的调查处理。组织评审市级优质工程，审核推荐省级、国家级优质工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指导和规范全市市政公用事业发展。拟订市政公用事业发展规划。负责城市道路、桥梁、供水、排水、燃气、照明等市政公用行业的运行管理。组织实施城市道路、桥梁、供水、排水等市政公用工程项目。负责和指导城市市政基础设施的建设和管理工作，推进海绵城市、人居环境和城市地下综合管廊建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负责房地产行业管理。拟订房地产业发展和市场监管政策并监督执行。拟订房地产业的发展规划并监督实施。参与土地出让方案审查和商品房价格管理。负责房地产开发项目公建配套建设管理、商品房预（销）售管理、商品房交付使用管理、房屋交易行为和交易资金监管、房屋面积管理、房屋产权管理、商品房租赁管理及房地产估价和经纪管理。建立健全房地产市场监测体系，开展房地产市场监测分析工作。拟订国有土地上的房屋征收与补偿政策，指导和监督国有土地上的房屋征收与补偿工作。指导协调全市停车建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协同推进乡村振兴战略，指导村镇建设规划编制和实施，拟订村庄和小城镇建设政策并指导实施。指导农村住房建设、农村住房安全和危房改造。指导小城镇和村庄的人居环境改善工作。指导全市美丽宜居乡村建设工程、特色田园乡村、重点中心镇和特色小城镇的建设。指导全市传统村落保护和发展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10.拟订住房政策、住房保障政策和住房制度改革方案，并组织实施。组织编制全市住房发展规划和住房保障发展规划、年度计划并监督实施。指导和监督保障性住房建设工作。拟订危旧房改造政策、危旧房改造中长期规划和年度计划，指导组织实施危旧房改造。负责市区“三改”（危旧房、城中村、低注地改造）工作领导小组的日常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11.制定住宅产业发展政策，会同有关部门推进节能省地型住宅建设，推广应用住宅科技成果，推进既有住宅的功能完善和节能改造工作。监督物业管理有关活动，指导、规范物业管理市场行为，指导老住宅区的整治改造工作。指导和监督房屋安全管理工作。负责房屋安全鉴定和白蚁防治管理工作。参与对住房公积金的监督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12.指导住房和城乡建设行业人才培养、职业教育、执业资格考试与注册管理工作。指导住房和城乡建设档案工作。组织对外交流与合作。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13.承办市委、市政府交办的其他事项。</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部门</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hint="eastAsia" w:ascii="仿宋" w:hAnsi="仿宋" w:eastAsia="仿宋" w:cs="仿宋"/>
          <w:lang w:val="en-US" w:eastAsia="zh-CN"/>
        </w:rPr>
        <w:t>1.</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部门</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本部门内设机构包括：</w:t>
      </w:r>
      <w:r>
        <w:rPr>
          <w:rFonts w:ascii="仿宋" w:hAnsi="仿宋" w:cs="仿宋" w:eastAsia="仿宋"/>
        </w:rPr>
        <w:t/>
      </w:r>
      <w:r>
        <w:rPr>
          <w:rFonts w:ascii="仿宋" w:hAnsi="仿宋" w:cs="仿宋" w:eastAsia="仿宋"/>
        </w:rPr>
        <w:t/>
      </w:r>
      <w:r>
        <w:rPr>
          <w:rFonts w:ascii="仿宋" w:hAnsi="仿宋" w:cs="仿宋" w:eastAsia="仿宋"/>
        </w:rPr>
        <w:t>办公室、政策法规处、计划财务处、工程造价监督处、设计处、绿色建筑与科技处、建筑业管理处、建设工程消防管理处、城市建设处、公用事业处（海绵城市建设处）、城市综合开发管理处、村镇建设处、住房保障处、住房改革与发展处（三改工作推进处）、房地产市场监管处、物业管理处、房屋安全管理处、历史文化名城建设处、建设工程招投标管理处、政府投资工程集中建设管理处、应急管理处(平安建设与长效管理处)、行政服务处、组织人事处、宣传教育处，以及机关党委。</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部门下属单位包括：常州市排水管理处，常州市城市照明管理处(非独立核算单位)，常州市房屋征收与补偿管理中心，常州市城乡建设工程管理中心，常州市房屋安全和白蚁防治指导中心，常州市住房保障中心，常州市住房和城乡建设行政执法支队，常州市住房和城乡建设发展促进中心，常州市建设工程施工图设计审查中心。</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2.</w:t>
      </w:r>
      <w:r>
        <w:rPr>
          <w:rFonts w:hint="eastAsia" w:ascii="仿宋" w:hAnsi="仿宋" w:eastAsia="仿宋" w:cs="仿宋"/>
        </w:rPr>
        <w:t>从</w:t>
      </w:r>
      <w:r>
        <w:rPr>
          <w:rFonts w:hint="eastAsia" w:ascii="仿宋" w:hAnsi="仿宋" w:eastAsia="仿宋" w:cs="仿宋"/>
          <w:lang w:eastAsia="zh-CN"/>
        </w:rPr>
        <w:t>预算</w:t>
      </w:r>
      <w:r>
        <w:rPr>
          <w:rFonts w:hint="eastAsia" w:ascii="仿宋" w:hAnsi="仿宋" w:eastAsia="仿宋" w:cs="仿宋"/>
        </w:rPr>
        <w:t>单位构成看，纳入本</w:t>
      </w:r>
      <w:r>
        <w:rPr>
          <w:rFonts w:hint="eastAsia" w:ascii="仿宋" w:hAnsi="仿宋" w:eastAsia="仿宋" w:cs="仿宋"/>
          <w:lang w:val="en-US" w:eastAsia="zh-CN"/>
        </w:rPr>
        <w:t>部门</w:t>
      </w:r>
      <w:r>
        <w:rPr>
          <w:rFonts w:hint="eastAsia" w:ascii="仿宋" w:hAnsi="仿宋" w:eastAsia="仿宋" w:cs="仿宋"/>
          <w:lang w:eastAsia="zh-CN"/>
        </w:rPr>
        <w:t>2024</w:t>
      </w:r>
      <w:r>
        <w:rPr>
          <w:rFonts w:hint="eastAsia" w:ascii="仿宋" w:hAnsi="仿宋" w:eastAsia="仿宋" w:cs="仿宋"/>
        </w:rPr>
        <w:t>年</w:t>
      </w:r>
      <w:r>
        <w:rPr>
          <w:rFonts w:hint="eastAsia" w:ascii="仿宋" w:hAnsi="仿宋" w:eastAsia="仿宋" w:cs="仿宋"/>
          <w:lang w:val="en-US" w:eastAsia="zh-CN"/>
        </w:rPr>
        <w:t>部门</w:t>
      </w:r>
      <w:r>
        <w:rPr>
          <w:rFonts w:hint="eastAsia" w:ascii="仿宋" w:hAnsi="仿宋" w:eastAsia="仿宋" w:cs="仿宋"/>
        </w:rPr>
        <w:t>汇总</w:t>
      </w:r>
      <w:r>
        <w:rPr>
          <w:rFonts w:hint="eastAsia" w:ascii="仿宋" w:hAnsi="仿宋" w:eastAsia="仿宋" w:cs="仿宋"/>
          <w:lang w:eastAsia="zh-CN"/>
        </w:rPr>
        <w:t>预算</w:t>
      </w:r>
      <w:r>
        <w:rPr>
          <w:rFonts w:hint="eastAsia" w:ascii="仿宋" w:hAnsi="仿宋" w:eastAsia="仿宋" w:cs="仿宋"/>
        </w:rPr>
        <w:t>编制范围的预算单位共计</w:t>
      </w:r>
      <w:r>
        <w:rPr>
          <w:rFonts w:hint="eastAsia" w:ascii="仿宋" w:hAnsi="仿宋" w:eastAsia="仿宋" w:cs="仿宋"/>
          <w:lang w:val="en-US"/>
        </w:rPr>
        <w:t/>
      </w:r>
      <w:r>
        <w:rPr>
          <w:rFonts w:ascii="仿宋" w:hAnsi="仿宋" w:cs="仿宋" w:eastAsia="仿宋"/>
        </w:rPr>
        <w:t/>
      </w:r>
      <w:r>
        <w:rPr>
          <w:rFonts w:ascii="仿宋" w:hAnsi="仿宋" w:cs="仿宋" w:eastAsia="仿宋"/>
        </w:rPr>
        <w:t>9</w:t>
      </w:r>
      <w:r>
        <w:rPr>
          <w:rFonts w:ascii="仿宋" w:hAnsi="仿宋" w:cs="仿宋" w:eastAsia="仿宋"/>
        </w:rPr>
        <w:t/>
      </w:r>
      <w:r>
        <w:rPr>
          <w:rFonts w:ascii="仿宋" w:hAnsi="仿宋" w:cs="仿宋" w:eastAsia="仿宋"/>
        </w:rPr>
        <w:t/>
      </w:r>
      <w:r>
        <w:rPr>
          <w:rFonts w:hint="eastAsia" w:ascii="仿宋" w:hAnsi="仿宋" w:eastAsia="仿宋" w:cs="仿宋"/>
        </w:rPr>
        <w:t>家，具体包括：</w:t>
      </w:r>
      <w:r>
        <w:rPr>
          <w:rFonts w:hint="eastAsia" w:ascii="仿宋" w:hAnsi="仿宋" w:eastAsia="仿宋" w:cs="仿宋"/>
          <w:lang w:val="en-US"/>
        </w:rPr>
        <w:t/>
      </w:r>
      <w:r>
        <w:rPr>
          <w:rFonts w:ascii="仿宋" w:hAnsi="仿宋" w:cs="仿宋" w:eastAsia="仿宋"/>
        </w:rPr>
        <w:t/>
      </w:r>
      <w:r>
        <w:rPr>
          <w:rFonts w:ascii="仿宋" w:hAnsi="仿宋" w:cs="仿宋" w:eastAsia="仿宋"/>
        </w:rPr>
        <w:t>常州市住房和城乡建设局，常州市排水管理处，常州市房屋征收与补偿管理中心，常州市城乡建设工程管理中心，常州市房屋安全和白蚁防治指导中心，常州市住房保障中心，常州市住房和城乡建设行政执法支队，常州市住房和城乡建设发展促进中心，常州市建设工程施工图设计审查中心。</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部门</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2024年是全面完成“十四五”规划目标任务的关键一年，也是常州万亿之城再出发的第一年。我局将坚持以习近平新时代中国特色社会主义思想为指导，全面贯彻落实党的二十大和二十届二中全会精神，全面贯彻新发展理念，统筹高质量发展和高水平安全，深入推进“532”发展战略，奋力书写好中国式现代化常州住建答卷。</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（一）用心用情办好“常有安居”民生实事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1.持续推动老旧小区改造。全市计划实施城镇老旧小区改造项目36个，惠及居民约1.6万户；计划完成既有住宅加装电梯180部以上。</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2.稳步推进城中村改造工作。因地制宜出台我市城中村改造相关具体政策，对不适合整体拆迁片区开发的城中村充分调动居民改造意愿，探索研究配套政策，促进自主更新模式。</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统筹推进住房保障工作。一是继续推进保障性安居工程建设，计划新开工保障性租赁住房9800套（间）、基本建成6900套（间），发放公租房租金补贴3400户、保租房租金补贴10000人。二是围绕保障性住房规划、建设、分配、管理、退出，因地制宜出台我市保障性住房整体方案。三是加强人才公寓运营监管，指导、监督、评估人才公寓全流程运行，协助解决投诉建议和租赁纠纷。</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持续改善乡村住房条件。推动乡村片区整治与农房改善同步更新，完成农村住房条件改善1.5万户以上，创建10个省级特色田园乡村，指导有条件的涉农板块开展省级特色田园乡村示范区培育工作，打造点上精致、线上出彩、面上美丽的乡村风貌。</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全面提升物业管理服务。一是指导各地继续大力推进住宅小区物业管理委员会组建工作，不断提升小区自治力。二是在全市12个小区开展“阳光信托”制物业模式试点工作，努力实现业主权益和小区公共利益最大化。三是加大“阳光物业”平台的推广使用，以平台为抓手，引导广大业主共同参与社会治理，形成投诉、处置、回应、问责闭环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（二）真抓实干提高城市功能品质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深入推动老城厢复兴发展。持续深化西直街设计方案研究，协调推进青果巷历史街区三期（约园）、盛宣怀故居周边织补、大观楼和止园等重点项目建设，确保季子文化展示中心、亚细亚现代影视城改扩建、文化宫片区改造（二期）、塔寺园一体化改造项目在2024年内完工。</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2.全面完善城市路网建设。完成春江路、白云南路、星火路、浦陵南路、山水路等道路建设，实施新裕路与飞龙西路、三角场交叉口等路口改造，全力优化市民出行条件。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3.全力推进城市更新工作。完成城市更新体检评估，指导板块开展城市体检工作。研究出台《城市更新中既有建筑的改造管理办法》，指导解决城市更新过程中遇到的堵点、难点问题。</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深化实施城市生命线安全工程建设。结合韧性城市建设，推进城市生命线安全工程，2024年底前，基本完成市级监管系统，完善物联感知监测设备布设，实现省、市、县三级监管系统互联互通、数据共享、业务协同。</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5.全面推行绿色建造。健全绿色建造在用地、金融、税务、人才、科技推广、资金奖励等多方面的激励政策，全面执行绿色建造方式，推动实现工程建设全过程绿色建造。</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（三）集中力量推动行业高质量发展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统筹加强建筑行业高效有序发展。一是出台支持我市建筑业高质量发展的政策措施，培育优质骨干企业，支持本地企业参与轨道交通等重大基础设施建设。二是持续优化建筑市场环境，推行评定分离方式，加强信用信息在招投标中的应用；深入推进建筑市场行为专项整治，抓好源头治理。三是推进“月结月清”工作试点，规范建筑工人劳动合同签订与工资专户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全力确保房地产市场平稳健康发展。一是持续开展风险排查，全力落实保交楼任务，做好动态监管和应急处置。加强正面宣传和舆情引导，加大对楼市不实报道的打击力度，切实防范各类矛盾纠纷和负面舆情。二是加强市场监测与分析，及时掌握市场动态；在推进征收房票安置、支撑刚性和改善性住房需求等方面进一步加强研究，适时提出对策建议。</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全面推进公用行业提质增效发展。一是加大城镇污水处理提质增效力度，完成14个提质增效达标区建设，推进江边污水处理厂五期、溧阳花园污水处理厂改扩建、武进阳湖生态净水厂等工程。二是指导“一镇一策”系统化治理方案，提升乡镇污水收集处理效能，完善全市域厂网一体化工作格局。三是提升全市供水能力，年底完工金坛长荡湖水厂二期和溧阳中心水厂扩建工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（四）坚定不移维护安全发展大局</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城镇燃气安全方面。一是督促指导整合燃气企业，加快实现瓶装液化气市场规模化、集约化、专业化发展。开展燃气经营企业安全综合评价，对企业实施分级分类监管，压实安全生产主体责任。二是持续提升燃气使用安全水平，大力推进瓶改管、气改电等工程，全市减少10000户非居民用气场所瓶装液化气用户。三是提升瓶装气行业信息化监管水平，提高智慧监管能力。</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自建房安全方面。一是持续推进自建房和既有建筑安全隐患排查整治专项行动，年底前全面完成隐患整治任务。加快建立完善科学管控制度，做好隐患房屋的长期有效管控；提高工程措施整治率，提高整治的实施质量；认真落实隐患动态发现处置机制，加强日常管理、有力遏制隐患房屋增量。二是加强房屋装修改造管理，推动各板块建立动态发现处置机制和巡查-处理闭环制度，及时阻止并处理违法改建加层、野蛮装修、破坏主体或承重结构等行为，确保早发现、早报告、早处置。</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建筑施工安全方面。一是拓宽智慧工地应用场景，提高安全生产标准化、信息化水平。二是持续推进房屋市政工程安全生产专项治理和“两场联动”机制，加大隐患排查力度，落实政府监管责任。三是加强非受监小型建设工程监管，着力规范无资质个体户进行小型工程或零星作业的市场行为。四是加大监督执法力度，对违法违规企业扣除信用分、实施行政处罚和限制市场准入等措施，定期通报一批典型案例，倒逼企业落实安全主体责任。五是规范建工“安责险”投保工作，规范保险费率与保险市场行为，推动风控服务标准化，提升安责险服务质量。</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常州市住房和城乡建设局</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部门</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color w:val="000000"/>
                <w:sz w:val="22"/>
                <w:szCs w:val="22"/>
                <w:lang w:eastAsia="ar-SA"/>
              </w:rPr>
              <w:t>常州市住房和城乡建设局</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19,071.86</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60,147.48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1,228.19</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5,450.72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177.17</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181.41</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73,102.16</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12,437.51</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85,898.25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85,898.25</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85,898.25</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85,898.25</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部门</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部门</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85,898.25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85,898.25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19,071.86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60,147.48</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1,228.19</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5,450.72</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034</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常州市住房和城乡建设局</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85,898.25</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85,898.25</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19,071.86</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60,147.48</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1,228.19</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5,450.72</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034001</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常州市住房和城乡建设局</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32,643.82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32,643.82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8,638.82</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24,005.00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常州市排水管理处</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36,142.48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36,142.48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36,142.48</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034004</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常州市房屋征收与补偿管理中心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564.80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564.80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564.80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034008</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常州市城乡建设工程管理中心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6,324.90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6,324.90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6,158.45</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166.45</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常州市房屋安全和白蚁防治指导中心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1,131.28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1,131.28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956.98</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174.30</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常州市住房保障中心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5,359.32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5,359.32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1,554.93</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3,804.39</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034014</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常州市住房和城乡建设行政执法支队</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977.54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977.54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977.54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常州市住房和城乡建设发展促进中心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1,282.08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1,282.08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220.34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1,061.74</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常州市建设工程施工图设计审查中心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1,472.03</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1,472.03</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1,472.03</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85,898.25</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19,468.69</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66,429.56</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177.17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177.17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171.64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171.64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181.41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181.41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181.41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181.41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181.41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181.41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73,102.16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14,299.49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58,802.67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7,264.87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3,841.60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3,423.27</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3,841.60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3,841.60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工程建设管理</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1,937.29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1,937.29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住宅建设与房地产市场监管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677.22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677.22</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4,265.31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374.40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2120601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4,265.31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374.40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城市基础设施配套费安排的支出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2121399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其他城市基础设施配套费安排的支出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污水处理费安排的支出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36,142.48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2121401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污水处理设施建设和运营</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31,000.00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2121499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其他污水处理费安排的支出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5,142.48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1,424.50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1,424.50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1,424.50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1,424.50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12,437.51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4,810.62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7,626.89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8,340.26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7,236.19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公共租赁住房</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8,340.26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7,236.19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3,706.55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3,706.55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931.26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931.26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1,833.87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1,833.87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941.42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941.42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城乡社区住宅</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2210399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其他城乡社区住宅支出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390.70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sz w:val="22"/>
                <w:szCs w:val="22"/>
              </w:rPr>
              <w:t>常州市住房和城乡建设局</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79,219.34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79,219.34</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19,071.86</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60,147.48</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176.87</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163.42</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70,689.41</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8,189.64</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79,219.34</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79,219.34</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79,219.34</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18,508.91</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17,482.67</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1,026.24</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60,710.43</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176.87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176.87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176.87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176.87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171.64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171.64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171.64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公务员医疗补助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163.42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70,689.41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13,627.18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12,687.99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939.19</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57,062.23</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5,524.43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3,841.60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365.01</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1,682.83</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3,841.60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3,841.60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3,476.59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365.01</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808.76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工程建设管理</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850.94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850.94</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住宅建设与房地产市场监管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23.13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23.13</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4,265.31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3,890.91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3,633.11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257.80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374.40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2120601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4,265.31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3,890.91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3,633.11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257.80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374.40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城市基础设施配套费安排的支出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2121399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其他城市基础设施配套费安排的支出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污水处理费安排的支出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36,142.48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4,864.60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2121401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污水处理设施建设和运营</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31,000.00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2121499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其他污水处理费安排的支出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5,142.48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4,864.60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277.88</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752.19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752.19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713.69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38.50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752.19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752.19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713.69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38.50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8,189.64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4,541.44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4,454.39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3,648.20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4,535.87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1,104.07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3,431.80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公共租赁住房</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4,535.87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1,104.07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3,431.80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3,437.37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3,437.37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3,437.37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851.86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851.86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851.86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1,746.95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1,746.95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1,746.95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838.56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城乡社区住宅</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2210399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其他城乡社区住宅支出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216.40</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sz w:val="22"/>
                <w:szCs w:val="22"/>
              </w:rPr>
              <w:t>常州市住房和城乡建设局</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18,508.91</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17,482.67</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1,026.24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16,271.21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16,271.21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2,671.90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2,671.90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3,657.34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3,657.34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3,221.86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3,221.86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2,188.16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2,188.16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1,403.78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701.89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701.89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413.35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413.35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234.85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234.85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1,221.62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1,221.62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529.48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529.48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1,026.24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1,026.24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206.42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206.42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56.16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443.98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443.98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24.79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24.79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20.47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20.47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84.27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84.27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12.81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113.64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1,211.46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1,211.46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离休费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1,010.59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1,010.59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26.67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26.67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19,071.86</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13,366.43</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12,618.07</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748.36</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5,705.43</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176.87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176.87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176.87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176.87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176.87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171.64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171.64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171.64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163.42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10,541.93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8,484.70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7,823.39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661.31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2,057.23</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5,524.43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3,841.60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365.01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1,682.83</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3,841.60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3,841.60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3,476.59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365.01</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工程建设管理</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850.94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850.94</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住宅建设与房地产市场监管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23.13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23.13</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4,265.31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3,633.11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257.80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374.40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2120601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建设市场管理与监督</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4,265.31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3,890.91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3,633.11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257.80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374.40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752.19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752.19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713.69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38.50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752.19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752.19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713.69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38.50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8,189.64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4,541.44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4,454.39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3,648.20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4,535.87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3,431.80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公共租赁住房</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4,535.87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3,431.80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3,437.37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3,437.37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3,437.37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851.86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851.86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851.86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1,746.95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1,746.95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1,746.95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838.56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838.56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838.56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城乡社区住宅</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2210399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其他城乡社区住宅支出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216.40</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13,366.43</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12,618.07</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748.36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11,692.91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11,692.91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1,868.74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1,868.74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2,853.76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2,853.76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2,483.72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2,483.72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1,150.58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1,150.58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495.58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495.58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287.63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287.63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163.42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163.42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851.86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851.86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529.48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529.48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748.36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748.36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146.66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146.66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13.30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34.58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311.18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311.18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26.16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18.15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59.37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59.37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8.83</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113.64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925.16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925.16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离休费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733.08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733.08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68.49</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24.50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28.50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15.49</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28.16</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34.35</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60,147.48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55,005.00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212</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城乡社区支出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60,147.48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55,005.00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21213</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城市基础设施配套费安排的支出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2121399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其他城市基础设施配套费安排的支出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21214</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污水处理费安排的支出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36,142.48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2121401</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污水处理设施建设和运营</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31,000.00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2121499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其他污水处理费安排的支出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5,142.48</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部门</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47.94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96.90</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18.36</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福利费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2.45</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30239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其他交通费用</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部门</w:t>
            </w:r>
            <w:r>
              <w:rPr>
                <w:rFonts w:ascii="仿宋" w:hAnsi="仿宋" w:cs="仿宋" w:eastAsia="仿宋"/>
                <w:color w:val="000000"/>
                <w:sz w:val="22"/>
              </w:rPr>
              <w:t>：</w:t>
            </w:r>
            <w:r>
              <w:rPr>
                <w:rFonts w:hint="eastAsia" w:ascii="仿宋" w:hAnsi="仿宋" w:eastAsia="仿宋" w:cs="仿宋"/>
              </w:rPr>
              <w:t>常州市住房和城乡建设局</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288.40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2,150.70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1,271.83</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3,710.93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90.30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141.67</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245.67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常州市住房和城乡建设局</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其他办公用品</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常州市排水管理处</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空调机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11.40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办公桌</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0.21</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茶水柜</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0.09</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资产新建及购置2024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专用设备购置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电冰箱</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0.15</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A4彩色打印机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集中采购机构采购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0.45</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普通电视设备（电视机）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其他计算机软件</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0.60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常州市城乡建设工程管理中心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专用照相机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镜头及器材</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其他电动车辆</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通用摄像机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巡查业务设备购置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其他资本性支出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无人机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常州市房屋安全和白蚁防治指导中心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房屋安全和白蚁防治业务专项经费（2023年-2025年）</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专用材料费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其他化学药品和中药设备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业务用车更新</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其他交通工具购置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其他专用车辆</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xml:space="preserve">      常州市住房保障中心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21.46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设备设施日常运行维护及大型修缮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其他音频设备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入侵防御设备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A4黑白打印机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碎纸机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常州市建设工程施工图设计审查中心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7.41</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台式计算机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便携式计算机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办公桌</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0.60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办公椅</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2.55</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24办公设备购置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其他椅凳类</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2.70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工程</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常州市房屋安全和白蚁防治指导中心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设备设施日常运行维护及大型修缮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大型修缮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房屋修缮</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198.10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2,137.00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1,072.16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3,407.26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常州市住房和城乡建设局</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1,475.00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2024住房和城乡建设专项业务</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评审咨询服务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2024城市基础设施建设及运维专项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评审咨询服务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常州市排水管理处</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787.00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787.00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污水处理维护运行经费2024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保安服务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污水处理维护运行经费2024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园林绿化管理服务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51.40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51.40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污水处理维护运行经费2024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685.60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685.60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常州市房屋安全和白蚁防治指导中心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69.50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房屋安全和白蚁防治业务专项经费（2023年-2025年）</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委托业务费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其他专业技术服务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66.30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41.50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107.80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物业管理费用（2023年-2025年）</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xml:space="preserve">      常州市住房保障中心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850.76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物业行业管理经费2024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公共文化类合作服务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物管费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信息化运行维护</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安全运维服务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其他保险服务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1.60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车辆加油、添加燃料服务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公共文化类合作服务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老小区改造及加梯经费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工程设计服务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18.76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维修资金管理经费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咨询费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工程造价鉴定服务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维修资金管理经费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咨询费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其他鉴证服务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维修资金管理经费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咨询费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审计服务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行业应用软件开发服务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103.00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常州市住房和城乡建设发展促进中心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151.90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151.90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2024年智慧住建二期信息化平台建设尾款</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行业应用软件开发服务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66.90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66.90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2024年数据中心软硬件及配套设备维护更新</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基础环境运维服务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85.00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部门</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常州市住房和城乡建设局2024年度收入、支出预算总计85,898.25万元，与上年相比收、支预算总计各增加556.27万元，增长0.65%。其中：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（一）收入预算总计85,898.25万元。包括：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1．本年收入合计85,898.25万元。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19,071.86万元，与上年相比增加803.95万元，增长4.4%。主要原因是常州市住房和城乡建设局本级、常州市房屋安全和白蚁防治指导中心等单位基本支出、日常运转项目支出增加，常州市住房和城乡建设发展促进中心因机构改革统计口径变化。</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（2）政府性基金预算拨款收入60,147.48万元，与上年相比增加3,490万元，增长6.16%。主要原因是常州市住房和城乡建设局本级城市基础设施建设及运维项目预算增加。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1,228.19万元，与上年相比减少4,346.3万元，减少77.97%。主要原因是常州市住房和城乡建设局本级、常州市房屋安全和白蚁防治指导中心、常州市住房保障中心等单位历年结余资金安排的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（6）事业单位经营收入5,450.72万元，与上年相比增加3,244.3万元，增长147.04%。主要原因是常州市住房保障中心由经营收入保障的项目预算增加。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2．上年结转结余为0万元。与上年相比减少2,635.68万元，减少100%。主要原因是常州市住房保障中心本年度上年结转结余资金为0，比上年减少2,635.68万元。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（二）支出预算总计85,898.25万元。包括：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1．本年支出合计85,898.25万元。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（1）社会保障和就业支出（类）支出177.17万元，主要用于离退休人员经费。与上年相比减少110.04万元，减少38.31%。主要原因是社保基数调整，离退休人员数量变动。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（2）卫生健康支出（类）支出181.41万元，主要用于医疗保障、医疗补助、医疗补贴等。与上年相比减少13.07万元，减少6.72%。主要原因是部分单位在职职工人数减少。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支出（类）支出73,102.16万元，主要用于行政单位经常性项目及城市基础设施配套费安排的支出。与上年相比增加2,995.27万元，增长4.27%。主要原因是常州市住房和城乡建设局本级城市基础设施建设及运维项目支出增加，常州市房屋安全和白蚁防治指导中心、常州市住房和城乡建设发展促进中心等单位日常运转类项目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12,437.51万元，主要用于行政事业单位住房改革及保障性住房项目。与上年相比减少2,315.89万元，减少15.7%。主要原因是部分单位在职职工人数减少，常州市住房保障中心调整预算科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常州市住房和城乡建设局2024年收入预算合计85,898.25万元，包括本年收入85,898.25万元，上年结转结余0万元。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本年一般公共预算收入19,071.86万元，占22.2%；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本年政府性基金预算收入60,147.48万元，占70.02%；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本年财政专户管理资金1,228.19万元，占1.43%；</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本年事业单位经营收入5,450.72万元，占6.35%；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常州市住房和城乡建设局2024年支出预算合计85,898.25万元，其中：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基本支出19,468.69万元，占22.66%；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项目支出66,429.56万元，占77.34%；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常州市住房和城乡建设局2024年度财政拨款收、支总预算79,219.34万元。与上年相比，财政拨款收、支总计各增加1,658.27万元，增长2.14%。主要原因是常州市住房和城乡建设局本级专项项目预算统计口径调整。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财政拨款预算支出79,219.34万元，占本年支出合计的92.22%。与上年相比，财政拨款支出增加1,658.27万元，增长2.14%。主要原因是常州市住房和城乡建设局本级专项项目预算统计口径调整，常州市房屋安全和白蚁防治指导中心、常州市住房和城乡建设发展促进中心等单位日常运转类项目和专项项目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1.行政事业单位养老支出（款）行政单位离退休（项）支出171.64万元，与上年相比减少107.93万元，减少38.61%。主要原因是常州市住房和城乡建设局本级等单位离退休人员减少。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2.行政事业单位养老支出（款）事业单位离退休（项）支出5.23万元，与上年相比减少2.11万元，减少28.75%。主要原因是下属事业单位离退休人员数量变动。</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行政事业单位医疗（款）公务员医疗补助（项）支出163.42万元，与上年相比减少14.74万元，减少8.27%。主要原因是常州市住房和城乡建设局本级等单位在职人员减少。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（三）城乡社区支出（类）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1.城乡社区管理事务（款）行政运行（项）支出3,841.6万元，与上年相比减少620.1万元，减少13.9%。主要原因是常州市住房和城乡建设局本级等单位因机构改革基本支出等预算减少。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2.城乡社区管理事务（款）一般行政管理事务（项）支出808.76万元，与上年相比减少759.06万元，减少48.41%。主要原因是常州市住房和城乡建设局本级等单位日常运转类项目预算减少。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3.城乡社区管理事务（款）工程建设标准规范编制与监管（项）支出0万元，与上年相比减少259.7万元，减少100%。主要原因是常州市城乡建设工程管理中心等单位因机构改革调整减少预算项目。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4.城乡社区管理事务（款）工程建设管理（项）支出850.94万元，与上年相比增加546.85万元，增长179.83%。主要原因是常州市城乡建设工程管理中心因机构改革日常运转项目预算科目调整。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5.城乡社区管理事务（款）住宅建设与房地产市场监管（项）支出23.13万元，与上年预算数相同。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6.建设市场管理与监督（款）建设市场管理与监督（项）支出4,265.31万元，与上年相比增加2,635.53万元，增长161.71%。主要原因是常州市城乡建设工程管理中心等单位因机构改革调整合并预算项目。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城市基础设施配套费安排的支出（款）其他城市基础设施配套费安排的支出（项）支出24,005万元，与上年相比增加2,497.9万元，增长11.61%。主要原因是常州市住房和城乡建设局本级等单位城市基础设施建设及运维项目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8.污水处理费安排的支出（款）污水处理设施建设和运营（项）支出31,000万元，与上年相比增加500万元，增长1.64%。主要原因是常州市排水管理处污水处理等专项项目预算增加。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9.污水处理费安排的支出（款）其他污水处理费安排的支出（项）支出5,142.48万元，与上年相比增加492.1万元，增长10.58%。主要原因是常州市排水管理处污水处理等专项项目预算增加。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10.其他城乡社区支出（款）其他城乡社区支出（项）支出752.19万元，与上年相比减少2,369.86万元，减少75.91%。主要原因是常州市城乡建设工程管理中心等单位因机构改革调整预算项目。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保障性安居工程支出（款）公共租赁住房（项）支出4,535.87万元，与上年相比增加4,535.87万元（去年预算数为0万元，无法计算增减比率）。主要原因是常州市住房和城乡建设局本级、常州市住房保障中心调整住房保障及维护项目预算科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2.住房改革支出（款）住房公积金（项）支出851.86万元，与上年相比减少123.05万元，减少12.62%。主要原因是常州市住房和城乡建设局本级等单位因机构改革人员减少。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3.住房改革支出（款）提租补贴（项）支出1,746.95万元，与上年相比减少318.74万元，减少15.43%。主要原因是常州市住房和城乡建设局本级等单位因机构改革人员减少。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4.住房改革支出（款）购房补贴（项）支出838.56万元，与上年相比减少40.05万元，减少4.56%。主要原因是常州市住房和城乡建设局本级等单位因机构改革人员减少。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5.城乡社区住宅（款）其他城乡社区住宅支出（项）支出216.4万元，与上年相比减少4,934.64万元，减少95.8%。主要原因是常州市城乡建设工程管理中心等单位因机构改革调整预算项目。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常州市住房和城乡建设局2024年度财政拨款基本支出预算18,508.91万元，其中：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17,482.67万元。主要包括：基本工资、津贴补贴、奖金、绩效工资、机关事业单位基本养老保险缴费、职业年金缴费、职工基本医疗保险缴费、公务员医疗补助缴费、其他社会保障缴费、住房公积金、其他工资福利支出、离休费、退休费、生活补助、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（二）公用经费1,026.24万元。主要包括：办公费、水费、电费、差旅费、会议费、培训费、公务接待费、工会经费、福利费、其他交通费用、其他商品和服务支出。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一般公共预算财政拨款支出预算19,071.86万元，与上年相比减少1,831.73万元，减少8.76%。主要原因是常州市住房和城乡建设局本级、常州市住房保障中心调整住房保障及维护项目预算科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常州市住房和城乡建设局2024年度一般公共预算财政拨款基本支出预算13,366.43万元，其中：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12,618.07万元。主要包括：基本工资、津贴补贴、奖金、绩效工资、机关事业单位基本养老保险缴费、职业年金缴费、职工基本医疗保险缴费、公务员医疗补助缴费、其他社会保障缴费、住房公积金、其他工资福利支出、离休费、退休费、生活补助、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（二）公用经费748.36万元。主要包括：办公费、水费、电费、差旅费、会议费、培训费、公务接待费、工会经费、福利费、其他交通费用、其他商品和服务支出。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拨款安排的“三公”经费支出预算68.49万元，比上年预算增加15.54万元，变动原因常州市住房和城乡建设局本级根据工作计划新增因公出国（境）费预算，常州市住房保障中心调整公务用车购置及运行维护费预算科目。其中，因公出国（境）费支出24.5万元，占“三公”经费的35.77%；公务用车购置及运行维护费支出28.5万元，占“三公”经费的41.61%；公务接待费支出15.49万元，占“三公”经费的22.62%。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1．因公出国（境）费预算支出24.5万元，比上年预算增加24.5万元，主要原因是常州市住房和城乡建设局本级根据工作计划新增因公出国（境）费预算。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2．公务用车购置及运行维护费预算支出28.5万元。其中：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（2）公务用车运行维护费预算支出28.5万元，比上年预算减少3.7万元，主要原因是常州市住房和城乡建设局本级因机构改革公务用车减少。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3．公务接待费预算支出15.49万元，比上年预算减少5.26万元，主要原因是常州市住房和城乡建设局本级等单位因机构调整和厉行节约，压减公务接待支出。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常州市住房和城乡建设局2024年度一般公共预算拨款安排的会议费预算支出28.16万元，比上年预算增加1.31万元，主要原因是常州市房屋征收与补偿管理中心根据工作计划增加征收管理工作会议预算。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常州市住房和城乡建设局2024年度一般公共预算拨款安排的培训费预算支出34.35万元，比上年预算增加14.37万元，主要原因是常州市房屋征收与补偿管理中心恢复部分专项业务培训。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常州市住房和城乡建设局2024年政府性基金支出预算支出60,147.48万元。与上年相比增加3,490万元，增长6.16%。主要原因是常州市住房和城乡建设局本级等单位城市基础设施建设及运维项目预算增加。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1.城乡社区支出（类）城市基础设施配套费安排的支出（款）其他城市基础设施配套费安排的支出（项）支出24,005万元，主要是用于高架道路桥梁建设与维护等城市基础设施建设及运维项目。</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2.城乡社区支出（类）污水处理费安排的支出（款）污水处理设施建设和运营（项）支出31,000万元，主要是用于城市污水处理及设施建设、运营维护及日常管理。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3.城乡社区支出（类）污水处理费安排的支出（款）其他污水处理费安排的支出（项）支出5,142.48万元，主要是用于城市污水处理及设施建设、运营维护及日常管理。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部门一般公共预算机关运行经费预算支出268.37万元，与上年相比减少169.96万元，减少38.77%。主要原因是常州市住房和城乡建设局本级、常州市住房和城乡建设行政执法支队、常州市房屋征收与补偿管理中心等单位按照“过紧日子”要求缩减机关运行经费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2024年度政府采购支出预算总额3,710.93万元，其中：拟采购货物支出245.67万元、拟采购工程支出58万元、拟采购服务支出3,407.26万元。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部门共有车辆130辆，其中，副部（省）级及以上领导用车0辆、主要领导干部用车1辆、机要通信用车0辆、应急保障用车46辆、执法执勤用车0辆、特种专业技术用车44辆、离退休干部用车0辆，其他用车39辆；单价50万元（含）以上的通用设备11台（套），单价100万元（含）以上的专用设备7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部门整体支出纳入绩效目标管理，涉及财政性资金85,898.25万元；本部门共52个项目纳入绩效目标管理，涉及财政性资金合计66,429.56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八、社会保障和就业支出(类)行政事业单位养老支出(款)行政单位离退休(项)</w:t>
      </w:r>
      <w:r>
        <w:rPr>
          <w:rFonts w:ascii="仿宋" w:hAnsi="仿宋" w:cs="仿宋" w:eastAsia="仿宋"/>
          <w:b w:val="true"/>
        </w:rPr>
        <w:t>：</w:t>
      </w:r>
      <w:r>
        <w:rPr>
          <w:rFonts w:hint="eastAsia" w:ascii="仿宋" w:hAnsi="仿宋" w:eastAsia="仿宋" w:cs="仿宋"/>
        </w:rPr>
        <w:t>反映行政单位（包括实行公务员管理的事业单位）开支的离退休经费。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九、社会保障和就业支出(类)行政事业单位养老支出(款)事业单位离退休(项)</w:t>
      </w:r>
      <w:r>
        <w:rPr>
          <w:rFonts w:ascii="仿宋" w:hAnsi="仿宋" w:cs="仿宋" w:eastAsia="仿宋"/>
          <w:b w:val="true"/>
        </w:rPr>
        <w:t>：</w:t>
      </w:r>
      <w:r>
        <w:rPr>
          <w:rFonts w:hint="eastAsia" w:ascii="仿宋" w:hAnsi="仿宋" w:eastAsia="仿宋" w:cs="仿宋"/>
        </w:rPr>
        <w:t>反映事业单位开支的离退休经费。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十、卫生健康支出(类)行政事业单位医疗(款)公务员医疗补助(项)</w:t>
      </w:r>
      <w:r>
        <w:rPr>
          <w:rFonts w:ascii="仿宋" w:hAnsi="仿宋" w:cs="仿宋" w:eastAsia="仿宋"/>
          <w:b w:val="true"/>
        </w:rPr>
        <w:t>：</w:t>
      </w:r>
      <w:r>
        <w:rPr>
          <w:rFonts w:hint="eastAsia" w:ascii="仿宋" w:hAnsi="仿宋" w:eastAsia="仿宋" w:cs="仿宋"/>
        </w:rPr>
        <w:t>反映财政部门安排的公务员医疗补助经费。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十一、城乡社区支出(类)城乡社区管理事务(款)行政运行(项)</w:t>
      </w:r>
      <w:r>
        <w:rPr>
          <w:rFonts w:ascii="仿宋" w:hAnsi="仿宋" w:cs="仿宋" w:eastAsia="仿宋"/>
          <w:b w:val="true"/>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十二、城乡社区支出(类)城乡社区管理事务(款)一般行政管理事务(项)</w:t>
      </w:r>
      <w:r>
        <w:rPr>
          <w:rFonts w:ascii="仿宋" w:hAnsi="仿宋" w:cs="仿宋" w:eastAsia="仿宋"/>
          <w:b w:val="true"/>
        </w:rPr>
        <w:t>：</w:t>
      </w:r>
      <w:r>
        <w:rPr>
          <w:rFonts w:hint="eastAsia" w:ascii="仿宋" w:hAnsi="仿宋" w:eastAsia="仿宋" w:cs="仿宋"/>
        </w:rPr>
        <w:t>反映行政单位（包括实行公务员管理的事业单位）未单独设置项级科目的其他项目支出。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十三、城乡社区支出(类)城乡社区管理事务(款)工程建设管理(项)</w:t>
      </w:r>
      <w:r>
        <w:rPr>
          <w:rFonts w:ascii="仿宋" w:hAnsi="仿宋" w:cs="仿宋" w:eastAsia="仿宋"/>
          <w:b w:val="true"/>
        </w:rPr>
        <w:t>：</w:t>
      </w:r>
      <w:r>
        <w:rPr>
          <w:rFonts w:hint="eastAsia" w:ascii="仿宋" w:hAnsi="仿宋" w:eastAsia="仿宋" w:cs="仿宋"/>
        </w:rPr>
        <w:t>反映调控建设市场运行、拟定建设市场法规、实施建筑工程质量、安全、工程勘察设计监管等方面的支出。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十四、城乡社区支出(类)城乡社区管理事务(款)住宅建设与房地产市场监管(项)</w:t>
      </w:r>
      <w:r>
        <w:rPr>
          <w:rFonts w:ascii="仿宋" w:hAnsi="仿宋" w:cs="仿宋" w:eastAsia="仿宋"/>
          <w:b w:val="true"/>
        </w:rPr>
        <w:t>：</w:t>
      </w:r>
      <w:r>
        <w:rPr>
          <w:rFonts w:hint="eastAsia" w:ascii="仿宋" w:hAnsi="仿宋" w:eastAsia="仿宋" w:cs="仿宋"/>
        </w:rPr>
        <w:t>反映调控房地产市场运行、研究拟定城镇住房制度改革法规、对住房公积金和其他房改资金进行政策指导并监督使用等方面的支出。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十五、城乡社区支出(类)建设市场管理与监督(款)建设市场管理与监督(项)</w:t>
      </w:r>
      <w:r>
        <w:rPr>
          <w:rFonts w:ascii="仿宋" w:hAnsi="仿宋" w:cs="仿宋" w:eastAsia="仿宋"/>
          <w:b w:val="true"/>
        </w:rPr>
        <w:t>：</w:t>
      </w:r>
      <w:r>
        <w:rPr>
          <w:rFonts w:hint="eastAsia" w:ascii="仿宋" w:hAnsi="仿宋" w:eastAsia="仿宋" w:cs="仿宋"/>
        </w:rPr>
        <w:t>反映各类建筑工程强制性和推荐性标准及规范的制定与修改、建筑工程招投标等市场管理、建筑工程质量与安全监督等方面的支出。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十六、城乡社区支出(类)城市基础设施配套费安排的支出(款)其他城市基础设施配套费安排的支出(项)</w:t>
      </w:r>
      <w:r>
        <w:rPr>
          <w:rFonts w:ascii="仿宋" w:hAnsi="仿宋" w:cs="仿宋" w:eastAsia="仿宋"/>
          <w:b w:val="true"/>
        </w:rPr>
        <w:t>：</w:t>
      </w:r>
      <w:r>
        <w:rPr>
          <w:rFonts w:hint="eastAsia" w:ascii="仿宋" w:hAnsi="仿宋" w:eastAsia="仿宋" w:cs="仿宋"/>
        </w:rPr>
        <w:t>反映上述项目以外的城市基础设施配套费支出。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十七、城乡社区支出(类)污水处理费安排的支出(款)污水处理设施建设和运营(项)</w:t>
      </w:r>
      <w:r>
        <w:rPr>
          <w:rFonts w:ascii="仿宋" w:hAnsi="仿宋" w:cs="仿宋" w:eastAsia="仿宋"/>
          <w:b w:val="true"/>
        </w:rPr>
        <w:t>：</w:t>
      </w:r>
      <w:r>
        <w:rPr>
          <w:rFonts w:hint="eastAsia" w:ascii="仿宋" w:hAnsi="仿宋" w:eastAsia="仿宋" w:cs="仿宋"/>
        </w:rPr>
        <w:t>反映用污水处理费安排的用于污水处理设施建设和运营方面的支出。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十八、城乡社区支出(类)污水处理费安排的支出(款)其他污水处理费安排的支出(项)</w:t>
      </w:r>
      <w:r>
        <w:rPr>
          <w:rFonts w:ascii="仿宋" w:hAnsi="仿宋" w:cs="仿宋" w:eastAsia="仿宋"/>
          <w:b w:val="true"/>
        </w:rPr>
        <w:t>：</w:t>
      </w:r>
      <w:r>
        <w:rPr>
          <w:rFonts w:hint="eastAsia" w:ascii="仿宋" w:hAnsi="仿宋" w:eastAsia="仿宋" w:cs="仿宋"/>
        </w:rPr>
        <w:t>反映用污水处理费安排的其他支出。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十九、城乡社区支出(类)其他城乡社区支出(款)其他城乡社区支出(项)</w:t>
      </w:r>
      <w:r>
        <w:rPr>
          <w:rFonts w:ascii="仿宋" w:hAnsi="仿宋" w:cs="仿宋" w:eastAsia="仿宋"/>
          <w:b w:val="true"/>
        </w:rPr>
        <w:t>：</w:t>
      </w:r>
      <w:r>
        <w:rPr>
          <w:rFonts w:hint="eastAsia" w:ascii="仿宋" w:hAnsi="仿宋" w:eastAsia="仿宋" w:cs="仿宋"/>
        </w:rPr>
        <w:t>反映除上述项目以外其他用于城乡社区方面的支出。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二十、住房保障支出(类)保障性安居工程支出(款)公共租赁住房(项)</w:t>
      </w:r>
      <w:r>
        <w:rPr>
          <w:rFonts w:ascii="仿宋" w:hAnsi="仿宋" w:cs="仿宋" w:eastAsia="仿宋"/>
          <w:b w:val="true"/>
        </w:rPr>
        <w:t>：</w:t>
      </w:r>
      <w:r>
        <w:rPr>
          <w:rFonts w:hint="eastAsia" w:ascii="仿宋" w:hAnsi="仿宋" w:eastAsia="仿宋" w:cs="仿宋"/>
        </w:rPr>
        <w:t>反映用于新建、改建、购买、租赁、维护和管理公共租赁住房支出。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二十一、住房保障支出(类)住房改革支出(款)住房公积金(项)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二十二、住房保障支出(类)住房改革支出(款)提租补贴(项)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二十三、住房保障支出(类)住房改革支出(款)购房补贴(项)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二十四、住房保障支出(类)城乡社区住宅(款)其他城乡社区住宅支出(项)</w:t>
      </w:r>
      <w:r>
        <w:rPr>
          <w:rFonts w:ascii="仿宋" w:hAnsi="仿宋" w:cs="仿宋" w:eastAsia="仿宋"/>
          <w:b w:val="true"/>
        </w:rPr>
        <w:t>：</w:t>
      </w:r>
      <w:r>
        <w:rPr>
          <w:rFonts w:hint="eastAsia" w:ascii="仿宋" w:hAnsi="仿宋" w:eastAsia="仿宋" w:cs="仿宋"/>
        </w:rPr>
        <w:t>反映除上述项目以外其他用于城乡社区住宅方面的支出。</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常州市住房和城乡建设局</w:t>
    </w:r>
    <w:r>
      <w:t>2024</w:t>
    </w:r>
    <w:r>
      <w:t>年度</w:t>
    </w:r>
    <w:r>
      <w:t>部门</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