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1556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4FF8F3B">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3B81B535">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14:paraId="2A489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7ED356">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0B25804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7BD80F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A10CFAA">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3204</w:t>
            </w:r>
            <w:r>
              <w:fldChar w:fldCharType="end"/>
            </w:r>
            <w:bookmarkEnd w:id="3"/>
          </w:p>
        </w:tc>
      </w:tr>
    </w:tbl>
    <w:p w14:paraId="3B47287A">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常州市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CF74987">
      <w:pPr>
        <w:pStyle w:val="197"/>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3204/T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202</w:t>
      </w:r>
      <w:r>
        <w:rPr>
          <w:rFonts w:hint="eastAsia"/>
          <w:lang w:val="en-US" w:eastAsia="zh-CN"/>
        </w:rPr>
        <w:t>5</w:t>
      </w:r>
      <w:r>
        <w:fldChar w:fldCharType="end"/>
      </w:r>
      <w:bookmarkEnd w:id="7"/>
    </w:p>
    <w:p w14:paraId="0F7976E3">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B86C53A">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5EB16A37">
      <w:pPr>
        <w:pStyle w:val="52"/>
        <w:framePr w:w="9639" w:h="6976" w:hRule="exact" w:hSpace="0" w:vSpace="0" w:wrap="around" w:hAnchor="page" w:y="6408"/>
        <w:jc w:val="center"/>
        <w:rPr>
          <w:rFonts w:ascii="黑体" w:hAnsi="黑体" w:eastAsia="黑体"/>
          <w:b w:val="0"/>
          <w:bCs w:val="0"/>
          <w:w w:val="100"/>
        </w:rPr>
      </w:pPr>
    </w:p>
    <w:p w14:paraId="67E222C1">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社区居家养老服务认证要求</w:t>
      </w:r>
      <w:r>
        <w:fldChar w:fldCharType="end"/>
      </w:r>
      <w:bookmarkEnd w:id="9"/>
    </w:p>
    <w:p w14:paraId="5CB8DE20">
      <w:pPr>
        <w:framePr w:w="9639" w:h="6974" w:hRule="exact" w:wrap="around" w:vAnchor="page" w:hAnchor="page" w:x="1419" w:y="6408" w:anchorLock="1"/>
        <w:ind w:left="-1418"/>
      </w:pPr>
    </w:p>
    <w:p w14:paraId="713EFA3D">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Requirements for certification of community-based home care services</w:t>
      </w:r>
      <w:r>
        <w:rPr>
          <w:rFonts w:ascii="黑体" w:hAnsi="黑体" w:eastAsia="黑体"/>
          <w:szCs w:val="28"/>
        </w:rPr>
        <w:fldChar w:fldCharType="end"/>
      </w:r>
      <w:bookmarkEnd w:id="10"/>
    </w:p>
    <w:p w14:paraId="4792EDA8">
      <w:pPr>
        <w:framePr w:w="9639" w:h="6974" w:hRule="exact" w:wrap="around" w:vAnchor="page" w:hAnchor="page" w:x="1419" w:y="6408" w:anchorLock="1"/>
        <w:spacing w:line="760" w:lineRule="exact"/>
        <w:ind w:left="-1418"/>
      </w:pPr>
    </w:p>
    <w:p w14:paraId="4F921FCD">
      <w:pPr>
        <w:pStyle w:val="127"/>
        <w:framePr w:w="9639" w:h="6974" w:hRule="exact" w:wrap="around" w:vAnchor="page" w:hAnchor="page" w:x="1419" w:y="6408" w:anchorLock="1"/>
        <w:textAlignment w:val="bottom"/>
        <w:rPr>
          <w:rFonts w:eastAsia="黑体"/>
          <w:szCs w:val="28"/>
        </w:rPr>
      </w:pPr>
    </w:p>
    <w:p w14:paraId="3F7B4567">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C5A1447">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1</w:t>
      </w:r>
      <w:r>
        <w:rPr>
          <w:sz w:val="21"/>
          <w:szCs w:val="28"/>
        </w:rPr>
        <w:fldChar w:fldCharType="end"/>
      </w:r>
      <w:bookmarkEnd w:id="12"/>
    </w:p>
    <w:p w14:paraId="4F26071A">
      <w:pPr>
        <w:pStyle w:val="12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4B3A8DA">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5</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BDB24D7">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5</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850324D">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287C69C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00F6B196">
      <w:pPr>
        <w:spacing w:line="20" w:lineRule="exact"/>
        <w:jc w:val="center"/>
        <w:rPr>
          <w:rFonts w:ascii="黑体" w:hAnsi="黑体" w:eastAsia="黑体"/>
          <w:sz w:val="32"/>
          <w:szCs w:val="32"/>
        </w:rPr>
      </w:pPr>
      <w:bookmarkStart w:id="21" w:name="BookMark4"/>
    </w:p>
    <w:p w14:paraId="5ED3A0E4">
      <w:pPr>
        <w:spacing w:line="20" w:lineRule="exact"/>
        <w:jc w:val="center"/>
        <w:rPr>
          <w:rFonts w:ascii="黑体" w:hAnsi="黑体" w:eastAsia="黑体"/>
          <w:sz w:val="32"/>
          <w:szCs w:val="32"/>
        </w:rPr>
      </w:pPr>
    </w:p>
    <w:p w14:paraId="08238F99">
      <w:pPr>
        <w:jc w:val="center"/>
        <w:rPr>
          <w:sz w:val="28"/>
          <w:szCs w:val="28"/>
        </w:rPr>
      </w:pPr>
      <w:r>
        <w:rPr>
          <w:rFonts w:hint="eastAsia"/>
          <w:sz w:val="28"/>
          <w:szCs w:val="28"/>
        </w:rPr>
        <w:t>前言</w:t>
      </w:r>
    </w:p>
    <w:p w14:paraId="1B54327A"/>
    <w:p w14:paraId="08D7BCE8">
      <w:pPr>
        <w:pStyle w:val="58"/>
        <w:keepNext w:val="0"/>
        <w:keepLines w:val="0"/>
        <w:pageBreakBefore w:val="0"/>
        <w:kinsoku/>
        <w:wordWrap/>
        <w:overflowPunct/>
        <w:topLinePunct w:val="0"/>
        <w:bidi w:val="0"/>
        <w:snapToGrid/>
        <w:spacing w:line="240" w:lineRule="auto"/>
        <w:textAlignment w:val="auto"/>
      </w:pPr>
      <w:r>
        <w:rPr>
          <w:rFonts w:hint="eastAsia"/>
        </w:rPr>
        <w:t>本文件按照GB/T 1.1—2020《标准化工作导则  第1部分：标准化文件的结构和起草规则》的规定起草。</w:t>
      </w:r>
    </w:p>
    <w:p w14:paraId="0231F01E">
      <w:pPr>
        <w:keepNext w:val="0"/>
        <w:keepLines w:val="0"/>
        <w:pageBreakBefore w:val="0"/>
        <w:kinsoku/>
        <w:wordWrap/>
        <w:overflowPunct/>
        <w:topLinePunct w:val="0"/>
        <w:bidi w:val="0"/>
        <w:snapToGrid/>
        <w:spacing w:line="240" w:lineRule="auto"/>
        <w:ind w:firstLine="420" w:firstLineChars="200"/>
        <w:textAlignment w:val="auto"/>
        <w:rPr>
          <w:rFonts w:ascii="宋体" w:hAnsi="宋体"/>
          <w:color w:val="000000" w:themeColor="text1"/>
        </w:rPr>
      </w:pPr>
      <w:r>
        <w:rPr>
          <w:rFonts w:hint="eastAsia"/>
        </w:rPr>
        <w:t>请注意本文件的某些内容可能涉及专利。本文件的发布机构不承担识别专利的责任。</w:t>
      </w:r>
    </w:p>
    <w:p w14:paraId="7954F368">
      <w:pPr>
        <w:pStyle w:val="58"/>
        <w:keepNext w:val="0"/>
        <w:keepLines w:val="0"/>
        <w:pageBreakBefore w:val="0"/>
        <w:kinsoku/>
        <w:wordWrap/>
        <w:overflowPunct/>
        <w:topLinePunct w:val="0"/>
        <w:bidi w:val="0"/>
        <w:snapToGrid/>
        <w:spacing w:line="240" w:lineRule="auto"/>
        <w:textAlignment w:val="auto"/>
      </w:pPr>
      <w:r>
        <w:rPr>
          <w:rFonts w:hint="eastAsia"/>
        </w:rPr>
        <w:t>本文件由常州市市场监督管理局提出、归口并负责实施。</w:t>
      </w:r>
    </w:p>
    <w:p w14:paraId="53DFF367">
      <w:pPr>
        <w:pStyle w:val="58"/>
        <w:keepNext w:val="0"/>
        <w:keepLines w:val="0"/>
        <w:pageBreakBefore w:val="0"/>
        <w:kinsoku/>
        <w:wordWrap/>
        <w:overflowPunct/>
        <w:topLinePunct w:val="0"/>
        <w:bidi w:val="0"/>
        <w:snapToGrid/>
        <w:spacing w:line="240" w:lineRule="auto"/>
        <w:textAlignment w:val="auto"/>
        <w:rPr>
          <w:rFonts w:hint="eastAsia"/>
        </w:rPr>
      </w:pPr>
      <w:r>
        <w:rPr>
          <w:rFonts w:hint="eastAsia"/>
        </w:rPr>
        <w:t>本文件起草单位：</w:t>
      </w:r>
    </w:p>
    <w:p w14:paraId="63E41B7D">
      <w:pPr>
        <w:pStyle w:val="58"/>
        <w:keepNext w:val="0"/>
        <w:keepLines w:val="0"/>
        <w:pageBreakBefore w:val="0"/>
        <w:kinsoku/>
        <w:wordWrap/>
        <w:overflowPunct/>
        <w:topLinePunct w:val="0"/>
        <w:bidi w:val="0"/>
        <w:snapToGrid/>
        <w:spacing w:line="240" w:lineRule="auto"/>
        <w:textAlignment w:val="auto"/>
      </w:pPr>
      <w:r>
        <w:rPr>
          <w:rFonts w:hint="eastAsia"/>
        </w:rPr>
        <w:t>本文件主要起草人：</w:t>
      </w:r>
    </w:p>
    <w:p w14:paraId="6D5CB3CB"/>
    <w:p w14:paraId="6ADF90E4"/>
    <w:p w14:paraId="002AA70A"/>
    <w:p w14:paraId="4320B868"/>
    <w:p w14:paraId="6E6B3A84"/>
    <w:p w14:paraId="1AE0B7CE"/>
    <w:p w14:paraId="211FABA4"/>
    <w:p w14:paraId="39F50E49"/>
    <w:p w14:paraId="587D48B5"/>
    <w:p w14:paraId="3220A5A1"/>
    <w:p w14:paraId="2C585330"/>
    <w:p w14:paraId="05195E74"/>
    <w:p w14:paraId="56CD07EA"/>
    <w:p w14:paraId="5DF171D4"/>
    <w:p w14:paraId="34C89AAE"/>
    <w:p w14:paraId="5C07C693"/>
    <w:p w14:paraId="4776ED9A"/>
    <w:p w14:paraId="29199AF0"/>
    <w:p w14:paraId="17738D58"/>
    <w:p w14:paraId="2C18E5AC"/>
    <w:p w14:paraId="0C722C31"/>
    <w:p w14:paraId="500B8602"/>
    <w:p w14:paraId="4E346CA3"/>
    <w:p w14:paraId="4AE8BEF1"/>
    <w:p w14:paraId="7FC93660"/>
    <w:p w14:paraId="40E98F52"/>
    <w:p w14:paraId="381EA8F5"/>
    <w:p w14:paraId="4FE242B9">
      <w:pPr>
        <w:jc w:val="center"/>
        <w:rPr>
          <w:sz w:val="28"/>
          <w:szCs w:val="28"/>
        </w:rPr>
      </w:pPr>
      <w:r>
        <w:rPr>
          <w:rFonts w:hint="eastAsia"/>
          <w:sz w:val="28"/>
          <w:szCs w:val="28"/>
        </w:rPr>
        <w:t>引言</w:t>
      </w:r>
    </w:p>
    <w:p w14:paraId="1FE0A370">
      <w:pPr>
        <w:pStyle w:val="26"/>
        <w:shd w:val="clear" w:color="auto" w:fill="FDFDFE"/>
        <w:spacing w:before="210" w:beforeAutospacing="0" w:after="0" w:afterAutospacing="0"/>
        <w:ind w:firstLine="420" w:firstLineChars="200"/>
        <w:rPr>
          <w:rFonts w:ascii="Segoe UI" w:hAnsi="Segoe UI" w:cs="Segoe UI"/>
          <w:sz w:val="21"/>
          <w:szCs w:val="21"/>
        </w:rPr>
      </w:pPr>
      <w:r>
        <w:rPr>
          <w:rFonts w:ascii="Segoe UI" w:hAnsi="Segoe UI" w:cs="Segoe UI"/>
          <w:sz w:val="21"/>
          <w:szCs w:val="21"/>
        </w:rPr>
        <w:t>随着我国国民经济的持续发展和人民生活水平的不断提高，人口老龄化的趋势日益显著。老年人群体的养老需求不断增长，这促使养老服务机构数量迅速增加，产业规模持续扩大。为满足老年人多样化、个性化的养老需求，社区居家养老服务应运而生。社区居家养老服务以社区为载体，整合周边养老服务资源，为老年人提供就近的生活照料、健康指导、文化娱乐等全方位服务。</w:t>
      </w:r>
    </w:p>
    <w:p w14:paraId="1075935B">
      <w:pPr>
        <w:pStyle w:val="26"/>
        <w:shd w:val="clear" w:color="auto" w:fill="FDFDFE"/>
        <w:spacing w:before="210" w:beforeAutospacing="0" w:after="0" w:afterAutospacing="0"/>
        <w:ind w:firstLine="420" w:firstLineChars="200"/>
        <w:rPr>
          <w:rFonts w:ascii="Segoe UI" w:hAnsi="Segoe UI" w:cs="Segoe UI"/>
          <w:sz w:val="21"/>
          <w:szCs w:val="21"/>
        </w:rPr>
      </w:pPr>
      <w:r>
        <w:rPr>
          <w:rFonts w:ascii="Segoe UI" w:hAnsi="Segoe UI" w:cs="Segoe UI"/>
          <w:sz w:val="21"/>
          <w:szCs w:val="21"/>
        </w:rPr>
        <w:t>为提升社区居家养老服务的质量，实施规范化和标准化的管理，国家出台了一系列扶持政策，并加大了资金投入。同时，鼓励通过标准化和评价工作，推动养老服务向高质量发展阶段迈进。在此背景下，制定社区居家养老服务认证标准显得尤为重要。</w:t>
      </w:r>
    </w:p>
    <w:p w14:paraId="353F44FD">
      <w:pPr>
        <w:pStyle w:val="26"/>
        <w:shd w:val="clear" w:color="auto" w:fill="FDFDFE"/>
        <w:spacing w:before="210" w:beforeAutospacing="0" w:after="0" w:afterAutospacing="0"/>
        <w:ind w:firstLine="420" w:firstLineChars="200"/>
        <w:rPr>
          <w:rFonts w:ascii="Segoe UI" w:hAnsi="Segoe UI" w:cs="Segoe UI"/>
          <w:sz w:val="21"/>
          <w:szCs w:val="21"/>
        </w:rPr>
      </w:pPr>
      <w:r>
        <w:rPr>
          <w:rFonts w:ascii="Segoe UI" w:hAnsi="Segoe UI" w:cs="Segoe UI"/>
          <w:sz w:val="21"/>
          <w:szCs w:val="21"/>
        </w:rPr>
        <w:t>本标准旨在建立社区居家养老服务认证体系，明确服务要求、管理要求和服务认证要求等内容。通过认证，可以引导和规范社区居家养老服务行为，提高服务质量，保障老年人的合法权益。同时，认证结果也可以作为老年人及其子女选择服务组织的重要依据，增强消费者对整体行业的信任与信心。</w:t>
      </w:r>
    </w:p>
    <w:p w14:paraId="6B1DAA9E"/>
    <w:p w14:paraId="37EAE990"/>
    <w:p w14:paraId="0F81B73E"/>
    <w:p w14:paraId="4F04CF2F"/>
    <w:p w14:paraId="4EBD149B"/>
    <w:p w14:paraId="45FBC1B7"/>
    <w:p w14:paraId="77CA8F8A"/>
    <w:p w14:paraId="087C2A2F"/>
    <w:p w14:paraId="19D3C1C0"/>
    <w:p w14:paraId="4D23AF2A"/>
    <w:p w14:paraId="79F5E990"/>
    <w:p w14:paraId="4B5B5735"/>
    <w:p w14:paraId="704EE834"/>
    <w:p w14:paraId="1AEB180B"/>
    <w:p w14:paraId="636CC008"/>
    <w:p w14:paraId="6A77B311"/>
    <w:p w14:paraId="23F51DE2"/>
    <w:p w14:paraId="1E42D495"/>
    <w:p w14:paraId="630CE284"/>
    <w:p w14:paraId="651BD819"/>
    <w:p w14:paraId="1F14CF04"/>
    <w:sdt>
      <w:sdtPr>
        <w:rPr>
          <w:rFonts w:ascii="黑体" w:hAnsi="黑体" w:eastAsia="黑体" w:cstheme="minorBidi"/>
          <w:b w:val="0"/>
          <w:bCs w:val="0"/>
          <w:kern w:val="2"/>
          <w:sz w:val="21"/>
          <w:szCs w:val="22"/>
          <w:lang w:val="zh-CN"/>
        </w:rPr>
        <w:id w:val="-1038359550"/>
        <w:showingPlcHdr/>
        <w:docPartObj>
          <w:docPartGallery w:val="Table of Contents"/>
          <w:docPartUnique/>
        </w:docPartObj>
      </w:sdtPr>
      <w:sdtEndPr>
        <w:rPr>
          <w:rFonts w:ascii="Calibri" w:hAnsi="Calibri" w:eastAsia="宋体" w:cs="Times New Roman"/>
          <w:b w:val="0"/>
          <w:bCs w:val="0"/>
          <w:kern w:val="2"/>
          <w:sz w:val="21"/>
          <w:szCs w:val="21"/>
          <w:lang w:val="zh-CN"/>
        </w:rPr>
      </w:sdtEndPr>
      <w:sdtContent>
        <w:p w14:paraId="2ECD16ED">
          <w:r>
            <w:rPr>
              <w:rFonts w:hint="eastAsia" w:ascii="黑体" w:hAnsi="黑体" w:eastAsia="黑体" w:cstheme="minorBidi"/>
              <w:b w:val="0"/>
              <w:bCs w:val="0"/>
              <w:kern w:val="2"/>
              <w:sz w:val="21"/>
              <w:szCs w:val="22"/>
              <w:lang w:val="zh-CN"/>
            </w:rPr>
            <w:t xml:space="preserve">     </w:t>
          </w:r>
        </w:p>
      </w:sdtContent>
    </w:sdt>
    <w:p w14:paraId="10A93286"/>
    <w:p w14:paraId="2F64174E"/>
    <w:sdt>
      <w:sdtPr>
        <w:rPr>
          <w:rFonts w:ascii="黑体" w:hAnsi="黑体" w:eastAsia="黑体"/>
          <w:sz w:val="30"/>
          <w:szCs w:val="30"/>
        </w:rPr>
        <w:tag w:val="NEW_STAND_NAME"/>
        <w:id w:val="595910757"/>
        <w:lock w:val="sdtLocked"/>
        <w:placeholder>
          <w:docPart w:val="7710AC6AFC6A4FDFA01B76E8A006C766"/>
        </w:placeholder>
      </w:sdtPr>
      <w:sdtEndPr>
        <w:rPr>
          <w:rFonts w:ascii="Calibri" w:hAnsi="Calibri" w:eastAsia="宋体"/>
          <w:sz w:val="21"/>
          <w:szCs w:val="21"/>
        </w:rPr>
      </w:sdtEndPr>
      <w:sdtContent>
        <w:p w14:paraId="679891EC">
          <w:pPr>
            <w:jc w:val="center"/>
            <w:rPr>
              <w:sz w:val="44"/>
              <w:szCs w:val="44"/>
            </w:rPr>
          </w:pPr>
          <w:bookmarkStart w:id="22" w:name="NEW_STAND_NAME"/>
          <w:r>
            <w:rPr>
              <w:rFonts w:hint="eastAsia" w:ascii="黑体" w:hAnsi="黑体" w:eastAsia="黑体"/>
              <w:sz w:val="30"/>
              <w:szCs w:val="30"/>
            </w:rPr>
            <w:t>社区居家养老服务认证要求</w:t>
          </w:r>
        </w:p>
      </w:sdtContent>
    </w:sdt>
    <w:bookmarkEnd w:id="22"/>
    <w:p w14:paraId="4FD5AD01">
      <w:pPr>
        <w:pStyle w:val="106"/>
        <w:spacing w:before="312" w:after="312"/>
      </w:pPr>
      <w:bookmarkStart w:id="23" w:name="_Toc17233325"/>
      <w:bookmarkStart w:id="24" w:name="_Toc26986771"/>
      <w:bookmarkStart w:id="25" w:name="_Toc26718930"/>
      <w:bookmarkStart w:id="26" w:name="_Toc24884211"/>
      <w:bookmarkStart w:id="27" w:name="_Toc24884218"/>
      <w:bookmarkStart w:id="28" w:name="_Toc17233333"/>
      <w:bookmarkStart w:id="29" w:name="_Toc26986530"/>
      <w:bookmarkStart w:id="30" w:name="_Toc97191423"/>
      <w:bookmarkStart w:id="31" w:name="_Toc186446320"/>
      <w:bookmarkStart w:id="32" w:name="_Toc26648465"/>
      <w:r>
        <w:rPr>
          <w:rFonts w:hint="eastAsia"/>
        </w:rPr>
        <w:t>范围</w:t>
      </w:r>
      <w:bookmarkEnd w:id="23"/>
      <w:bookmarkEnd w:id="24"/>
      <w:bookmarkEnd w:id="25"/>
      <w:bookmarkEnd w:id="26"/>
      <w:bookmarkEnd w:id="27"/>
      <w:bookmarkEnd w:id="28"/>
      <w:bookmarkEnd w:id="29"/>
      <w:bookmarkEnd w:id="30"/>
      <w:bookmarkEnd w:id="31"/>
      <w:bookmarkEnd w:id="32"/>
    </w:p>
    <w:p w14:paraId="3FA497DA">
      <w:pPr>
        <w:pStyle w:val="58"/>
        <w:ind w:firstLine="420"/>
      </w:pPr>
      <w:bookmarkStart w:id="33" w:name="_Toc24884212"/>
      <w:bookmarkStart w:id="34" w:name="_Toc17233326"/>
      <w:bookmarkStart w:id="35" w:name="_Toc24884219"/>
      <w:bookmarkStart w:id="36" w:name="_Toc17233334"/>
      <w:bookmarkStart w:id="37" w:name="_Toc26648466"/>
      <w:r>
        <w:rPr>
          <w:rFonts w:hint="eastAsia"/>
        </w:rPr>
        <w:t>本文件规定了开展社区居家养老服务认证的服务原则、评价内容、评价方法、认证结果等。</w:t>
      </w:r>
    </w:p>
    <w:p w14:paraId="5023C183">
      <w:pPr>
        <w:pStyle w:val="58"/>
        <w:ind w:firstLine="420"/>
      </w:pPr>
      <w:r>
        <w:rPr>
          <w:rFonts w:hint="eastAsia"/>
        </w:rPr>
        <w:t>本文件适用于社区居家养老服务机构规范其服务活动和实施自我服务质量评价，或需求组织的相关方对其服务符合性的确认。</w:t>
      </w:r>
    </w:p>
    <w:p w14:paraId="77A69F69">
      <w:pPr>
        <w:pStyle w:val="58"/>
        <w:ind w:firstLine="420"/>
      </w:pPr>
      <w:r>
        <w:rPr>
          <w:rFonts w:hint="eastAsia"/>
        </w:rPr>
        <w:t>本文件适用于认证机构实施社区居家养老服务认证。</w:t>
      </w:r>
    </w:p>
    <w:p w14:paraId="272D64C9">
      <w:pPr>
        <w:pStyle w:val="106"/>
        <w:spacing w:before="312" w:after="312"/>
      </w:pPr>
      <w:bookmarkStart w:id="38" w:name="_Toc26986531"/>
      <w:bookmarkStart w:id="39" w:name="_Toc26718931"/>
      <w:bookmarkStart w:id="40" w:name="_Toc186446321"/>
      <w:bookmarkStart w:id="41" w:name="_Toc26986772"/>
      <w:bookmarkStart w:id="42" w:name="_Toc97191424"/>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F99C02DDC3674BE2BBE2FF8BB29EBE3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C179B7A">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9B8505">
      <w:pPr>
        <w:ind w:firstLine="420" w:firstLineChars="200"/>
        <w:rPr>
          <w:rFonts w:ascii="宋体" w:hAnsi="宋体"/>
        </w:rPr>
      </w:pPr>
      <w:bookmarkStart w:id="43" w:name="_Hlk186427272"/>
      <w:r>
        <w:rPr>
          <w:rFonts w:hint="eastAsia" w:ascii="宋体" w:hAnsi="宋体"/>
        </w:rPr>
        <w:t>GB/T 19012质量管理 顾客满意组织投诉处理指南</w:t>
      </w:r>
    </w:p>
    <w:p w14:paraId="3E720696">
      <w:pPr>
        <w:ind w:firstLine="420" w:firstLineChars="200"/>
        <w:rPr>
          <w:rFonts w:ascii="宋体" w:hAnsi="宋体"/>
        </w:rPr>
      </w:pPr>
      <w:r>
        <w:rPr>
          <w:rFonts w:hint="eastAsia" w:ascii="宋体" w:hAnsi="宋体"/>
        </w:rPr>
        <w:t>GB/T 19039顾客满意测评通则</w:t>
      </w:r>
    </w:p>
    <w:p w14:paraId="1436C1D6">
      <w:pPr>
        <w:ind w:firstLine="420" w:firstLineChars="200"/>
        <w:rPr>
          <w:rFonts w:ascii="宋体" w:hAnsi="宋体"/>
        </w:rPr>
      </w:pPr>
      <w:r>
        <w:rPr>
          <w:rFonts w:hint="eastAsia" w:ascii="宋体" w:hAnsi="宋体"/>
        </w:rPr>
        <w:t>GB/T24421.1-</w:t>
      </w:r>
      <w:r>
        <w:rPr>
          <w:rFonts w:ascii="宋体" w:hAnsi="宋体"/>
        </w:rPr>
        <w:t xml:space="preserve">2023 </w:t>
      </w:r>
      <w:r>
        <w:rPr>
          <w:rFonts w:hint="eastAsia" w:ascii="宋体" w:hAnsi="宋体"/>
        </w:rPr>
        <w:t>服务业组织标准化工作指南第1部分:总则</w:t>
      </w:r>
    </w:p>
    <w:p w14:paraId="3B66443E">
      <w:pPr>
        <w:ind w:firstLine="420" w:firstLineChars="200"/>
        <w:rPr>
          <w:rFonts w:ascii="宋体" w:hAnsi="宋体"/>
        </w:rPr>
      </w:pPr>
      <w:r>
        <w:rPr>
          <w:rFonts w:ascii="宋体" w:hAnsi="宋体"/>
        </w:rPr>
        <w:t>GB</w:t>
      </w:r>
      <w:r>
        <w:rPr>
          <w:rFonts w:hint="eastAsia" w:ascii="宋体" w:hAnsi="宋体"/>
        </w:rPr>
        <w:t>/</w:t>
      </w:r>
      <w:r>
        <w:rPr>
          <w:rFonts w:ascii="宋体" w:hAnsi="宋体"/>
        </w:rPr>
        <w:t>T 20647.1-2006 社区服务指南 第</w:t>
      </w:r>
      <w:r>
        <w:rPr>
          <w:rFonts w:hint="eastAsia" w:ascii="宋体" w:hAnsi="宋体"/>
        </w:rPr>
        <w:t>1</w:t>
      </w:r>
      <w:r>
        <w:rPr>
          <w:rFonts w:ascii="宋体" w:hAnsi="宋体"/>
        </w:rPr>
        <w:t>部分：总则</w:t>
      </w:r>
    </w:p>
    <w:p w14:paraId="18E914B4">
      <w:pPr>
        <w:ind w:firstLine="420" w:firstLineChars="200"/>
        <w:rPr>
          <w:rFonts w:ascii="宋体" w:hAnsi="宋体"/>
        </w:rPr>
      </w:pPr>
      <w:r>
        <w:rPr>
          <w:rFonts w:hint="eastAsia" w:ascii="宋体" w:hAnsi="宋体"/>
        </w:rPr>
        <w:t>GB/T 27207-2020合格评定 服务认证模式选择与应用导则</w:t>
      </w:r>
    </w:p>
    <w:p w14:paraId="68DD23F0">
      <w:pPr>
        <w:ind w:firstLine="420" w:firstLineChars="200"/>
        <w:rPr>
          <w:rFonts w:ascii="宋体" w:hAnsi="宋体"/>
        </w:rPr>
      </w:pPr>
      <w:r>
        <w:rPr>
          <w:rFonts w:ascii="宋体" w:hAnsi="宋体"/>
        </w:rPr>
        <w:t xml:space="preserve">GB/T 33168-2016社区老年人日间照料中心服务基本要求 </w:t>
      </w:r>
    </w:p>
    <w:p w14:paraId="2519CAAC">
      <w:pPr>
        <w:ind w:firstLine="420" w:firstLineChars="200"/>
        <w:rPr>
          <w:rFonts w:ascii="宋体" w:hAnsi="宋体"/>
        </w:rPr>
      </w:pPr>
      <w:r>
        <w:rPr>
          <w:rFonts w:hint="eastAsia" w:ascii="宋体" w:hAnsi="宋体"/>
        </w:rPr>
        <w:t>GB/T35796-2017 养老机构服务质量基本规范</w:t>
      </w:r>
    </w:p>
    <w:p w14:paraId="06A8E932">
      <w:pPr>
        <w:ind w:firstLine="420" w:firstLineChars="200"/>
        <w:rPr>
          <w:rFonts w:ascii="宋体" w:hAnsi="宋体"/>
        </w:rPr>
      </w:pPr>
      <w:r>
        <w:rPr>
          <w:rFonts w:hint="eastAsia" w:ascii="宋体" w:hAnsi="宋体"/>
        </w:rPr>
        <w:t>GB38600-2019养老机构服务安全基本规范</w:t>
      </w:r>
    </w:p>
    <w:p w14:paraId="5132465C">
      <w:pPr>
        <w:ind w:firstLine="420" w:firstLineChars="200"/>
        <w:rPr>
          <w:rFonts w:ascii="宋体" w:hAnsi="宋体"/>
        </w:rPr>
      </w:pPr>
      <w:r>
        <w:rPr>
          <w:rFonts w:hint="eastAsia" w:ascii="宋体" w:hAnsi="宋体"/>
        </w:rPr>
        <w:t>GB/T</w:t>
      </w:r>
      <w:r>
        <w:rPr>
          <w:rFonts w:ascii="宋体" w:hAnsi="宋体"/>
        </w:rPr>
        <w:t xml:space="preserve"> 43153-2023 </w:t>
      </w:r>
      <w:r>
        <w:rPr>
          <w:rFonts w:hint="eastAsia" w:ascii="宋体" w:hAnsi="宋体"/>
        </w:rPr>
        <w:t>社区居家上门服务基本规范</w:t>
      </w:r>
    </w:p>
    <w:p w14:paraId="64F2EA11">
      <w:pPr>
        <w:ind w:firstLine="420" w:firstLineChars="200"/>
        <w:rPr>
          <w:rFonts w:ascii="宋体" w:hAnsi="宋体"/>
        </w:rPr>
      </w:pPr>
      <w:r>
        <w:rPr>
          <w:rFonts w:ascii="宋体" w:hAnsi="宋体"/>
        </w:rPr>
        <w:t>GB 50763-2012</w:t>
      </w:r>
      <w:r>
        <w:rPr>
          <w:rFonts w:hint="eastAsia" w:ascii="宋体" w:hAnsi="宋体"/>
        </w:rPr>
        <w:t>《</w:t>
      </w:r>
      <w:r>
        <w:rPr>
          <w:rFonts w:ascii="宋体" w:hAnsi="宋体"/>
        </w:rPr>
        <w:t>无障碍</w:t>
      </w:r>
      <w:r>
        <w:rPr>
          <w:rFonts w:hint="eastAsia" w:ascii="宋体" w:hAnsi="宋体"/>
        </w:rPr>
        <w:t>设计规范》</w:t>
      </w:r>
    </w:p>
    <w:p w14:paraId="64C0FA80">
      <w:pPr>
        <w:ind w:firstLine="420" w:firstLineChars="200"/>
        <w:rPr>
          <w:rFonts w:ascii="宋体" w:hAnsi="宋体"/>
        </w:rPr>
      </w:pPr>
      <w:r>
        <w:rPr>
          <w:rFonts w:hint="eastAsia" w:ascii="宋体" w:hAnsi="宋体"/>
        </w:rPr>
        <w:t>SB/T10944-2012社区居家养老服务规范</w:t>
      </w:r>
    </w:p>
    <w:p w14:paraId="43B588F8">
      <w:pPr>
        <w:ind w:firstLine="420" w:firstLineChars="200"/>
        <w:rPr>
          <w:rFonts w:ascii="宋体" w:hAnsi="宋体"/>
        </w:rPr>
      </w:pPr>
      <w:r>
        <w:rPr>
          <w:rFonts w:ascii="宋体" w:hAnsi="宋体"/>
        </w:rPr>
        <w:t>MZ/T 131-2019  养老服务常用图形符号及标志</w:t>
      </w:r>
    </w:p>
    <w:p w14:paraId="3E8D834A">
      <w:pPr>
        <w:ind w:firstLine="420" w:firstLineChars="200"/>
        <w:rPr>
          <w:rFonts w:ascii="宋体" w:hAnsi="宋体"/>
        </w:rPr>
      </w:pPr>
      <w:r>
        <w:rPr>
          <w:rFonts w:hint="eastAsia" w:ascii="宋体" w:hAnsi="宋体"/>
        </w:rPr>
        <w:t>MZ/T207-2023 老年人助浴服务规范</w:t>
      </w:r>
    </w:p>
    <w:p w14:paraId="62B7569E">
      <w:pPr>
        <w:ind w:firstLine="420" w:firstLineChars="200"/>
      </w:pPr>
      <w:r>
        <w:rPr>
          <w:rFonts w:ascii="宋体" w:hAnsi="宋体"/>
        </w:rPr>
        <w:t>RB/T 314－2017 合格评定 服务认证模式选择与应用指南</w:t>
      </w:r>
    </w:p>
    <w:p w14:paraId="3B7E0AC8">
      <w:pPr>
        <w:ind w:firstLine="420" w:firstLineChars="200"/>
        <w:rPr>
          <w:rFonts w:ascii="宋体" w:hAnsi="宋体"/>
        </w:rPr>
      </w:pPr>
      <w:bookmarkStart w:id="44" w:name="_Hlk186427584"/>
      <w:r>
        <w:rPr>
          <w:rFonts w:hint="eastAsia" w:ascii="宋体" w:hAnsi="宋体"/>
        </w:rPr>
        <w:t>RB/T 303-2016养老服务认证技术导则</w:t>
      </w:r>
    </w:p>
    <w:bookmarkEnd w:id="43"/>
    <w:bookmarkEnd w:id="44"/>
    <w:p w14:paraId="1297E7D8">
      <w:pPr>
        <w:pStyle w:val="106"/>
        <w:spacing w:before="312" w:after="312"/>
      </w:pPr>
      <w:bookmarkStart w:id="45" w:name="_Toc97191425"/>
      <w:bookmarkStart w:id="46" w:name="_Toc186446322"/>
      <w:r>
        <w:rPr>
          <w:rFonts w:hint="eastAsia"/>
          <w:szCs w:val="21"/>
        </w:rPr>
        <w:t>术语和定义</w:t>
      </w:r>
      <w:bookmarkEnd w:id="45"/>
      <w:bookmarkEnd w:id="46"/>
    </w:p>
    <w:sdt>
      <w:sdtPr>
        <w:rPr>
          <w:rFonts w:hint="eastAsia" w:hAnsi="宋体"/>
        </w:rPr>
        <w:id w:val="-1909835108"/>
        <w:placeholder>
          <w:docPart w:val="B15C4F36920B409186715A1B242B5F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hAnsi="宋体"/>
        </w:rPr>
      </w:sdtEndPr>
      <w:sdtContent>
        <w:p w14:paraId="0D8687D8">
          <w:pPr>
            <w:pStyle w:val="58"/>
            <w:ind w:firstLine="420"/>
          </w:pPr>
          <w:bookmarkStart w:id="47" w:name="_Toc26986532"/>
          <w:bookmarkEnd w:id="47"/>
          <w:bookmarkStart w:id="48" w:name="_Hlk186427310"/>
          <w:r>
            <w:rPr>
              <w:rFonts w:hint="eastAsia" w:hAnsi="宋体"/>
            </w:rPr>
            <w:t>GB/T 20647.1、GB/T 33168、GB/T 35796、RB/T 314界定的以及下列术语和定义适用于本文件。</w:t>
          </w:r>
        </w:p>
      </w:sdtContent>
    </w:sdt>
    <w:bookmarkEnd w:id="48"/>
    <w:p w14:paraId="6A338B9F">
      <w:pPr>
        <w:rPr>
          <w:rFonts w:ascii="黑体" w:hAnsi="黑体"/>
        </w:rPr>
      </w:pPr>
      <w:r>
        <w:rPr>
          <w:rFonts w:hint="eastAsia" w:ascii="黑体" w:hAnsi="黑体"/>
        </w:rPr>
        <w:t>3</w:t>
      </w:r>
      <w:r>
        <w:rPr>
          <w:rFonts w:ascii="黑体" w:hAnsi="黑体"/>
        </w:rPr>
        <w:t>.1</w:t>
      </w:r>
      <w:r>
        <w:rPr>
          <w:rFonts w:hint="eastAsia" w:ascii="黑体" w:hAnsi="黑体"/>
        </w:rPr>
        <w:t>社区居家养老服务</w:t>
      </w:r>
      <w:r>
        <w:rPr>
          <w:rFonts w:hint="eastAsia"/>
          <w:color w:val="2B2B2B"/>
          <w:shd w:val="clear" w:color="auto" w:fill="FFFFFF"/>
        </w:rPr>
        <w:t>Family-Care in Communities</w:t>
      </w:r>
    </w:p>
    <w:p w14:paraId="3221870D">
      <w:pPr>
        <w:pStyle w:val="20"/>
        <w:ind w:firstLine="420" w:firstLineChars="200"/>
        <w:rPr>
          <w:rFonts w:ascii="黑体" w:hAnsi="黑体" w:eastAsia="黑体"/>
          <w:b/>
          <w:bCs/>
        </w:rPr>
      </w:pPr>
      <w:r>
        <w:rPr>
          <w:rFonts w:hint="eastAsia"/>
        </w:rPr>
        <w:t>以社区居家为基础，依托社区养老服务和设施，来满足居住在家中的老年人养老需求的养老模式，具体的养老服务内容</w:t>
      </w:r>
      <w:r>
        <w:rPr>
          <w:rFonts w:hint="eastAsia" w:ascii="Calibri"/>
        </w:rPr>
        <w:t>包括生活照料、医疗护理、紧急救援、文体娱乐、精神慰藉、健康管理、康复辅助等。</w:t>
      </w:r>
    </w:p>
    <w:p w14:paraId="08D6DA28">
      <w:pPr>
        <w:pStyle w:val="106"/>
        <w:spacing w:before="312" w:after="312"/>
        <w:rPr>
          <w:sz w:val="24"/>
          <w:szCs w:val="24"/>
        </w:rPr>
      </w:pPr>
      <w:bookmarkStart w:id="49" w:name="_Toc186446323"/>
      <w:r>
        <w:rPr>
          <w:rFonts w:hint="eastAsia"/>
          <w:sz w:val="24"/>
          <w:szCs w:val="24"/>
        </w:rPr>
        <w:t>基本原则</w:t>
      </w:r>
      <w:bookmarkEnd w:id="49"/>
    </w:p>
    <w:p w14:paraId="119F576D">
      <w:r>
        <w:rPr>
          <w:rFonts w:hint="eastAsia"/>
        </w:rPr>
        <w:t>4</w:t>
      </w:r>
      <w:r>
        <w:t xml:space="preserve">.1 </w:t>
      </w:r>
      <w:r>
        <w:rPr>
          <w:rFonts w:hint="eastAsia"/>
        </w:rPr>
        <w:t>社区居家养老服务认证遵循客观公正、以人为本的原则。</w:t>
      </w:r>
    </w:p>
    <w:p w14:paraId="5C5CB406">
      <w:r>
        <w:rPr>
          <w:rFonts w:hint="eastAsia"/>
        </w:rPr>
        <w:t>4..2认证指标的选取在遵循服务质量的功能性、经济性、安全性、舒适性、时间性和文明性的基础上，充分考虑社区居家养老服务特性，以引导规范服务行为、提高服务质量，并关注安全、环境、卫生、顾客和员工权益等。</w:t>
      </w:r>
    </w:p>
    <w:p w14:paraId="40A03755">
      <w:r>
        <w:t>4.3</w:t>
      </w:r>
      <w:r>
        <w:rPr>
          <w:rFonts w:hint="eastAsia"/>
        </w:rPr>
        <w:t>社区居家养老服务认证涵盖对服务提供者的能力、服务提供过程及绩效评价等方面。</w:t>
      </w:r>
    </w:p>
    <w:p w14:paraId="180848AC">
      <w:pPr>
        <w:rPr>
          <w:sz w:val="24"/>
          <w:szCs w:val="24"/>
        </w:rPr>
      </w:pPr>
      <w:r>
        <w:t>4.4</w:t>
      </w:r>
      <w:r>
        <w:rPr>
          <w:rFonts w:hint="eastAsia"/>
        </w:rPr>
        <w:t>社区居家养老服务认证结果宜客观反映社区居家养老服务质量。</w:t>
      </w:r>
    </w:p>
    <w:p w14:paraId="6204B433">
      <w:pPr>
        <w:pStyle w:val="106"/>
        <w:spacing w:before="312" w:after="312"/>
        <w:rPr>
          <w:rFonts w:hAnsi="黑体"/>
          <w:sz w:val="24"/>
          <w:szCs w:val="24"/>
        </w:rPr>
      </w:pPr>
      <w:bookmarkStart w:id="50" w:name="_Toc186446324"/>
      <w:r>
        <w:rPr>
          <w:rFonts w:hint="eastAsia" w:hAnsi="黑体"/>
          <w:sz w:val="24"/>
          <w:szCs w:val="24"/>
        </w:rPr>
        <w:t>评价内容</w:t>
      </w:r>
      <w:bookmarkEnd w:id="50"/>
    </w:p>
    <w:p w14:paraId="67A21D72">
      <w:r>
        <w:t xml:space="preserve">5.1 </w:t>
      </w:r>
      <w:r>
        <w:rPr>
          <w:rFonts w:hint="eastAsia"/>
        </w:rPr>
        <w:t>服务能力</w:t>
      </w:r>
    </w:p>
    <w:p w14:paraId="23952CC9">
      <w:pPr>
        <w:ind w:firstLine="420" w:firstLineChars="200"/>
      </w:pPr>
      <w:r>
        <w:rPr>
          <w:rFonts w:hint="eastAsia"/>
        </w:rPr>
        <w:t>应对社区居家养老服务提供者的服务能力进行评价，服务能力包括组织管理、环境、人力资源、信息管理、档案管理、安全保障、风险控制等能力。</w:t>
      </w:r>
    </w:p>
    <w:p w14:paraId="6FCA36D9">
      <w:r>
        <w:t>5.1.1</w:t>
      </w:r>
      <w:r>
        <w:rPr>
          <w:rFonts w:hint="eastAsia"/>
        </w:rPr>
        <w:t>组织管理</w:t>
      </w:r>
    </w:p>
    <w:p w14:paraId="1CE09D6F">
      <w:r>
        <w:rPr>
          <w:rFonts w:hint="eastAsia"/>
        </w:rPr>
        <w:t>5.1.1.1对社区居家养老服务的组织管理的评价包括但不限于：</w:t>
      </w:r>
    </w:p>
    <w:p w14:paraId="38DEC068">
      <w:pPr>
        <w:pStyle w:val="231"/>
        <w:numPr>
          <w:ilvl w:val="0"/>
          <w:numId w:val="32"/>
        </w:numPr>
        <w:ind w:firstLineChars="0"/>
        <w:rPr>
          <w:rFonts w:ascii="Calibri" w:hAnsi="Calibri" w:eastAsia="宋体" w:cs="Times New Roman"/>
          <w:szCs w:val="21"/>
        </w:rPr>
      </w:pPr>
      <w:r>
        <w:rPr>
          <w:rFonts w:hint="eastAsia" w:ascii="Calibri" w:hAnsi="Calibri" w:eastAsia="宋体" w:cs="Times New Roman"/>
          <w:szCs w:val="21"/>
        </w:rPr>
        <w:t>确立服务方针、目标、发展规划;</w:t>
      </w:r>
    </w:p>
    <w:p w14:paraId="625CE581">
      <w:pPr>
        <w:pStyle w:val="231"/>
        <w:numPr>
          <w:ilvl w:val="0"/>
          <w:numId w:val="32"/>
        </w:numPr>
        <w:ind w:firstLineChars="0"/>
        <w:rPr>
          <w:rFonts w:ascii="Calibri" w:hAnsi="Calibri" w:eastAsia="宋体" w:cs="Times New Roman"/>
          <w:szCs w:val="21"/>
        </w:rPr>
      </w:pPr>
      <w:r>
        <w:rPr>
          <w:rFonts w:ascii="Calibri" w:hAnsi="Calibri" w:eastAsia="宋体" w:cs="Times New Roman"/>
          <w:szCs w:val="21"/>
        </w:rPr>
        <w:t>确定</w:t>
      </w:r>
      <w:r>
        <w:rPr>
          <w:rFonts w:hint="eastAsia" w:ascii="Calibri" w:hAnsi="Calibri" w:eastAsia="宋体" w:cs="Times New Roman"/>
          <w:szCs w:val="21"/>
        </w:rPr>
        <w:t>提供服务承诺；</w:t>
      </w:r>
    </w:p>
    <w:p w14:paraId="76C792A2">
      <w:pPr>
        <w:pStyle w:val="231"/>
        <w:numPr>
          <w:ilvl w:val="0"/>
          <w:numId w:val="32"/>
        </w:numPr>
        <w:ind w:firstLineChars="0"/>
        <w:rPr>
          <w:rFonts w:ascii="Calibri" w:hAnsi="Calibri" w:eastAsia="宋体" w:cs="Times New Roman"/>
          <w:szCs w:val="21"/>
        </w:rPr>
      </w:pPr>
      <w:r>
        <w:rPr>
          <w:rFonts w:hint="eastAsia" w:ascii="Calibri" w:hAnsi="Calibri" w:eastAsia="宋体" w:cs="Times New Roman"/>
          <w:szCs w:val="21"/>
        </w:rPr>
        <w:t>具备与其业务相适应的组织架构，并对服务流程、服务规范、服务职责做出规定;</w:t>
      </w:r>
    </w:p>
    <w:p w14:paraId="21F8340E">
      <w:pPr>
        <w:pStyle w:val="231"/>
        <w:numPr>
          <w:ilvl w:val="0"/>
          <w:numId w:val="32"/>
        </w:numPr>
        <w:ind w:firstLineChars="0"/>
        <w:rPr>
          <w:rFonts w:ascii="Calibri" w:hAnsi="Calibri" w:eastAsia="宋体" w:cs="Times New Roman"/>
          <w:szCs w:val="21"/>
        </w:rPr>
      </w:pPr>
      <w:r>
        <w:rPr>
          <w:rFonts w:ascii="Calibri" w:hAnsi="Calibri" w:eastAsia="宋体" w:cs="Times New Roman"/>
          <w:szCs w:val="21"/>
        </w:rPr>
        <w:t>确保可以获得必要的资源和信息，以支持服务提供的运作和监视；</w:t>
      </w:r>
    </w:p>
    <w:p w14:paraId="294B5B3A">
      <w:pPr>
        <w:pStyle w:val="231"/>
        <w:numPr>
          <w:ilvl w:val="0"/>
          <w:numId w:val="32"/>
        </w:numPr>
        <w:ind w:firstLineChars="0"/>
        <w:rPr>
          <w:rFonts w:ascii="Calibri" w:hAnsi="Calibri" w:eastAsia="宋体" w:cs="Times New Roman"/>
          <w:szCs w:val="21"/>
        </w:rPr>
      </w:pPr>
      <w:r>
        <w:rPr>
          <w:rFonts w:hint="eastAsia" w:ascii="Calibri" w:hAnsi="Calibri" w:eastAsia="宋体" w:cs="Times New Roman"/>
          <w:szCs w:val="21"/>
        </w:rPr>
        <w:t>建立良好的沟通渠道、明确沟通方式和时机。</w:t>
      </w:r>
    </w:p>
    <w:p w14:paraId="13D0A3DF">
      <w:r>
        <w:rPr>
          <w:rFonts w:hint="eastAsia"/>
        </w:rPr>
        <w:t>5.1.1.2对社区居家养老服务全过程的管理制度及服务质量保障体系的评价包括但不限于:</w:t>
      </w:r>
    </w:p>
    <w:p w14:paraId="0E8C33D4">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服务管理：包括服务设计、服务规范</w:t>
      </w:r>
    </w:p>
    <w:p w14:paraId="37B3083D">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人员管理，包括岗位要求识别与人员能力评价;</w:t>
      </w:r>
    </w:p>
    <w:p w14:paraId="7B4FD658">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财务管理;</w:t>
      </w:r>
    </w:p>
    <w:p w14:paraId="0392273C">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设施设备管理，包括信息、保障、支持和辅助系统；</w:t>
      </w:r>
    </w:p>
    <w:p w14:paraId="388DCAB8">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采购管理，包括外包方的管理；</w:t>
      </w:r>
    </w:p>
    <w:p w14:paraId="24F9B927">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档案及信息管理，包括</w:t>
      </w:r>
      <w:r>
        <w:rPr>
          <w:rFonts w:ascii="Calibri" w:hAnsi="Calibri" w:eastAsia="宋体" w:cs="Times New Roman"/>
          <w:szCs w:val="21"/>
        </w:rPr>
        <w:t>文书档案、财务档案、员工信息等资料</w:t>
      </w:r>
      <w:r>
        <w:rPr>
          <w:rFonts w:hint="eastAsia" w:ascii="Calibri" w:hAnsi="Calibri" w:eastAsia="宋体" w:cs="Times New Roman"/>
          <w:szCs w:val="21"/>
        </w:rPr>
        <w:t>、客户</w:t>
      </w:r>
      <w:r>
        <w:rPr>
          <w:rFonts w:ascii="Calibri" w:hAnsi="Calibri" w:eastAsia="宋体" w:cs="Times New Roman"/>
          <w:szCs w:val="21"/>
        </w:rPr>
        <w:t>服务档案</w:t>
      </w:r>
      <w:r>
        <w:rPr>
          <w:rFonts w:hint="eastAsia" w:ascii="Calibri" w:hAnsi="Calibri" w:eastAsia="宋体" w:cs="Times New Roman"/>
          <w:szCs w:val="21"/>
        </w:rPr>
        <w:t>；</w:t>
      </w:r>
    </w:p>
    <w:p w14:paraId="7FE26E26">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风险防控及安全管理，包括风险识别、评价及应急管理机制；</w:t>
      </w:r>
    </w:p>
    <w:p w14:paraId="016038B4">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投诉处理：包括投诉渠道、处理流程和方法以及反馈方式等；</w:t>
      </w:r>
    </w:p>
    <w:p w14:paraId="399CA67B">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补救管理：包含失误分析和分类、紧急行动方案、补救结果评价等；</w:t>
      </w:r>
    </w:p>
    <w:p w14:paraId="7EA4F321">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评价与持续改进：包括评价流程、方法及结果应用等；</w:t>
      </w:r>
    </w:p>
    <w:p w14:paraId="2CD950A7">
      <w:pPr>
        <w:pStyle w:val="231"/>
        <w:numPr>
          <w:ilvl w:val="0"/>
          <w:numId w:val="33"/>
        </w:numPr>
        <w:ind w:firstLineChars="0"/>
        <w:rPr>
          <w:rFonts w:ascii="Calibri" w:hAnsi="Calibri" w:eastAsia="宋体" w:cs="Times New Roman"/>
          <w:szCs w:val="21"/>
        </w:rPr>
      </w:pPr>
      <w:r>
        <w:rPr>
          <w:rFonts w:hint="eastAsia" w:ascii="Calibri" w:hAnsi="Calibri" w:eastAsia="宋体" w:cs="Times New Roman"/>
          <w:szCs w:val="21"/>
        </w:rPr>
        <w:t>文件和记录管理。</w:t>
      </w:r>
    </w:p>
    <w:p w14:paraId="0656D12B">
      <w:r>
        <w:t>5.1.2</w:t>
      </w:r>
      <w:r>
        <w:rPr>
          <w:rFonts w:hint="eastAsia"/>
        </w:rPr>
        <w:t>环境</w:t>
      </w:r>
    </w:p>
    <w:p w14:paraId="3E2BD9B6">
      <w:pPr>
        <w:ind w:firstLine="420" w:firstLineChars="200"/>
      </w:pPr>
      <w:r>
        <w:rPr>
          <w:rFonts w:hint="eastAsia"/>
        </w:rPr>
        <w:t>服务环境的评价包括但不限于：</w:t>
      </w:r>
    </w:p>
    <w:p w14:paraId="29693CEC">
      <w:pPr>
        <w:pStyle w:val="231"/>
        <w:numPr>
          <w:ilvl w:val="0"/>
          <w:numId w:val="34"/>
        </w:numPr>
        <w:ind w:firstLineChars="0"/>
        <w:rPr>
          <w:rFonts w:ascii="宋体" w:hAnsi="宋体" w:eastAsia="宋体" w:cs="Times New Roman"/>
          <w:szCs w:val="21"/>
        </w:rPr>
      </w:pPr>
      <w:r>
        <w:rPr>
          <w:rFonts w:hint="eastAsia" w:ascii="宋体" w:hAnsi="宋体" w:eastAsia="宋体" w:cs="Times New Roman"/>
          <w:szCs w:val="21"/>
        </w:rPr>
        <w:t>社区居家养老服务场所不得设立在地下；</w:t>
      </w:r>
    </w:p>
    <w:p w14:paraId="4D33A179">
      <w:pPr>
        <w:pStyle w:val="231"/>
        <w:numPr>
          <w:ilvl w:val="0"/>
          <w:numId w:val="34"/>
        </w:numPr>
        <w:ind w:firstLineChars="0"/>
        <w:rPr>
          <w:rFonts w:ascii="宋体" w:hAnsi="宋体" w:eastAsia="宋体" w:cs="Times New Roman"/>
          <w:szCs w:val="21"/>
        </w:rPr>
      </w:pPr>
      <w:r>
        <w:rPr>
          <w:rFonts w:hint="eastAsia" w:ascii="宋体" w:hAnsi="宋体" w:eastAsia="宋体" w:cs="Times New Roman"/>
          <w:szCs w:val="21"/>
        </w:rPr>
        <w:t>所提供的服务场所的照明、环境噪声、基础设施、无障碍设施和环境等应满足国家标准或行业标准的要求。</w:t>
      </w:r>
    </w:p>
    <w:p w14:paraId="69982DC4">
      <w:pPr>
        <w:pStyle w:val="231"/>
        <w:ind w:left="860" w:firstLine="0" w:firstLineChars="0"/>
        <w:rPr>
          <w:rFonts w:ascii="宋体" w:hAnsi="宋体" w:eastAsia="宋体" w:cs="Times New Roman"/>
          <w:sz w:val="18"/>
          <w:szCs w:val="18"/>
        </w:rPr>
      </w:pPr>
      <w:r>
        <w:rPr>
          <w:rFonts w:hint="eastAsia" w:ascii="宋体" w:hAnsi="宋体" w:eastAsia="宋体" w:cs="Times New Roman"/>
          <w:sz w:val="18"/>
          <w:szCs w:val="18"/>
        </w:rPr>
        <w:t>注1：</w:t>
      </w:r>
      <w:r>
        <w:rPr>
          <w:rFonts w:ascii="宋体" w:hAnsi="宋体" w:eastAsia="宋体" w:cs="Times New Roman"/>
          <w:sz w:val="18"/>
          <w:szCs w:val="18"/>
        </w:rPr>
        <w:t>照明符合JGJ450-2018《老年人照料设施建筑设计标准》中7.3的相关要求:</w:t>
      </w:r>
    </w:p>
    <w:p w14:paraId="48058B23">
      <w:pPr>
        <w:pStyle w:val="231"/>
        <w:ind w:left="860" w:firstLine="0" w:firstLineChars="0"/>
        <w:rPr>
          <w:rFonts w:ascii="宋体" w:hAnsi="宋体" w:eastAsia="宋体" w:cs="Times New Roman"/>
          <w:sz w:val="18"/>
          <w:szCs w:val="18"/>
        </w:rPr>
      </w:pPr>
      <w:r>
        <w:rPr>
          <w:rFonts w:hint="eastAsia" w:ascii="宋体" w:hAnsi="宋体" w:eastAsia="宋体" w:cs="Times New Roman"/>
          <w:sz w:val="18"/>
          <w:szCs w:val="18"/>
        </w:rPr>
        <w:t>注2：噪声与声环境应符合</w:t>
      </w:r>
      <w:r>
        <w:rPr>
          <w:rFonts w:ascii="宋体" w:hAnsi="宋体" w:eastAsia="宋体" w:cs="Times New Roman"/>
          <w:sz w:val="18"/>
          <w:szCs w:val="18"/>
        </w:rPr>
        <w:t>JGJ450-2018中6.5的相关要求。</w:t>
      </w:r>
    </w:p>
    <w:p w14:paraId="7F2EA839">
      <w:pPr>
        <w:pStyle w:val="231"/>
        <w:ind w:left="860" w:firstLine="0" w:firstLineChars="0"/>
        <w:rPr>
          <w:rFonts w:ascii="宋体" w:hAnsi="宋体" w:eastAsia="宋体" w:cs="Times New Roman"/>
          <w:sz w:val="18"/>
          <w:szCs w:val="18"/>
        </w:rPr>
      </w:pPr>
      <w:r>
        <w:rPr>
          <w:rFonts w:hint="eastAsia" w:ascii="宋体" w:hAnsi="宋体" w:eastAsia="宋体" w:cs="Times New Roman"/>
          <w:sz w:val="18"/>
          <w:szCs w:val="18"/>
        </w:rPr>
        <w:t>注3：无障碍设施应满足</w:t>
      </w:r>
      <w:r>
        <w:rPr>
          <w:rFonts w:ascii="宋体" w:hAnsi="宋体" w:eastAsia="宋体" w:cs="Times New Roman"/>
          <w:sz w:val="18"/>
          <w:szCs w:val="18"/>
        </w:rPr>
        <w:t>GB 50763—2012</w:t>
      </w:r>
      <w:r>
        <w:rPr>
          <w:rFonts w:hint="eastAsia" w:ascii="宋体" w:hAnsi="宋体" w:eastAsia="宋体" w:cs="Times New Roman"/>
          <w:sz w:val="18"/>
          <w:szCs w:val="18"/>
        </w:rPr>
        <w:t>《</w:t>
      </w:r>
      <w:r>
        <w:rPr>
          <w:rFonts w:ascii="宋体" w:hAnsi="宋体" w:eastAsia="宋体" w:cs="Times New Roman"/>
          <w:sz w:val="18"/>
          <w:szCs w:val="18"/>
        </w:rPr>
        <w:t>无障碍</w:t>
      </w:r>
      <w:r>
        <w:rPr>
          <w:rFonts w:hint="eastAsia" w:ascii="宋体" w:hAnsi="宋体" w:eastAsia="宋体" w:cs="Times New Roman"/>
          <w:sz w:val="18"/>
          <w:szCs w:val="18"/>
        </w:rPr>
        <w:t>设计规范》要求。</w:t>
      </w:r>
    </w:p>
    <w:p w14:paraId="2EE88C57">
      <w:pPr>
        <w:pStyle w:val="231"/>
        <w:numPr>
          <w:ilvl w:val="0"/>
          <w:numId w:val="34"/>
        </w:numPr>
        <w:ind w:firstLineChars="0"/>
        <w:rPr>
          <w:rFonts w:ascii="宋体" w:hAnsi="宋体" w:eastAsia="宋体" w:cs="Times New Roman"/>
          <w:szCs w:val="21"/>
        </w:rPr>
      </w:pPr>
      <w:r>
        <w:rPr>
          <w:rFonts w:hint="eastAsia" w:ascii="宋体" w:hAnsi="宋体" w:eastAsia="宋体" w:cs="Times New Roman"/>
          <w:szCs w:val="21"/>
        </w:rPr>
        <w:t>功能区域设置醒目、易懂的标志。</w:t>
      </w:r>
    </w:p>
    <w:p w14:paraId="5C69F493">
      <w:pPr>
        <w:pStyle w:val="231"/>
        <w:ind w:left="860" w:firstLine="0" w:firstLineChars="0"/>
        <w:rPr>
          <w:rFonts w:ascii="宋体" w:hAnsi="宋体" w:eastAsia="宋体" w:cs="Times New Roman"/>
          <w:sz w:val="18"/>
          <w:szCs w:val="18"/>
        </w:rPr>
      </w:pPr>
      <w:r>
        <w:rPr>
          <w:rFonts w:hint="eastAsia" w:ascii="宋体" w:hAnsi="宋体" w:eastAsia="宋体" w:cs="Times New Roman"/>
          <w:sz w:val="18"/>
          <w:szCs w:val="18"/>
        </w:rPr>
        <w:t>注1：</w:t>
      </w:r>
      <w:r>
        <w:rPr>
          <w:rFonts w:ascii="宋体" w:hAnsi="宋体" w:eastAsia="宋体" w:cs="Times New Roman"/>
          <w:sz w:val="18"/>
          <w:szCs w:val="18"/>
        </w:rPr>
        <w:t>消防安全标志的设置应符合GB 15630</w:t>
      </w:r>
      <w:r>
        <w:rPr>
          <w:rFonts w:hint="eastAsia" w:ascii="宋体" w:hAnsi="宋体" w:eastAsia="宋体" w:cs="Times New Roman"/>
          <w:sz w:val="18"/>
          <w:szCs w:val="18"/>
        </w:rPr>
        <w:t>《消防安全标志设置要求》</w:t>
      </w:r>
      <w:r>
        <w:rPr>
          <w:rFonts w:ascii="宋体" w:hAnsi="宋体" w:eastAsia="宋体" w:cs="Times New Roman"/>
          <w:sz w:val="18"/>
          <w:szCs w:val="18"/>
        </w:rPr>
        <w:t>的相关要求。</w:t>
      </w:r>
    </w:p>
    <w:p w14:paraId="75D1EF7D">
      <w:pPr>
        <w:pStyle w:val="231"/>
        <w:ind w:left="860" w:firstLine="0" w:firstLineChars="0"/>
        <w:rPr>
          <w:rFonts w:ascii="宋体" w:hAnsi="宋体" w:eastAsia="宋体" w:cs="Times New Roman"/>
          <w:szCs w:val="21"/>
        </w:rPr>
      </w:pPr>
      <w:r>
        <w:rPr>
          <w:rFonts w:hint="eastAsia" w:ascii="宋体" w:hAnsi="宋体" w:eastAsia="宋体" w:cs="Times New Roman"/>
          <w:sz w:val="18"/>
          <w:szCs w:val="18"/>
        </w:rPr>
        <w:t>注</w:t>
      </w:r>
      <w:r>
        <w:rPr>
          <w:rFonts w:hint="eastAsia" w:ascii="宋体" w:hAnsi="宋体"/>
          <w:sz w:val="18"/>
          <w:szCs w:val="18"/>
        </w:rPr>
        <w:t>2：</w:t>
      </w:r>
      <w:r>
        <w:rPr>
          <w:rFonts w:ascii="宋体" w:hAnsi="宋体" w:eastAsia="宋体"/>
          <w:sz w:val="18"/>
          <w:szCs w:val="18"/>
        </w:rPr>
        <w:t>公共区域应设有明显标识，标识应符合老年人生理特点，位置明显、信息精准、图文清晰、 容易理解。</w:t>
      </w:r>
    </w:p>
    <w:p w14:paraId="76270216">
      <w:pPr>
        <w:pStyle w:val="231"/>
        <w:numPr>
          <w:ilvl w:val="0"/>
          <w:numId w:val="34"/>
        </w:numPr>
        <w:ind w:firstLineChars="0"/>
        <w:rPr>
          <w:rFonts w:ascii="宋体" w:hAnsi="宋体" w:eastAsia="宋体" w:cs="Times New Roman"/>
          <w:szCs w:val="21"/>
        </w:rPr>
      </w:pPr>
      <w:r>
        <w:rPr>
          <w:rFonts w:hint="eastAsia" w:ascii="宋体" w:hAnsi="宋体" w:eastAsia="宋体" w:cs="Times New Roman"/>
          <w:szCs w:val="21"/>
        </w:rPr>
        <w:t>对设备设施进行定期清洁保养，保持功能完好，使用安全</w:t>
      </w:r>
    </w:p>
    <w:p w14:paraId="7DC7F198">
      <w:pPr>
        <w:pStyle w:val="231"/>
        <w:numPr>
          <w:ilvl w:val="0"/>
          <w:numId w:val="34"/>
        </w:numPr>
        <w:ind w:firstLineChars="0"/>
        <w:rPr>
          <w:rFonts w:ascii="宋体" w:hAnsi="宋体" w:eastAsia="宋体" w:cs="Times New Roman"/>
          <w:szCs w:val="21"/>
        </w:rPr>
      </w:pPr>
      <w:r>
        <w:rPr>
          <w:rFonts w:ascii="宋体" w:hAnsi="宋体" w:eastAsia="宋体" w:cs="Times New Roman"/>
          <w:szCs w:val="21"/>
        </w:rPr>
        <w:t>服务场所内应保持清洁、地面干燥、通风良好，空气应无毒、无害、无异味</w:t>
      </w:r>
      <w:r>
        <w:rPr>
          <w:rFonts w:hint="eastAsia" w:ascii="宋体" w:hAnsi="宋体" w:eastAsia="宋体" w:cs="Times New Roman"/>
          <w:szCs w:val="21"/>
        </w:rPr>
        <w:t>；</w:t>
      </w:r>
    </w:p>
    <w:p w14:paraId="1CA1FAEA">
      <w:pPr>
        <w:pStyle w:val="231"/>
        <w:numPr>
          <w:ilvl w:val="0"/>
          <w:numId w:val="34"/>
        </w:numPr>
        <w:ind w:firstLineChars="0"/>
        <w:rPr>
          <w:rFonts w:ascii="宋体" w:hAnsi="宋体" w:eastAsia="宋体"/>
        </w:rPr>
      </w:pPr>
      <w:r>
        <w:rPr>
          <w:rFonts w:hint="eastAsia" w:ascii="宋体" w:hAnsi="宋体" w:eastAsia="宋体"/>
        </w:rPr>
        <w:t>日间照料</w:t>
      </w:r>
      <w:r>
        <w:rPr>
          <w:rFonts w:ascii="宋体" w:hAnsi="宋体" w:eastAsia="宋体"/>
        </w:rPr>
        <w:t>服务所需的床（椅）位，保持其整洁、卫生。老年人使用的床和家具应符合老年期生理功能需求。</w:t>
      </w:r>
    </w:p>
    <w:p w14:paraId="514F9292">
      <w:pPr>
        <w:rPr>
          <w:rFonts w:ascii="宋体" w:hAnsi="宋体"/>
        </w:rPr>
      </w:pPr>
      <w:r>
        <w:rPr>
          <w:rFonts w:hint="eastAsia" w:ascii="宋体" w:hAnsi="宋体"/>
        </w:rPr>
        <w:t>5</w:t>
      </w:r>
      <w:r>
        <w:rPr>
          <w:rFonts w:ascii="宋体" w:hAnsi="宋体"/>
        </w:rPr>
        <w:t xml:space="preserve">.1.3 </w:t>
      </w:r>
      <w:r>
        <w:rPr>
          <w:rFonts w:hint="eastAsia" w:ascii="宋体" w:hAnsi="宋体"/>
        </w:rPr>
        <w:t>人员能力</w:t>
      </w:r>
    </w:p>
    <w:p w14:paraId="795C0360">
      <w:pPr>
        <w:ind w:firstLine="315" w:firstLineChars="150"/>
        <w:rPr>
          <w:rFonts w:ascii="宋体" w:hAnsi="宋体"/>
        </w:rPr>
      </w:pPr>
      <w:r>
        <w:rPr>
          <w:rFonts w:hint="eastAsia" w:ascii="宋体" w:hAnsi="宋体"/>
        </w:rPr>
        <w:t>对社区居家养老服务提供者配置的人员能力的评价，包括但不限于:</w:t>
      </w:r>
    </w:p>
    <w:p w14:paraId="0363ADD9">
      <w:pPr>
        <w:ind w:left="420" w:leftChars="200"/>
        <w:rPr>
          <w:rFonts w:ascii="宋体" w:hAnsi="宋体"/>
        </w:rPr>
      </w:pPr>
      <w:r>
        <w:rPr>
          <w:rFonts w:ascii="宋体" w:hAnsi="宋体"/>
        </w:rPr>
        <w:t>a)</w:t>
      </w:r>
      <w:r>
        <w:rPr>
          <w:rFonts w:hint="eastAsia" w:ascii="宋体" w:hAnsi="宋体"/>
        </w:rPr>
        <w:t>在服务人员、顾客、社区居家养老服务提供者三方没有异议的情况下签订服务协议,明确各自的责任和义务;</w:t>
      </w:r>
    </w:p>
    <w:p w14:paraId="4AA5C144">
      <w:pPr>
        <w:ind w:left="420" w:leftChars="200"/>
        <w:rPr>
          <w:rFonts w:ascii="宋体" w:hAnsi="宋体"/>
        </w:rPr>
      </w:pPr>
      <w:r>
        <w:rPr>
          <w:rFonts w:hint="eastAsia" w:ascii="宋体" w:hAnsi="宋体"/>
        </w:rPr>
        <w:t>b）人员具备提供相应服务的知识和技能,应符合GB/T35796-2017中6.2.4的要求;</w:t>
      </w:r>
    </w:p>
    <w:p w14:paraId="5F14328D">
      <w:pPr>
        <w:ind w:left="420" w:leftChars="200"/>
        <w:rPr>
          <w:rFonts w:ascii="宋体" w:hAnsi="宋体"/>
        </w:rPr>
      </w:pPr>
      <w:r>
        <w:rPr>
          <w:rFonts w:ascii="宋体" w:hAnsi="宋体"/>
        </w:rPr>
        <w:t>c)</w:t>
      </w:r>
      <w:r>
        <w:rPr>
          <w:rFonts w:hint="eastAsia" w:ascii="宋体" w:hAnsi="宋体"/>
        </w:rPr>
        <w:t>根据岗位需要对人员进行培训并评价培训效果,应符合GB/T35796-2017中6.2.5的要求;</w:t>
      </w:r>
    </w:p>
    <w:p w14:paraId="379374CE">
      <w:pPr>
        <w:ind w:left="420" w:leftChars="200"/>
        <w:rPr>
          <w:rFonts w:ascii="宋体" w:hAnsi="宋体"/>
        </w:rPr>
      </w:pPr>
      <w:r>
        <w:rPr>
          <w:rFonts w:ascii="宋体" w:hAnsi="宋体"/>
        </w:rPr>
        <w:t>d)</w:t>
      </w:r>
      <w:r>
        <w:rPr>
          <w:rFonts w:hint="eastAsia" w:ascii="宋体" w:hAnsi="宋体"/>
        </w:rPr>
        <w:t>规定服务人员统一着装,佩戴工号牌,服务行为符合相应的礼仪规范。</w:t>
      </w:r>
    </w:p>
    <w:p w14:paraId="6FB63C8F">
      <w:pPr>
        <w:rPr>
          <w:rFonts w:ascii="宋体" w:hAnsi="宋体"/>
        </w:rPr>
      </w:pPr>
      <w:r>
        <w:rPr>
          <w:rFonts w:hint="eastAsia" w:ascii="宋体" w:hAnsi="宋体"/>
        </w:rPr>
        <w:t>5.1.4 信息管理</w:t>
      </w:r>
    </w:p>
    <w:p w14:paraId="664800FC">
      <w:pPr>
        <w:rPr>
          <w:rFonts w:ascii="宋体" w:hAnsi="宋体"/>
        </w:rPr>
      </w:pPr>
      <w:r>
        <w:rPr>
          <w:rFonts w:hint="eastAsia" w:ascii="宋体" w:hAnsi="宋体"/>
        </w:rPr>
        <w:t>5.1.4.1 信息管理应包括但不限于顾客的隐私数据、档案及其他必要信息等。</w:t>
      </w:r>
    </w:p>
    <w:p w14:paraId="39BFD749">
      <w:pPr>
        <w:rPr>
          <w:rFonts w:ascii="宋体" w:hAnsi="宋体"/>
        </w:rPr>
      </w:pPr>
      <w:r>
        <w:rPr>
          <w:rFonts w:hint="eastAsia" w:ascii="宋体" w:hAnsi="宋体"/>
        </w:rPr>
        <w:t>5.1.4.2 信息管理应符合SB/T10944-2012中6.6.3档案管理的要求。</w:t>
      </w:r>
    </w:p>
    <w:p w14:paraId="4467A81C">
      <w:pPr>
        <w:rPr>
          <w:rFonts w:ascii="宋体" w:hAnsi="宋体"/>
        </w:rPr>
      </w:pPr>
      <w:r>
        <w:rPr>
          <w:rFonts w:hint="eastAsia" w:ascii="宋体" w:hAnsi="宋体"/>
        </w:rPr>
        <w:t>5.1.5 安全保障</w:t>
      </w:r>
    </w:p>
    <w:p w14:paraId="0082FF7E">
      <w:pPr>
        <w:ind w:firstLine="420" w:firstLineChars="200"/>
        <w:rPr>
          <w:rFonts w:ascii="宋体" w:hAnsi="宋体"/>
        </w:rPr>
      </w:pPr>
      <w:r>
        <w:rPr>
          <w:rFonts w:hint="eastAsia" w:ascii="宋体" w:hAnsi="宋体"/>
        </w:rPr>
        <w:t>对社区居家养老服务提供者的安全保障能力的评价包括但不限于:</w:t>
      </w:r>
    </w:p>
    <w:p w14:paraId="45293DAA">
      <w:pPr>
        <w:ind w:firstLine="420" w:firstLineChars="200"/>
        <w:rPr>
          <w:rFonts w:ascii="宋体" w:hAnsi="宋体"/>
        </w:rPr>
      </w:pPr>
      <w:r>
        <w:rPr>
          <w:rFonts w:hint="eastAsia" w:ascii="宋体" w:hAnsi="宋体"/>
        </w:rPr>
        <w:t>a)遵守国家法律法规的要求,宜建立职业健康安全管理体系;</w:t>
      </w:r>
    </w:p>
    <w:p w14:paraId="22E66F02">
      <w:pPr>
        <w:ind w:firstLine="420" w:firstLineChars="200"/>
        <w:rPr>
          <w:rFonts w:ascii="宋体" w:hAnsi="宋体"/>
        </w:rPr>
      </w:pPr>
      <w:r>
        <w:rPr>
          <w:rFonts w:hint="eastAsia" w:ascii="宋体" w:hAnsi="宋体"/>
        </w:rPr>
        <w:t>b)确保服务对象和服务人员在服务过程中的人身财产安全,对服务对象和服务人员讲述清楚安全注意事项,配备必要的安全防护用品和设施设备;</w:t>
      </w:r>
    </w:p>
    <w:p w14:paraId="435D9812">
      <w:pPr>
        <w:ind w:firstLine="420" w:firstLineChars="200"/>
        <w:rPr>
          <w:rFonts w:ascii="宋体" w:hAnsi="宋体"/>
        </w:rPr>
      </w:pPr>
      <w:r>
        <w:rPr>
          <w:rFonts w:ascii="宋体" w:hAnsi="宋体"/>
        </w:rPr>
        <w:t>c)</w:t>
      </w:r>
      <w:r>
        <w:rPr>
          <w:rFonts w:hint="eastAsia" w:ascii="宋体" w:hAnsi="宋体"/>
        </w:rPr>
        <w:t>与服务人员、服务对象明确安全责任;</w:t>
      </w:r>
    </w:p>
    <w:p w14:paraId="4BE39C20">
      <w:pPr>
        <w:ind w:firstLine="420" w:firstLineChars="200"/>
        <w:rPr>
          <w:rFonts w:ascii="宋体" w:hAnsi="宋体"/>
        </w:rPr>
      </w:pPr>
      <w:r>
        <w:rPr>
          <w:rFonts w:ascii="宋体" w:hAnsi="宋体"/>
        </w:rPr>
        <w:t>d)</w:t>
      </w:r>
      <w:r>
        <w:rPr>
          <w:rFonts w:hint="eastAsia" w:ascii="宋体" w:hAnsi="宋体"/>
        </w:rPr>
        <w:t>建立安全应急预案,并定期对应急预案进行演练;</w:t>
      </w:r>
    </w:p>
    <w:p w14:paraId="521632AA">
      <w:pPr>
        <w:ind w:firstLine="420" w:firstLineChars="200"/>
        <w:rPr>
          <w:rFonts w:ascii="宋体" w:hAnsi="宋体"/>
        </w:rPr>
      </w:pPr>
      <w:r>
        <w:rPr>
          <w:rFonts w:ascii="宋体" w:hAnsi="宋体"/>
        </w:rPr>
        <w:t>e)</w:t>
      </w:r>
      <w:r>
        <w:rPr>
          <w:rFonts w:hint="eastAsia" w:ascii="宋体" w:hAnsi="宋体"/>
        </w:rPr>
        <w:t>落实人身财产安全、护理安全、食品安全、设施设备安全、消防安全等相关管理制度.</w:t>
      </w:r>
    </w:p>
    <w:p w14:paraId="6DCFF63B">
      <w:pPr>
        <w:rPr>
          <w:rFonts w:ascii="宋体" w:hAnsi="宋体"/>
        </w:rPr>
      </w:pPr>
      <w:r>
        <w:rPr>
          <w:rFonts w:hint="eastAsia" w:ascii="宋体" w:hAnsi="宋体"/>
        </w:rPr>
        <w:t>5.1.6 风险控制</w:t>
      </w:r>
    </w:p>
    <w:p w14:paraId="225A77E6">
      <w:pPr>
        <w:ind w:firstLine="420" w:firstLineChars="200"/>
        <w:rPr>
          <w:rFonts w:ascii="宋体" w:hAnsi="宋体"/>
        </w:rPr>
      </w:pPr>
      <w:r>
        <w:rPr>
          <w:rFonts w:hint="eastAsia" w:ascii="宋体" w:hAnsi="宋体"/>
        </w:rPr>
        <w:t>对社区居家养老服务提供者的风险防控机制的评价包括但不限于:</w:t>
      </w:r>
    </w:p>
    <w:p w14:paraId="78881890">
      <w:pPr>
        <w:ind w:left="420" w:leftChars="200"/>
        <w:rPr>
          <w:rFonts w:ascii="宋体" w:hAnsi="宋体"/>
        </w:rPr>
      </w:pPr>
      <w:r>
        <w:rPr>
          <w:rFonts w:hint="eastAsia" w:ascii="宋体" w:hAnsi="宋体"/>
        </w:rPr>
        <w:t>a)符合GB38600-2019中第5章规定的相关安全风险评估要求;</w:t>
      </w:r>
    </w:p>
    <w:p w14:paraId="6FC92116">
      <w:pPr>
        <w:ind w:left="420" w:leftChars="200"/>
        <w:rPr>
          <w:rFonts w:ascii="宋体" w:hAnsi="宋体"/>
        </w:rPr>
      </w:pPr>
      <w:r>
        <w:rPr>
          <w:rFonts w:hint="eastAsia" w:ascii="宋体" w:hAnsi="宋体"/>
        </w:rPr>
        <w:t>b)对服务过程中的有关风险因素进行识别, 制定风险控制措施做好安全隐患防范;</w:t>
      </w:r>
    </w:p>
    <w:p w14:paraId="726849EE">
      <w:pPr>
        <w:ind w:left="420" w:leftChars="200"/>
        <w:rPr>
          <w:rFonts w:ascii="宋体" w:hAnsi="宋体"/>
        </w:rPr>
      </w:pPr>
      <w:r>
        <w:rPr>
          <w:rFonts w:hint="eastAsia" w:ascii="宋体" w:hAnsi="宋体"/>
        </w:rPr>
        <w:t>c</w:t>
      </w:r>
      <w:r>
        <w:rPr>
          <w:rFonts w:ascii="宋体" w:hAnsi="宋体"/>
        </w:rPr>
        <w:t>)</w:t>
      </w:r>
      <w:r>
        <w:rPr>
          <w:rFonts w:hint="eastAsia" w:ascii="宋体" w:hAnsi="宋体"/>
        </w:rPr>
        <w:t>建立规范风险处置程序</w:t>
      </w:r>
      <w:r>
        <w:rPr>
          <w:rFonts w:ascii="宋体" w:hAnsi="宋体"/>
        </w:rPr>
        <w:t>,</w:t>
      </w:r>
      <w:r>
        <w:rPr>
          <w:rFonts w:hint="eastAsia" w:ascii="宋体" w:hAnsi="宋体"/>
        </w:rPr>
        <w:t>应对服务相关方发生的风险或突发事件;</w:t>
      </w:r>
    </w:p>
    <w:p w14:paraId="524CFB8F">
      <w:pPr>
        <w:ind w:left="420" w:leftChars="200"/>
        <w:rPr>
          <w:rFonts w:ascii="宋体" w:hAnsi="宋体"/>
        </w:rPr>
      </w:pPr>
      <w:r>
        <w:rPr>
          <w:rFonts w:ascii="宋体" w:hAnsi="宋体"/>
        </w:rPr>
        <w:t>d</w:t>
      </w:r>
      <w:r>
        <w:rPr>
          <w:rFonts w:hint="eastAsia" w:ascii="宋体" w:hAnsi="宋体"/>
        </w:rPr>
        <w:t>)对服务人员进行风险意识教育,提高心理健康、安全防范等方面意识和能力。</w:t>
      </w:r>
    </w:p>
    <w:p w14:paraId="620723E5">
      <w:pPr>
        <w:rPr>
          <w:rFonts w:ascii="宋体" w:hAnsi="宋体"/>
          <w:sz w:val="24"/>
          <w:szCs w:val="24"/>
        </w:rPr>
      </w:pPr>
      <w:r>
        <w:rPr>
          <w:rFonts w:hint="eastAsia" w:ascii="宋体" w:hAnsi="宋体"/>
          <w:sz w:val="24"/>
          <w:szCs w:val="24"/>
        </w:rPr>
        <w:t>5</w:t>
      </w:r>
      <w:r>
        <w:rPr>
          <w:rFonts w:ascii="宋体" w:hAnsi="宋体"/>
          <w:sz w:val="24"/>
          <w:szCs w:val="24"/>
        </w:rPr>
        <w:t xml:space="preserve">.2 </w:t>
      </w:r>
      <w:r>
        <w:rPr>
          <w:rFonts w:hint="eastAsia" w:ascii="宋体" w:hAnsi="宋体"/>
          <w:sz w:val="24"/>
          <w:szCs w:val="24"/>
        </w:rPr>
        <w:t>服务提供</w:t>
      </w:r>
    </w:p>
    <w:p w14:paraId="184245FA">
      <w:pPr>
        <w:rPr>
          <w:rFonts w:ascii="宋体" w:hAnsi="宋体"/>
        </w:rPr>
      </w:pPr>
      <w:r>
        <w:rPr>
          <w:rFonts w:hint="eastAsia" w:ascii="宋体" w:hAnsi="宋体"/>
        </w:rPr>
        <w:t>5</w:t>
      </w:r>
      <w:r>
        <w:rPr>
          <w:rFonts w:ascii="宋体" w:hAnsi="宋体"/>
        </w:rPr>
        <w:t>.2.1</w:t>
      </w:r>
      <w:r>
        <w:rPr>
          <w:rFonts w:hint="eastAsia" w:ascii="宋体" w:hAnsi="宋体"/>
        </w:rPr>
        <w:t>服务准备</w:t>
      </w:r>
    </w:p>
    <w:p w14:paraId="4C795087">
      <w:pPr>
        <w:rPr>
          <w:rFonts w:ascii="宋体" w:hAnsi="宋体"/>
        </w:rPr>
      </w:pPr>
      <w:r>
        <w:rPr>
          <w:rFonts w:ascii="宋体" w:hAnsi="宋体"/>
        </w:rPr>
        <w:t>5.2.1.1</w:t>
      </w:r>
      <w:r>
        <w:rPr>
          <w:rFonts w:hint="eastAsia" w:ascii="宋体" w:hAnsi="宋体"/>
        </w:rPr>
        <w:t>公开信息</w:t>
      </w:r>
    </w:p>
    <w:p w14:paraId="33B63AE8">
      <w:pPr>
        <w:ind w:firstLine="420" w:firstLineChars="200"/>
        <w:rPr>
          <w:rFonts w:ascii="宋体" w:hAnsi="宋体"/>
        </w:rPr>
      </w:pPr>
      <w:r>
        <w:rPr>
          <w:rFonts w:ascii="宋体" w:hAnsi="宋体"/>
        </w:rPr>
        <w:t xml:space="preserve">组织应公开必要的服务信息并及时更新，可通过互联网、物联网等网络手段公开，公开的服务 信息应真实、准确、完整，便于老年人获取。公开信息包括但不限于： </w:t>
      </w:r>
    </w:p>
    <w:p w14:paraId="147A1DE0">
      <w:pPr>
        <w:ind w:left="420" w:leftChars="200"/>
        <w:rPr>
          <w:rFonts w:ascii="宋体" w:hAnsi="宋体"/>
        </w:rPr>
      </w:pPr>
      <w:r>
        <w:rPr>
          <w:rFonts w:ascii="宋体" w:hAnsi="宋体"/>
        </w:rPr>
        <w:t xml:space="preserve">a) 组织基本信息（包括名称、地址、服务对象及范围等）； </w:t>
      </w:r>
    </w:p>
    <w:p w14:paraId="3F36130E">
      <w:pPr>
        <w:ind w:firstLine="420" w:firstLineChars="200"/>
        <w:rPr>
          <w:rFonts w:ascii="宋体" w:hAnsi="宋体"/>
        </w:rPr>
      </w:pPr>
      <w:r>
        <w:rPr>
          <w:rFonts w:ascii="宋体" w:hAnsi="宋体"/>
        </w:rPr>
        <w:t xml:space="preserve">b) </w:t>
      </w:r>
      <w:r>
        <w:rPr>
          <w:rFonts w:hint="eastAsia" w:ascii="宋体" w:hAnsi="宋体"/>
        </w:rPr>
        <w:t>资质证书（</w:t>
      </w:r>
      <w:r>
        <w:rPr>
          <w:rFonts w:ascii="宋体" w:hAnsi="宋体"/>
        </w:rPr>
        <w:t>营业执照或民非登记证书、食品经营许可证、医疗机构执业许可证及其他服务的相应许可证明</w:t>
      </w:r>
      <w:r>
        <w:rPr>
          <w:rFonts w:hint="eastAsia" w:ascii="宋体" w:hAnsi="宋体"/>
        </w:rPr>
        <w:t>）</w:t>
      </w:r>
    </w:p>
    <w:p w14:paraId="0DA1BBDD">
      <w:pPr>
        <w:ind w:left="420" w:leftChars="200"/>
        <w:rPr>
          <w:rFonts w:ascii="宋体" w:hAnsi="宋体"/>
        </w:rPr>
      </w:pPr>
      <w:r>
        <w:rPr>
          <w:rFonts w:ascii="宋体" w:hAnsi="宋体"/>
        </w:rPr>
        <w:t xml:space="preserve">c)服务项目及内容； </w:t>
      </w:r>
    </w:p>
    <w:p w14:paraId="4F3E5A8A">
      <w:pPr>
        <w:ind w:left="420" w:leftChars="200"/>
        <w:rPr>
          <w:rFonts w:ascii="宋体" w:hAnsi="宋体"/>
        </w:rPr>
      </w:pPr>
      <w:r>
        <w:rPr>
          <w:rFonts w:ascii="宋体" w:hAnsi="宋体"/>
        </w:rPr>
        <w:t xml:space="preserve">e) 收费标准； </w:t>
      </w:r>
    </w:p>
    <w:p w14:paraId="3295CD81">
      <w:pPr>
        <w:ind w:left="420" w:leftChars="200"/>
        <w:rPr>
          <w:rFonts w:ascii="宋体" w:hAnsi="宋体"/>
        </w:rPr>
      </w:pPr>
      <w:r>
        <w:rPr>
          <w:rFonts w:ascii="宋体" w:hAnsi="宋体"/>
        </w:rPr>
        <w:t xml:space="preserve">f) 服务流程； </w:t>
      </w:r>
    </w:p>
    <w:p w14:paraId="76D238BE">
      <w:pPr>
        <w:ind w:left="420" w:leftChars="200"/>
        <w:rPr>
          <w:rFonts w:ascii="宋体" w:hAnsi="宋体"/>
        </w:rPr>
      </w:pPr>
      <w:r>
        <w:rPr>
          <w:rFonts w:ascii="宋体" w:hAnsi="宋体"/>
        </w:rPr>
        <w:t>g) 服务承诺；</w:t>
      </w:r>
    </w:p>
    <w:p w14:paraId="43E5FC1E">
      <w:pPr>
        <w:ind w:left="420" w:leftChars="200"/>
        <w:rPr>
          <w:rFonts w:ascii="宋体" w:hAnsi="宋体"/>
        </w:rPr>
      </w:pPr>
      <w:r>
        <w:rPr>
          <w:rFonts w:ascii="宋体" w:hAnsi="宋体"/>
        </w:rPr>
        <w:t xml:space="preserve">h) 投诉方式及处理流程； </w:t>
      </w:r>
    </w:p>
    <w:p w14:paraId="6675C752">
      <w:pPr>
        <w:ind w:left="420" w:leftChars="200"/>
        <w:rPr>
          <w:rFonts w:ascii="宋体" w:hAnsi="宋体"/>
        </w:rPr>
      </w:pPr>
      <w:r>
        <w:rPr>
          <w:rFonts w:ascii="宋体" w:hAnsi="宋体"/>
        </w:rPr>
        <w:t>i) 咨询、服务电话。</w:t>
      </w:r>
    </w:p>
    <w:p w14:paraId="52ED4125">
      <w:pPr>
        <w:rPr>
          <w:rFonts w:ascii="宋体" w:hAnsi="宋体"/>
        </w:rPr>
      </w:pPr>
      <w:r>
        <w:rPr>
          <w:rFonts w:ascii="宋体" w:hAnsi="宋体"/>
        </w:rPr>
        <w:t>5.2.1.2</w:t>
      </w:r>
      <w:r>
        <w:rPr>
          <w:rFonts w:hint="eastAsia" w:ascii="宋体" w:hAnsi="宋体"/>
        </w:rPr>
        <w:t>服务咨询与接待</w:t>
      </w:r>
    </w:p>
    <w:p w14:paraId="065C45F3">
      <w:pPr>
        <w:ind w:firstLine="420" w:firstLineChars="200"/>
        <w:rPr>
          <w:rFonts w:ascii="宋体" w:hAnsi="宋体"/>
        </w:rPr>
      </w:pPr>
      <w:r>
        <w:rPr>
          <w:rFonts w:hint="eastAsia" w:ascii="宋体" w:hAnsi="宋体"/>
        </w:rPr>
        <w:t>a）</w:t>
      </w:r>
      <w:r>
        <w:rPr>
          <w:rFonts w:ascii="宋体" w:hAnsi="宋体"/>
        </w:rPr>
        <w:t xml:space="preserve"> 电话/网络</w:t>
      </w:r>
      <w:r>
        <w:rPr>
          <w:rFonts w:hint="eastAsia" w:ascii="宋体" w:hAnsi="宋体"/>
        </w:rPr>
        <w:t>咨询</w:t>
      </w:r>
    </w:p>
    <w:p w14:paraId="5EF3A11E">
      <w:pPr>
        <w:ind w:firstLine="420" w:firstLineChars="200"/>
        <w:rPr>
          <w:rFonts w:ascii="宋体" w:hAnsi="宋体"/>
        </w:rPr>
      </w:pPr>
      <w:r>
        <w:rPr>
          <w:rFonts w:hint="eastAsia" w:ascii="宋体" w:hAnsi="宋体"/>
        </w:rPr>
        <w:t>——建立</w:t>
      </w:r>
      <w:r>
        <w:rPr>
          <w:rFonts w:ascii="宋体" w:hAnsi="宋体"/>
        </w:rPr>
        <w:t xml:space="preserve">电话/网络接待平台，及时接受客户的咨询及预订信息。 </w:t>
      </w:r>
    </w:p>
    <w:p w14:paraId="3F4ECF31">
      <w:pPr>
        <w:ind w:firstLine="420" w:firstLineChars="200"/>
        <w:rPr>
          <w:rFonts w:ascii="宋体" w:hAnsi="宋体"/>
        </w:rPr>
      </w:pPr>
      <w:r>
        <w:rPr>
          <w:rFonts w:hint="eastAsia" w:ascii="宋体" w:hAnsi="宋体"/>
        </w:rPr>
        <w:t>——</w:t>
      </w:r>
      <w:r>
        <w:rPr>
          <w:rFonts w:ascii="宋体" w:hAnsi="宋体"/>
        </w:rPr>
        <w:t xml:space="preserve">应配备专人接听电话、接收网络信息，介绍组织服务内容及其他相关信息，并收集服务对象 的基本情况和服务需求并做好记录，及时传递至相关部门或负责人办理。 </w:t>
      </w:r>
    </w:p>
    <w:p w14:paraId="5104FE59">
      <w:pPr>
        <w:ind w:firstLine="420" w:firstLineChars="200"/>
        <w:rPr>
          <w:rFonts w:ascii="宋体" w:hAnsi="宋体"/>
        </w:rPr>
      </w:pPr>
      <w:r>
        <w:rPr>
          <w:rFonts w:ascii="宋体" w:hAnsi="宋体"/>
        </w:rPr>
        <w:t>b)现场接待</w:t>
      </w:r>
    </w:p>
    <w:p w14:paraId="75300A3B">
      <w:pPr>
        <w:ind w:firstLine="420" w:firstLineChars="200"/>
        <w:rPr>
          <w:rFonts w:ascii="宋体" w:hAnsi="宋体"/>
        </w:rPr>
      </w:pPr>
      <w:r>
        <w:rPr>
          <w:rFonts w:hint="eastAsia" w:ascii="宋体" w:hAnsi="宋体"/>
        </w:rPr>
        <w:t>——</w:t>
      </w:r>
      <w:r>
        <w:rPr>
          <w:rFonts w:ascii="宋体" w:hAnsi="宋体"/>
        </w:rPr>
        <w:t xml:space="preserve">应配备专门的现场接待人员。 </w:t>
      </w:r>
    </w:p>
    <w:p w14:paraId="1241333F">
      <w:pPr>
        <w:ind w:firstLine="420" w:firstLineChars="200"/>
        <w:rPr>
          <w:rFonts w:ascii="宋体" w:hAnsi="宋体"/>
        </w:rPr>
      </w:pPr>
      <w:r>
        <w:rPr>
          <w:rFonts w:hint="eastAsia" w:ascii="宋体" w:hAnsi="宋体"/>
        </w:rPr>
        <w:t>——</w:t>
      </w:r>
      <w:r>
        <w:rPr>
          <w:rFonts w:ascii="宋体" w:hAnsi="宋体"/>
        </w:rPr>
        <w:t xml:space="preserve">现场接待处应设明显标识，应为客户提供座椅、饮水等基本接待服务。 </w:t>
      </w:r>
    </w:p>
    <w:p w14:paraId="45D992BA">
      <w:pPr>
        <w:ind w:firstLine="420" w:firstLineChars="200"/>
        <w:rPr>
          <w:rFonts w:ascii="宋体" w:hAnsi="宋体"/>
        </w:rPr>
      </w:pPr>
      <w:r>
        <w:rPr>
          <w:rFonts w:hint="eastAsia" w:ascii="宋体" w:hAnsi="宋体"/>
        </w:rPr>
        <w:t>——</w:t>
      </w:r>
      <w:r>
        <w:rPr>
          <w:rFonts w:ascii="宋体" w:hAnsi="宋体"/>
        </w:rPr>
        <w:t xml:space="preserve">接待人员应主动、详实地向客户介绍服务项目、服务内容及收费等，必要时引导客户参观。 </w:t>
      </w:r>
    </w:p>
    <w:p w14:paraId="2032238D">
      <w:pPr>
        <w:ind w:firstLine="420" w:firstLineChars="200"/>
        <w:rPr>
          <w:rFonts w:ascii="宋体" w:hAnsi="宋体"/>
        </w:rPr>
      </w:pPr>
      <w:r>
        <w:rPr>
          <w:rFonts w:hint="eastAsia" w:ascii="宋体" w:hAnsi="宋体"/>
        </w:rPr>
        <w:t>——</w:t>
      </w:r>
      <w:r>
        <w:rPr>
          <w:rFonts w:ascii="宋体" w:hAnsi="宋体"/>
        </w:rPr>
        <w:t>接待人员应了解客户基本信息和服务需求，并</w:t>
      </w:r>
      <w:r>
        <w:rPr>
          <w:rFonts w:hint="eastAsia" w:ascii="宋体" w:hAnsi="宋体"/>
        </w:rPr>
        <w:t>按规定</w:t>
      </w:r>
      <w:r>
        <w:rPr>
          <w:rFonts w:ascii="宋体" w:hAnsi="宋体"/>
        </w:rPr>
        <w:t>做好记录，根据老年人的身体状况、服务需求、支付能力及组织的服务提供能力，核定服务内容。</w:t>
      </w:r>
    </w:p>
    <w:p w14:paraId="783D77DF">
      <w:pPr>
        <w:rPr>
          <w:rFonts w:ascii="宋体" w:hAnsi="宋体"/>
        </w:rPr>
      </w:pPr>
      <w:r>
        <w:rPr>
          <w:rFonts w:hint="eastAsia" w:ascii="宋体" w:hAnsi="宋体"/>
        </w:rPr>
        <w:t>5</w:t>
      </w:r>
      <w:r>
        <w:rPr>
          <w:rFonts w:ascii="宋体" w:hAnsi="宋体"/>
        </w:rPr>
        <w:t>.2.1.3签订服务合同</w:t>
      </w:r>
    </w:p>
    <w:p w14:paraId="394A8FEB">
      <w:pPr>
        <w:ind w:firstLine="315" w:firstLineChars="150"/>
        <w:rPr>
          <w:rFonts w:ascii="宋体" w:hAnsi="宋体"/>
          <w:sz w:val="32"/>
          <w:szCs w:val="32"/>
        </w:rPr>
      </w:pPr>
      <w:r>
        <w:rPr>
          <w:rFonts w:ascii="宋体" w:hAnsi="宋体"/>
        </w:rPr>
        <w:t xml:space="preserve">适用时，组织应与老年人和（或）相关第三方签订书面服务合同，合同的内容包括但不限于： </w:t>
      </w:r>
    </w:p>
    <w:p w14:paraId="08BCF0EB">
      <w:pPr>
        <w:ind w:firstLine="420" w:firstLineChars="200"/>
        <w:rPr>
          <w:rFonts w:ascii="宋体" w:hAnsi="宋体"/>
        </w:rPr>
      </w:pPr>
      <w:r>
        <w:rPr>
          <w:rFonts w:ascii="宋体" w:hAnsi="宋体"/>
        </w:rPr>
        <w:t xml:space="preserve">a) 组织、老年人和（或）相关第三方的名称/姓名、地址/住所、联系方式； </w:t>
      </w:r>
    </w:p>
    <w:p w14:paraId="28A90E11">
      <w:pPr>
        <w:ind w:firstLine="420" w:firstLineChars="200"/>
        <w:rPr>
          <w:rFonts w:ascii="宋体" w:hAnsi="宋体"/>
        </w:rPr>
      </w:pPr>
      <w:r>
        <w:rPr>
          <w:rFonts w:ascii="宋体" w:hAnsi="宋体"/>
        </w:rPr>
        <w:t xml:space="preserve">b) 养老服务的内容和标准； </w:t>
      </w:r>
    </w:p>
    <w:p w14:paraId="569BDD00">
      <w:pPr>
        <w:ind w:firstLine="420" w:firstLineChars="200"/>
        <w:rPr>
          <w:rFonts w:ascii="宋体" w:hAnsi="宋体"/>
        </w:rPr>
      </w:pPr>
      <w:r>
        <w:rPr>
          <w:rFonts w:ascii="宋体" w:hAnsi="宋体"/>
        </w:rPr>
        <w:t xml:space="preserve">c) 开展服务的地点、方式和期限； </w:t>
      </w:r>
    </w:p>
    <w:p w14:paraId="719CCEC1">
      <w:pPr>
        <w:ind w:firstLine="420" w:firstLineChars="200"/>
        <w:rPr>
          <w:rFonts w:ascii="宋体" w:hAnsi="宋体"/>
        </w:rPr>
      </w:pPr>
      <w:r>
        <w:rPr>
          <w:rFonts w:ascii="宋体" w:hAnsi="宋体"/>
        </w:rPr>
        <w:t xml:space="preserve">d) 服务收费标准及报酬交付形式； </w:t>
      </w:r>
    </w:p>
    <w:p w14:paraId="6AC8D843">
      <w:pPr>
        <w:ind w:firstLine="420" w:firstLineChars="200"/>
        <w:rPr>
          <w:rFonts w:ascii="宋体" w:hAnsi="宋体"/>
        </w:rPr>
      </w:pPr>
      <w:r>
        <w:rPr>
          <w:rFonts w:hint="eastAsia" w:ascii="宋体" w:hAnsi="宋体"/>
        </w:rPr>
        <w:t>e</w:t>
      </w:r>
      <w:r>
        <w:rPr>
          <w:rFonts w:ascii="宋体" w:hAnsi="宋体"/>
        </w:rPr>
        <w:t xml:space="preserve">) 对服务提供过程中突发紧急状况的处理约定； </w:t>
      </w:r>
    </w:p>
    <w:p w14:paraId="6B07647B">
      <w:pPr>
        <w:ind w:firstLine="420" w:firstLineChars="200"/>
        <w:rPr>
          <w:rFonts w:ascii="宋体" w:hAnsi="宋体"/>
        </w:rPr>
      </w:pPr>
      <w:r>
        <w:rPr>
          <w:rFonts w:ascii="宋体" w:hAnsi="宋体"/>
        </w:rPr>
        <w:t xml:space="preserve">g) 权利义务和违约责任； </w:t>
      </w:r>
    </w:p>
    <w:p w14:paraId="11242479">
      <w:pPr>
        <w:ind w:firstLine="420" w:firstLineChars="200"/>
        <w:rPr>
          <w:rFonts w:ascii="宋体" w:hAnsi="宋体"/>
        </w:rPr>
      </w:pPr>
      <w:r>
        <w:rPr>
          <w:rFonts w:ascii="宋体" w:hAnsi="宋体"/>
        </w:rPr>
        <w:t xml:space="preserve">h) 合同的终止、变更、续订和解除的条件； </w:t>
      </w:r>
    </w:p>
    <w:p w14:paraId="238BB234">
      <w:pPr>
        <w:ind w:firstLine="420" w:firstLineChars="200"/>
        <w:rPr>
          <w:rFonts w:ascii="宋体" w:hAnsi="宋体"/>
        </w:rPr>
      </w:pPr>
      <w:r>
        <w:rPr>
          <w:rFonts w:ascii="宋体" w:hAnsi="宋体"/>
        </w:rPr>
        <w:t xml:space="preserve">i) 约定的其他事项。 </w:t>
      </w:r>
    </w:p>
    <w:p w14:paraId="66988FC0">
      <w:pPr>
        <w:ind w:firstLine="315" w:firstLineChars="150"/>
        <w:rPr>
          <w:rFonts w:ascii="宋体" w:hAnsi="宋体"/>
        </w:rPr>
      </w:pPr>
      <w:r>
        <w:rPr>
          <w:rFonts w:ascii="宋体" w:hAnsi="宋体"/>
        </w:rPr>
        <w:t xml:space="preserve"> 适用时，服务合同中还应包含老年人身体情况或老年人能力评估报告。 </w:t>
      </w:r>
    </w:p>
    <w:p w14:paraId="70CDA511">
      <w:pPr>
        <w:ind w:firstLine="420" w:firstLineChars="200"/>
        <w:rPr>
          <w:rFonts w:ascii="宋体" w:hAnsi="宋体"/>
        </w:rPr>
      </w:pPr>
      <w:r>
        <w:rPr>
          <w:rFonts w:ascii="宋体" w:hAnsi="宋体"/>
        </w:rPr>
        <w:t>若无签订书面服务合同的需求，组织应在提供服务前对老年人和（或）相关第三方的要求进行确认。</w:t>
      </w:r>
    </w:p>
    <w:p w14:paraId="6F6FE330">
      <w:r>
        <w:rPr>
          <w:rFonts w:hint="eastAsia"/>
        </w:rPr>
        <w:t>5</w:t>
      </w:r>
      <w:r>
        <w:t>.2.2</w:t>
      </w:r>
      <w:r>
        <w:rPr>
          <w:rFonts w:hint="eastAsia"/>
        </w:rPr>
        <w:t>服务实施</w:t>
      </w:r>
    </w:p>
    <w:p w14:paraId="086025FD">
      <w:r>
        <w:t>5</w:t>
      </w:r>
      <w:r>
        <w:rPr>
          <w:rFonts w:hint="eastAsia"/>
        </w:rPr>
        <w:t>.2.</w:t>
      </w:r>
      <w:r>
        <w:t>2.</w:t>
      </w:r>
      <w:r>
        <w:rPr>
          <w:rFonts w:hint="eastAsia"/>
        </w:rPr>
        <w:t>1服务管理的评价包括但不限于:</w:t>
      </w:r>
    </w:p>
    <w:p w14:paraId="2BB376D8">
      <w:pPr>
        <w:ind w:left="420" w:leftChars="200"/>
      </w:pPr>
      <w:r>
        <w:rPr>
          <w:rFonts w:hint="eastAsia"/>
        </w:rPr>
        <w:t>a)服务环境、设施设备、公开信息、服务人员、服务技能等符合要求；</w:t>
      </w:r>
    </w:p>
    <w:p w14:paraId="138B8579">
      <w:pPr>
        <w:ind w:left="420" w:leftChars="200"/>
      </w:pPr>
      <w:r>
        <w:rPr>
          <w:rFonts w:hint="eastAsia"/>
        </w:rPr>
        <w:t>b</w:t>
      </w:r>
      <w:r>
        <w:t xml:space="preserve">) </w:t>
      </w:r>
      <w:r>
        <w:rPr>
          <w:rFonts w:hint="eastAsia"/>
        </w:rPr>
        <w:t>按承诺保质保量完成服务；</w:t>
      </w:r>
    </w:p>
    <w:p w14:paraId="3BF79674">
      <w:pPr>
        <w:ind w:firstLine="420" w:firstLineChars="200"/>
      </w:pPr>
      <w:r>
        <w:rPr>
          <w:rFonts w:hint="eastAsia"/>
        </w:rPr>
        <w:t>c</w:t>
      </w:r>
      <w:r>
        <w:t xml:space="preserve">) </w:t>
      </w:r>
      <w:r>
        <w:rPr>
          <w:rFonts w:hint="eastAsia"/>
        </w:rPr>
        <w:t>服务过程应符合与服务内容相对应的国家标准、行业标准等的要求；</w:t>
      </w:r>
    </w:p>
    <w:p w14:paraId="0BAC75C2">
      <w:pPr>
        <w:ind w:firstLine="420" w:firstLineChars="200"/>
      </w:pPr>
      <w:r>
        <w:rPr>
          <w:rFonts w:hint="eastAsia"/>
        </w:rPr>
        <w:t>d)服务应具备有效质量控制措施；</w:t>
      </w:r>
    </w:p>
    <w:p w14:paraId="01A23F13">
      <w:pPr>
        <w:ind w:firstLine="420" w:firstLineChars="200"/>
      </w:pPr>
      <w:r>
        <w:t xml:space="preserve">e) </w:t>
      </w:r>
      <w:r>
        <w:rPr>
          <w:rFonts w:hint="eastAsia"/>
        </w:rPr>
        <w:t>信息安全管理绩效；</w:t>
      </w:r>
    </w:p>
    <w:p w14:paraId="617F391E">
      <w:pPr>
        <w:ind w:firstLine="420" w:firstLineChars="200"/>
      </w:pPr>
      <w:r>
        <w:t xml:space="preserve">f) </w:t>
      </w:r>
      <w:r>
        <w:rPr>
          <w:rFonts w:hint="eastAsia"/>
        </w:rPr>
        <w:t>风险管控绩效。</w:t>
      </w:r>
    </w:p>
    <w:p w14:paraId="6C210EEC">
      <w:r>
        <w:rPr>
          <w:rFonts w:hint="eastAsia"/>
        </w:rPr>
        <w:t>5.2.</w:t>
      </w:r>
      <w:r>
        <w:t>2.</w:t>
      </w:r>
      <w:r>
        <w:rPr>
          <w:rFonts w:hint="eastAsia"/>
        </w:rPr>
        <w:t>2服务人员能力的评价，包括但不限于:</w:t>
      </w:r>
    </w:p>
    <w:p w14:paraId="61BEE6EB">
      <w:pPr>
        <w:ind w:left="420" w:leftChars="200"/>
      </w:pPr>
      <w:r>
        <w:rPr>
          <w:rFonts w:hint="eastAsia"/>
        </w:rPr>
        <w:t>a)服务人员按照服务方案、服务协议的要求，结合服务对象的具体情况，及时提供相应的服务；</w:t>
      </w:r>
    </w:p>
    <w:p w14:paraId="62C4733C">
      <w:pPr>
        <w:ind w:left="420" w:leftChars="200"/>
      </w:pPr>
      <w:r>
        <w:rPr>
          <w:rFonts w:hint="eastAsia"/>
        </w:rPr>
        <w:t>b)服务过程记录。</w:t>
      </w:r>
    </w:p>
    <w:p w14:paraId="43A6C40A">
      <w:r>
        <w:rPr>
          <w:rFonts w:hint="eastAsia"/>
        </w:rPr>
        <w:t>5.2.2.3服务质量及其效果的评价包括但不限于：</w:t>
      </w:r>
    </w:p>
    <w:p w14:paraId="307D144E">
      <w:pPr>
        <w:ind w:firstLine="630" w:firstLineChars="300"/>
      </w:pPr>
      <w:r>
        <w:rPr>
          <w:rFonts w:hint="eastAsia"/>
        </w:rPr>
        <w:t>a)按服务项目内容及协议约定，提供相应服务；</w:t>
      </w:r>
    </w:p>
    <w:p w14:paraId="0B3FB19A">
      <w:pPr>
        <w:ind w:firstLine="630" w:firstLineChars="300"/>
      </w:pPr>
      <w:r>
        <w:rPr>
          <w:rFonts w:hint="eastAsia"/>
        </w:rPr>
        <w:t>b)服务过程监测情况，包括对服务过程和结果进行监测的频率、方式的有效性、监测结果处置情况等；</w:t>
      </w:r>
    </w:p>
    <w:p w14:paraId="6A2AE085">
      <w:pPr>
        <w:ind w:firstLine="630" w:firstLineChars="300"/>
      </w:pPr>
      <w:r>
        <w:rPr>
          <w:rFonts w:hint="eastAsia"/>
        </w:rPr>
        <w:t>c</w:t>
      </w:r>
      <w:r>
        <w:t xml:space="preserve">) </w:t>
      </w:r>
      <w:r>
        <w:rPr>
          <w:rFonts w:hint="eastAsia"/>
        </w:rPr>
        <w:t>人员能力的监测和评价；</w:t>
      </w:r>
    </w:p>
    <w:p w14:paraId="18328B79">
      <w:pPr>
        <w:ind w:firstLine="630" w:firstLineChars="300"/>
      </w:pPr>
      <w:r>
        <w:rPr>
          <w:rFonts w:hint="eastAsia"/>
        </w:rPr>
        <w:t>d</w:t>
      </w:r>
      <w:r>
        <w:t>)</w:t>
      </w:r>
      <w:r>
        <w:rPr>
          <w:rFonts w:hint="eastAsia"/>
        </w:rPr>
        <w:t>老年人的体验感及满意度测评；</w:t>
      </w:r>
    </w:p>
    <w:p w14:paraId="2B1191EA">
      <w:pPr>
        <w:ind w:firstLine="630" w:firstLineChars="300"/>
      </w:pPr>
      <w:r>
        <w:rPr>
          <w:rFonts w:hint="eastAsia"/>
        </w:rPr>
        <w:t>e</w:t>
      </w:r>
      <w:r>
        <w:t xml:space="preserve">) </w:t>
      </w:r>
      <w:r>
        <w:rPr>
          <w:rFonts w:hint="eastAsia"/>
        </w:rPr>
        <w:t>服务预期的目标效果；</w:t>
      </w:r>
    </w:p>
    <w:p w14:paraId="14555F4D">
      <w:pPr>
        <w:ind w:left="420" w:leftChars="200" w:firstLine="210" w:firstLineChars="100"/>
      </w:pPr>
      <w:r>
        <w:t>f</w:t>
      </w:r>
      <w:r>
        <w:rPr>
          <w:rFonts w:hint="eastAsia"/>
        </w:rPr>
        <w:t>)服务对象的隐私保护。</w:t>
      </w:r>
    </w:p>
    <w:p w14:paraId="369810C4">
      <w:r>
        <w:rPr>
          <w:rFonts w:hint="eastAsia"/>
        </w:rPr>
        <w:t>5.2.2.</w:t>
      </w:r>
      <w:r>
        <w:t>4</w:t>
      </w:r>
      <w:r>
        <w:rPr>
          <w:rFonts w:hint="eastAsia"/>
        </w:rPr>
        <w:t>申投诉及服务补救情况的评价包括但不限于:</w:t>
      </w:r>
    </w:p>
    <w:p w14:paraId="53DD6B87">
      <w:pPr>
        <w:ind w:firstLine="420" w:firstLineChars="200"/>
      </w:pPr>
      <w:r>
        <w:rPr>
          <w:rFonts w:hint="eastAsia"/>
        </w:rPr>
        <w:t>a）建立申投诉处理机制：</w:t>
      </w:r>
    </w:p>
    <w:p w14:paraId="2F9EB1CA">
      <w:pPr>
        <w:ind w:firstLine="630" w:firstLineChars="300"/>
      </w:pPr>
      <w:r>
        <w:rPr>
          <w:rFonts w:hint="eastAsia"/>
        </w:rPr>
        <w:t>——公开申投诉渠道及处理流程；</w:t>
      </w:r>
    </w:p>
    <w:p w14:paraId="755A6F71">
      <w:pPr>
        <w:ind w:firstLine="630" w:firstLineChars="300"/>
      </w:pPr>
      <w:r>
        <w:rPr>
          <w:rFonts w:hint="eastAsia"/>
        </w:rPr>
        <w:t>——明确的受理部门和职责；</w:t>
      </w:r>
    </w:p>
    <w:p w14:paraId="1A1D2F02">
      <w:pPr>
        <w:ind w:firstLine="630" w:firstLineChars="300"/>
      </w:pPr>
      <w:r>
        <w:rPr>
          <w:rFonts w:hint="eastAsia"/>
        </w:rPr>
        <w:t>——明确的结案时间及1</w:t>
      </w:r>
      <w:r>
        <w:t>00%</w:t>
      </w:r>
      <w:r>
        <w:rPr>
          <w:rFonts w:hint="eastAsia"/>
        </w:rPr>
        <w:t>结案率要求；</w:t>
      </w:r>
    </w:p>
    <w:p w14:paraId="7CBF4E8C">
      <w:pPr>
        <w:ind w:firstLine="630" w:firstLineChars="300"/>
      </w:pPr>
      <w:r>
        <w:rPr>
          <w:rFonts w:hint="eastAsia"/>
        </w:rPr>
        <w:t>——结果反馈要求。</w:t>
      </w:r>
    </w:p>
    <w:p w14:paraId="2C1C868F">
      <w:pPr>
        <w:ind w:firstLine="420" w:firstLineChars="200"/>
      </w:pPr>
      <w:r>
        <w:rPr>
          <w:rFonts w:hint="eastAsia"/>
        </w:rPr>
        <w:t>b</w:t>
      </w:r>
      <w:r>
        <w:t>)</w:t>
      </w:r>
      <w:r>
        <w:rPr>
          <w:rFonts w:hint="eastAsia"/>
        </w:rPr>
        <w:t>参照GB/T19012要求建立相应的服务补救机制：</w:t>
      </w:r>
    </w:p>
    <w:p w14:paraId="1337D9EF">
      <w:pPr>
        <w:ind w:firstLine="630" w:firstLineChars="300"/>
      </w:pPr>
      <w:r>
        <w:rPr>
          <w:rFonts w:hint="eastAsia"/>
        </w:rPr>
        <w:t>——明确的部门及职责；</w:t>
      </w:r>
    </w:p>
    <w:p w14:paraId="565F355F">
      <w:pPr>
        <w:ind w:firstLine="630" w:firstLineChars="300"/>
      </w:pPr>
      <w:r>
        <w:rPr>
          <w:rFonts w:hint="eastAsia"/>
        </w:rPr>
        <w:t>——服务补救措施及方式。</w:t>
      </w:r>
    </w:p>
    <w:p w14:paraId="11B88E85">
      <w:r>
        <w:rPr>
          <w:rFonts w:hint="eastAsia"/>
        </w:rPr>
        <w:t>5</w:t>
      </w:r>
      <w:r>
        <w:t xml:space="preserve">.2.3 </w:t>
      </w:r>
      <w:r>
        <w:rPr>
          <w:rFonts w:hint="eastAsia"/>
        </w:rPr>
        <w:t>服务改进</w:t>
      </w:r>
    </w:p>
    <w:p w14:paraId="2816E253">
      <w:pPr>
        <w:rPr>
          <w:rFonts w:ascii="宋体" w:hAnsi="宋体"/>
        </w:rPr>
      </w:pPr>
      <w:r>
        <w:rPr>
          <w:rFonts w:ascii="黑体" w:hAnsi="黑体" w:eastAsia="黑体"/>
        </w:rPr>
        <w:t>5.2.3.1</w:t>
      </w:r>
      <w:r>
        <w:rPr>
          <w:rFonts w:ascii="宋体" w:hAnsi="宋体"/>
        </w:rPr>
        <w:t>组织应建立质量管理体系，确保其实施和保持，并持续改进其有效性</w:t>
      </w:r>
      <w:r>
        <w:rPr>
          <w:rFonts w:ascii="黑体" w:hAnsi="黑体" w:eastAsia="黑体"/>
        </w:rPr>
        <w:t>。</w:t>
      </w:r>
      <w:r>
        <w:rPr>
          <w:rFonts w:ascii="宋体" w:hAnsi="宋体"/>
        </w:rPr>
        <w:t>组织应：</w:t>
      </w:r>
    </w:p>
    <w:p w14:paraId="55465311">
      <w:pPr>
        <w:ind w:firstLine="420" w:firstLineChars="200"/>
        <w:rPr>
          <w:rFonts w:ascii="宋体" w:hAnsi="宋体"/>
        </w:rPr>
      </w:pPr>
      <w:r>
        <w:rPr>
          <w:rFonts w:hint="eastAsia" w:ascii="宋体" w:hAnsi="宋体"/>
        </w:rPr>
        <w:t>对社区居家养老服务提供者的服务回访机制的评价包括但不限于:</w:t>
      </w:r>
    </w:p>
    <w:p w14:paraId="79937F12">
      <w:pPr>
        <w:ind w:firstLine="420" w:firstLineChars="200"/>
        <w:rPr>
          <w:rFonts w:ascii="宋体" w:hAnsi="宋体"/>
        </w:rPr>
      </w:pPr>
      <w:r>
        <w:rPr>
          <w:rFonts w:ascii="宋体" w:hAnsi="宋体"/>
        </w:rPr>
        <w:t>a</w:t>
      </w:r>
      <w:r>
        <w:rPr>
          <w:rFonts w:hint="eastAsia" w:ascii="宋体" w:hAnsi="宋体"/>
        </w:rPr>
        <w:t>)通过电话、网络、走访、暗访等形式回访,并及时对回访情况进行分析处理;</w:t>
      </w:r>
    </w:p>
    <w:p w14:paraId="7818C4AC">
      <w:pPr>
        <w:ind w:firstLine="420" w:firstLineChars="200"/>
        <w:rPr>
          <w:rFonts w:ascii="宋体" w:hAnsi="宋体"/>
        </w:rPr>
      </w:pPr>
      <w:r>
        <w:rPr>
          <w:rFonts w:hint="eastAsia" w:ascii="宋体" w:hAnsi="宋体"/>
        </w:rPr>
        <w:t>b)对服务对象和(或)家属/监护人进行满意度调查</w:t>
      </w:r>
      <w:r>
        <w:rPr>
          <w:rFonts w:ascii="宋体" w:hAnsi="宋体"/>
        </w:rPr>
        <w:t>;</w:t>
      </w:r>
    </w:p>
    <w:p w14:paraId="0E00A6C7">
      <w:pPr>
        <w:ind w:firstLine="420" w:firstLineChars="200"/>
        <w:rPr>
          <w:rFonts w:ascii="宋体" w:hAnsi="宋体"/>
        </w:rPr>
      </w:pPr>
      <w:r>
        <w:rPr>
          <w:rFonts w:ascii="宋体" w:hAnsi="宋体"/>
        </w:rPr>
        <w:t xml:space="preserve">c) </w:t>
      </w:r>
      <w:r>
        <w:rPr>
          <w:rFonts w:hint="eastAsia" w:ascii="宋体" w:hAnsi="宋体"/>
        </w:rPr>
        <w:t>制定回访计划及保留回访过程相应记录。</w:t>
      </w:r>
    </w:p>
    <w:p w14:paraId="7B640BD4">
      <w:pPr>
        <w:rPr>
          <w:rFonts w:ascii="宋体" w:hAnsi="宋体"/>
        </w:rPr>
      </w:pPr>
      <w:r>
        <w:rPr>
          <w:rFonts w:hint="eastAsia" w:ascii="宋体" w:hAnsi="宋体"/>
        </w:rPr>
        <w:t>5.2.3.2对服务提供的持续改进机制的评价，包括但不限于:</w:t>
      </w:r>
    </w:p>
    <w:p w14:paraId="3EA87F50">
      <w:pPr>
        <w:ind w:left="420" w:leftChars="200"/>
        <w:rPr>
          <w:rFonts w:ascii="宋体" w:hAnsi="宋体"/>
        </w:rPr>
      </w:pPr>
      <w:r>
        <w:rPr>
          <w:rFonts w:hint="eastAsia" w:ascii="宋体" w:hAnsi="宋体"/>
        </w:rPr>
        <w:t>a)建立顾客满意度测评制度,并对服务质量进行定期评估;</w:t>
      </w:r>
    </w:p>
    <w:p w14:paraId="203D9319">
      <w:pPr>
        <w:ind w:left="420" w:leftChars="200"/>
        <w:rPr>
          <w:rFonts w:ascii="宋体" w:hAnsi="宋体"/>
        </w:rPr>
      </w:pPr>
      <w:r>
        <w:rPr>
          <w:rFonts w:hint="eastAsia" w:ascii="宋体" w:hAnsi="宋体"/>
        </w:rPr>
        <w:t>b)纠正不合格服务,消除或降低不合格服务造成的不良影响,分析产生不合格服务的原因,制定整改措施,并跟踪整改措施的落实情况;</w:t>
      </w:r>
    </w:p>
    <w:p w14:paraId="519FF617">
      <w:pPr>
        <w:ind w:left="420" w:leftChars="200"/>
        <w:rPr>
          <w:rFonts w:ascii="宋体" w:hAnsi="宋体"/>
        </w:rPr>
      </w:pPr>
      <w:r>
        <w:rPr>
          <w:rFonts w:hint="eastAsia" w:ascii="宋体" w:hAnsi="宋体"/>
        </w:rPr>
        <w:t>c</w:t>
      </w:r>
      <w:r>
        <w:rPr>
          <w:rFonts w:ascii="宋体" w:hAnsi="宋体"/>
        </w:rPr>
        <w:t>)</w:t>
      </w:r>
      <w:r>
        <w:rPr>
          <w:rFonts w:hint="eastAsia" w:ascii="宋体" w:hAnsi="宋体"/>
        </w:rPr>
        <w:t>收集分析通过顾客及其他渠道获得的反馈信息及评价结果,持续改进服务质量。</w:t>
      </w:r>
    </w:p>
    <w:p w14:paraId="470CE3F6">
      <w:pPr>
        <w:rPr>
          <w:rFonts w:ascii="宋体" w:hAnsi="宋体"/>
        </w:rPr>
      </w:pPr>
      <w:r>
        <w:rPr>
          <w:rFonts w:hint="eastAsia" w:ascii="宋体" w:hAnsi="宋体"/>
        </w:rPr>
        <w:t>5.2.3.</w:t>
      </w:r>
      <w:r>
        <w:rPr>
          <w:rFonts w:ascii="宋体" w:hAnsi="宋体"/>
        </w:rPr>
        <w:t>2</w:t>
      </w:r>
      <w:r>
        <w:rPr>
          <w:rFonts w:hint="eastAsia" w:ascii="宋体" w:hAnsi="宋体"/>
        </w:rPr>
        <w:t>应依据GB/T19012,对社区居家养老服务提供者的投诉处理机制进行评价。</w:t>
      </w:r>
    </w:p>
    <w:p w14:paraId="2C8EDF7E">
      <w:pPr>
        <w:rPr>
          <w:rFonts w:ascii="宋体" w:hAnsi="宋体"/>
          <w:sz w:val="24"/>
          <w:szCs w:val="24"/>
        </w:rPr>
      </w:pPr>
      <w:r>
        <w:rPr>
          <w:rFonts w:hint="eastAsia" w:ascii="宋体" w:hAnsi="宋体"/>
          <w:sz w:val="24"/>
          <w:szCs w:val="24"/>
        </w:rPr>
        <w:t>5.3绩效评价</w:t>
      </w:r>
    </w:p>
    <w:p w14:paraId="028BDAC7">
      <w:pPr>
        <w:rPr>
          <w:rFonts w:ascii="宋体" w:hAnsi="宋体"/>
          <w:sz w:val="24"/>
          <w:szCs w:val="24"/>
        </w:rPr>
      </w:pPr>
      <w:r>
        <w:rPr>
          <w:rFonts w:hint="eastAsia" w:ascii="宋体" w:hAnsi="宋体"/>
          <w:sz w:val="24"/>
          <w:szCs w:val="24"/>
        </w:rPr>
        <w:t>5.3.1品牌效益</w:t>
      </w:r>
    </w:p>
    <w:p w14:paraId="3513B4BC">
      <w:pPr>
        <w:rPr>
          <w:rFonts w:ascii="宋体" w:hAnsi="宋体"/>
        </w:rPr>
      </w:pPr>
      <w:r>
        <w:rPr>
          <w:rFonts w:hint="eastAsia" w:ascii="宋体" w:hAnsi="宋体"/>
        </w:rPr>
        <w:t>5.3.1.1对顾客满意测评的评价包括但不限于:</w:t>
      </w:r>
    </w:p>
    <w:p w14:paraId="64026D1D">
      <w:pPr>
        <w:ind w:firstLine="420" w:firstLineChars="200"/>
        <w:rPr>
          <w:rFonts w:ascii="宋体" w:hAnsi="宋体"/>
        </w:rPr>
      </w:pPr>
      <w:r>
        <w:rPr>
          <w:rFonts w:hint="eastAsia" w:ascii="宋体" w:hAnsi="宋体"/>
        </w:rPr>
        <w:t>a)社区居家养老服务提供者应定期进行顾客满意测评。</w:t>
      </w:r>
    </w:p>
    <w:p w14:paraId="2A2FAAF7">
      <w:pPr>
        <w:ind w:firstLine="420" w:firstLineChars="200"/>
        <w:rPr>
          <w:rFonts w:ascii="宋体" w:hAnsi="宋体"/>
        </w:rPr>
      </w:pPr>
      <w:r>
        <w:rPr>
          <w:rFonts w:hint="eastAsia" w:ascii="宋体" w:hAnsi="宋体"/>
        </w:rPr>
        <w:t>b)按照 GB/T19039相关要求,进行顾客满意测评,测评内容宜涵盖顾客的关键需求,可包括:</w:t>
      </w:r>
    </w:p>
    <w:p w14:paraId="70DBBCA5">
      <w:pPr>
        <w:ind w:firstLine="420" w:firstLineChars="200"/>
        <w:rPr>
          <w:rFonts w:ascii="宋体" w:hAnsi="宋体"/>
        </w:rPr>
      </w:pPr>
      <w:r>
        <w:rPr>
          <w:rFonts w:hint="eastAsia" w:ascii="宋体" w:hAnsi="宋体"/>
        </w:rPr>
        <w:t>——服务过程专业性、管理规范性；</w:t>
      </w:r>
    </w:p>
    <w:p w14:paraId="53805EC1">
      <w:pPr>
        <w:ind w:firstLine="420" w:firstLineChars="200"/>
        <w:rPr>
          <w:rFonts w:ascii="宋体" w:hAnsi="宋体"/>
        </w:rPr>
      </w:pPr>
      <w:r>
        <w:rPr>
          <w:rFonts w:hint="eastAsia" w:ascii="宋体" w:hAnsi="宋体"/>
        </w:rPr>
        <w:t>——服务过程质量；</w:t>
      </w:r>
    </w:p>
    <w:p w14:paraId="0DE9E26E">
      <w:pPr>
        <w:ind w:firstLine="420" w:firstLineChars="200"/>
        <w:rPr>
          <w:rFonts w:ascii="宋体" w:hAnsi="宋体"/>
        </w:rPr>
      </w:pPr>
      <w:r>
        <w:rPr>
          <w:rFonts w:hint="eastAsia" w:ascii="宋体" w:hAnsi="宋体"/>
        </w:rPr>
        <w:t>——服务人员态度；</w:t>
      </w:r>
    </w:p>
    <w:p w14:paraId="41501F4C">
      <w:pPr>
        <w:ind w:firstLine="420" w:firstLineChars="200"/>
        <w:rPr>
          <w:rFonts w:ascii="宋体" w:hAnsi="宋体"/>
        </w:rPr>
      </w:pPr>
      <w:r>
        <w:rPr>
          <w:rFonts w:hint="eastAsia" w:ascii="宋体" w:hAnsi="宋体"/>
        </w:rPr>
        <w:t>——服务文明性、规范性；</w:t>
      </w:r>
    </w:p>
    <w:p w14:paraId="66BD168E">
      <w:pPr>
        <w:ind w:firstLine="420" w:firstLineChars="200"/>
        <w:rPr>
          <w:rFonts w:ascii="宋体" w:hAnsi="宋体"/>
        </w:rPr>
      </w:pPr>
      <w:r>
        <w:rPr>
          <w:rFonts w:hint="eastAsia" w:ascii="宋体" w:hAnsi="宋体"/>
        </w:rPr>
        <w:t>——设施设备完好率；</w:t>
      </w:r>
    </w:p>
    <w:p w14:paraId="5BCC76F1">
      <w:pPr>
        <w:ind w:firstLine="420" w:firstLineChars="200"/>
        <w:rPr>
          <w:rFonts w:ascii="宋体" w:hAnsi="宋体"/>
        </w:rPr>
      </w:pPr>
      <w:r>
        <w:rPr>
          <w:rFonts w:hint="eastAsia" w:ascii="宋体" w:hAnsi="宋体"/>
        </w:rPr>
        <w:t>——服务到位、及时性；</w:t>
      </w:r>
    </w:p>
    <w:p w14:paraId="4FCCD097">
      <w:pPr>
        <w:ind w:firstLine="420" w:firstLineChars="200"/>
        <w:rPr>
          <w:rFonts w:ascii="宋体" w:hAnsi="宋体"/>
        </w:rPr>
      </w:pPr>
      <w:r>
        <w:rPr>
          <w:rFonts w:hint="eastAsia" w:ascii="宋体" w:hAnsi="宋体"/>
        </w:rPr>
        <w:t>——合同履约情况；</w:t>
      </w:r>
    </w:p>
    <w:p w14:paraId="015AE0CF">
      <w:pPr>
        <w:ind w:firstLine="420" w:firstLineChars="200"/>
        <w:rPr>
          <w:rFonts w:ascii="宋体" w:hAnsi="宋体"/>
        </w:rPr>
      </w:pPr>
      <w:r>
        <w:rPr>
          <w:rFonts w:hint="eastAsia" w:ascii="宋体" w:hAnsi="宋体"/>
        </w:rPr>
        <w:t>——总体满意度等。</w:t>
      </w:r>
    </w:p>
    <w:p w14:paraId="37E31F31">
      <w:pPr>
        <w:ind w:firstLine="420" w:firstLineChars="200"/>
        <w:rPr>
          <w:rFonts w:ascii="宋体" w:hAnsi="宋体"/>
        </w:rPr>
      </w:pPr>
      <w:r>
        <w:rPr>
          <w:rFonts w:hint="eastAsia" w:ascii="宋体" w:hAnsi="宋体"/>
        </w:rPr>
        <w:t>c</w:t>
      </w:r>
      <w:r>
        <w:rPr>
          <w:rFonts w:ascii="宋体" w:hAnsi="宋体"/>
        </w:rPr>
        <w:t>)</w:t>
      </w:r>
      <w:r>
        <w:rPr>
          <w:rFonts w:hint="eastAsia" w:ascii="宋体" w:hAnsi="宋体"/>
        </w:rPr>
        <w:t>定期或不定期抽样查阅服务对象的反馈意见、服务过程记录等相关信息，预防不合格服务的发生。</w:t>
      </w:r>
    </w:p>
    <w:p w14:paraId="027E5DB7">
      <w:pPr>
        <w:ind w:firstLine="420" w:firstLineChars="200"/>
        <w:rPr>
          <w:rFonts w:ascii="宋体" w:hAnsi="宋体"/>
        </w:rPr>
      </w:pPr>
      <w:r>
        <w:rPr>
          <w:rFonts w:hint="eastAsia" w:ascii="宋体" w:hAnsi="宋体"/>
        </w:rPr>
        <w:t>d)定期或不定期回访服务对象的家属/监护人，进行服务满意调查。</w:t>
      </w:r>
    </w:p>
    <w:p w14:paraId="69E01D50">
      <w:pPr>
        <w:rPr>
          <w:rFonts w:ascii="宋体" w:hAnsi="宋体"/>
        </w:rPr>
      </w:pPr>
      <w:r>
        <w:rPr>
          <w:rFonts w:hint="eastAsia" w:ascii="宋体" w:hAnsi="宋体"/>
        </w:rPr>
        <w:t>5.3.1.2对服务实效的评价,包括但不限于:</w:t>
      </w:r>
    </w:p>
    <w:p w14:paraId="3B824D88">
      <w:pPr>
        <w:ind w:left="420" w:leftChars="200"/>
        <w:rPr>
          <w:rFonts w:ascii="宋体" w:hAnsi="宋体"/>
        </w:rPr>
      </w:pPr>
      <w:r>
        <w:rPr>
          <w:rFonts w:hint="eastAsia" w:ascii="宋体" w:hAnsi="宋体"/>
        </w:rPr>
        <w:t>a</w:t>
      </w:r>
      <w:r>
        <w:rPr>
          <w:rFonts w:ascii="宋体" w:hAnsi="宋体"/>
        </w:rPr>
        <w:t>)</w:t>
      </w:r>
      <w:r>
        <w:rPr>
          <w:rFonts w:hint="eastAsia" w:ascii="宋体" w:hAnsi="宋体"/>
        </w:rPr>
        <w:t>社区居家养老服务提供者近一年服务项目完成率；</w:t>
      </w:r>
    </w:p>
    <w:p w14:paraId="52FE2B10">
      <w:pPr>
        <w:ind w:left="420" w:leftChars="200"/>
        <w:rPr>
          <w:rFonts w:ascii="宋体" w:hAnsi="宋体"/>
        </w:rPr>
      </w:pPr>
      <w:r>
        <w:rPr>
          <w:rFonts w:hint="eastAsia" w:ascii="宋体" w:hAnsi="宋体"/>
        </w:rPr>
        <w:t>b</w:t>
      </w:r>
      <w:r>
        <w:rPr>
          <w:rFonts w:ascii="宋体" w:hAnsi="宋体"/>
        </w:rPr>
        <w:t>)</w:t>
      </w:r>
      <w:r>
        <w:rPr>
          <w:rFonts w:hint="eastAsia" w:ascii="宋体" w:hAnsi="宋体"/>
        </w:rPr>
        <w:t>有效投诉结案率；</w:t>
      </w:r>
    </w:p>
    <w:p w14:paraId="545B2799">
      <w:pPr>
        <w:ind w:left="420" w:leftChars="200"/>
        <w:rPr>
          <w:rFonts w:ascii="宋体" w:hAnsi="宋体"/>
        </w:rPr>
      </w:pPr>
      <w:r>
        <w:rPr>
          <w:rFonts w:ascii="宋体" w:hAnsi="宋体"/>
        </w:rPr>
        <w:t>c)</w:t>
      </w:r>
      <w:r>
        <w:rPr>
          <w:rFonts w:hint="eastAsia" w:ascii="宋体" w:hAnsi="宋体"/>
        </w:rPr>
        <w:t>政府购买服务项目完成率及质量达标率。</w:t>
      </w:r>
    </w:p>
    <w:p w14:paraId="48B814A0">
      <w:pPr>
        <w:rPr>
          <w:rFonts w:ascii="宋体" w:hAnsi="宋体"/>
        </w:rPr>
      </w:pPr>
      <w:r>
        <w:rPr>
          <w:rFonts w:hint="eastAsia" w:ascii="宋体" w:hAnsi="宋体"/>
        </w:rPr>
        <w:t>5.3.1.3对可持续性的评价，包括但不限于:</w:t>
      </w:r>
    </w:p>
    <w:p w14:paraId="7E0D83FE">
      <w:pPr>
        <w:ind w:firstLine="420" w:firstLineChars="200"/>
        <w:rPr>
          <w:rFonts w:ascii="宋体" w:hAnsi="宋体"/>
        </w:rPr>
      </w:pPr>
      <w:r>
        <w:rPr>
          <w:rFonts w:hint="eastAsia" w:ascii="宋体" w:hAnsi="宋体"/>
        </w:rPr>
        <w:t>a)居家养老服务提供者近一年资产运营状况;</w:t>
      </w:r>
    </w:p>
    <w:p w14:paraId="784DF76D">
      <w:pPr>
        <w:ind w:firstLine="420" w:firstLineChars="200"/>
        <w:rPr>
          <w:rFonts w:ascii="宋体" w:hAnsi="宋体"/>
        </w:rPr>
      </w:pPr>
      <w:r>
        <w:rPr>
          <w:rFonts w:hint="eastAsia" w:ascii="宋体" w:hAnsi="宋体"/>
        </w:rPr>
        <w:t>b</w:t>
      </w:r>
      <w:r>
        <w:rPr>
          <w:rFonts w:ascii="宋体" w:hAnsi="宋体"/>
        </w:rPr>
        <w:t>)</w:t>
      </w:r>
      <w:r>
        <w:rPr>
          <w:rFonts w:hint="eastAsia" w:ascii="宋体" w:hAnsi="宋体"/>
        </w:rPr>
        <w:t>固定资产的增长情况。</w:t>
      </w:r>
    </w:p>
    <w:p w14:paraId="3DA10313">
      <w:pPr>
        <w:rPr>
          <w:rFonts w:ascii="宋体" w:hAnsi="宋体"/>
        </w:rPr>
      </w:pPr>
      <w:r>
        <w:rPr>
          <w:rFonts w:hint="eastAsia" w:ascii="宋体" w:hAnsi="宋体"/>
        </w:rPr>
        <w:t>5.3.2经济社会效益</w:t>
      </w:r>
    </w:p>
    <w:p w14:paraId="204EC6D2">
      <w:pPr>
        <w:rPr>
          <w:rFonts w:ascii="宋体" w:hAnsi="宋体"/>
        </w:rPr>
      </w:pPr>
      <w:r>
        <w:rPr>
          <w:rFonts w:hint="eastAsia" w:ascii="宋体" w:hAnsi="宋体"/>
        </w:rPr>
        <w:t>5.3.2.1对业务数量及增长情况的评价,包括但不限于:</w:t>
      </w:r>
    </w:p>
    <w:p w14:paraId="5F63E550">
      <w:pPr>
        <w:ind w:left="420" w:leftChars="200"/>
        <w:rPr>
          <w:rFonts w:ascii="宋体" w:hAnsi="宋体"/>
        </w:rPr>
      </w:pPr>
      <w:r>
        <w:rPr>
          <w:rFonts w:hint="eastAsia" w:ascii="宋体" w:hAnsi="宋体"/>
        </w:rPr>
        <w:t>a</w:t>
      </w:r>
      <w:r>
        <w:rPr>
          <w:rFonts w:ascii="宋体" w:hAnsi="宋体"/>
        </w:rPr>
        <w:t>)</w:t>
      </w:r>
      <w:r>
        <w:rPr>
          <w:rFonts w:hint="eastAsia" w:ascii="宋体" w:hAnsi="宋体"/>
        </w:rPr>
        <w:t>社区居家养老服务提供者近一年完成或正在提供服务的业务数量;</w:t>
      </w:r>
    </w:p>
    <w:p w14:paraId="61663C92">
      <w:pPr>
        <w:ind w:left="420" w:leftChars="200"/>
        <w:rPr>
          <w:rFonts w:ascii="宋体" w:hAnsi="宋体"/>
        </w:rPr>
      </w:pPr>
      <w:r>
        <w:rPr>
          <w:rFonts w:hint="eastAsia" w:ascii="宋体" w:hAnsi="宋体"/>
        </w:rPr>
        <w:t>b</w:t>
      </w:r>
      <w:r>
        <w:rPr>
          <w:rFonts w:ascii="宋体" w:hAnsi="宋体"/>
        </w:rPr>
        <w:t>)</w:t>
      </w:r>
      <w:r>
        <w:rPr>
          <w:rFonts w:hint="eastAsia" w:ascii="宋体" w:hAnsi="宋体"/>
        </w:rPr>
        <w:t>服务业务增长率;</w:t>
      </w:r>
    </w:p>
    <w:p w14:paraId="79385C27">
      <w:pPr>
        <w:ind w:left="420" w:leftChars="200"/>
        <w:rPr>
          <w:rFonts w:ascii="宋体" w:hAnsi="宋体"/>
        </w:rPr>
      </w:pPr>
      <w:r>
        <w:rPr>
          <w:rFonts w:hint="eastAsia" w:ascii="宋体" w:hAnsi="宋体"/>
        </w:rPr>
        <w:t>c)服务人数增长率。</w:t>
      </w:r>
    </w:p>
    <w:p w14:paraId="63F14196">
      <w:pPr>
        <w:rPr>
          <w:rFonts w:ascii="宋体" w:hAnsi="宋体"/>
        </w:rPr>
      </w:pPr>
      <w:r>
        <w:rPr>
          <w:rFonts w:hint="eastAsia" w:ascii="宋体" w:hAnsi="宋体"/>
        </w:rPr>
        <w:t>5.3.2.2对口碑、声誉的评价,包括但不限于:</w:t>
      </w:r>
    </w:p>
    <w:p w14:paraId="42B06ED1">
      <w:pPr>
        <w:ind w:left="420" w:leftChars="200"/>
        <w:rPr>
          <w:rFonts w:ascii="宋体" w:hAnsi="宋体"/>
        </w:rPr>
      </w:pPr>
      <w:r>
        <w:rPr>
          <w:rFonts w:ascii="宋体" w:hAnsi="宋体"/>
        </w:rPr>
        <w:t>a)</w:t>
      </w:r>
      <w:r>
        <w:rPr>
          <w:rFonts w:hint="eastAsia" w:ascii="宋体" w:hAnsi="宋体"/>
        </w:rPr>
        <w:t>社会、媒体报道反响较好,诚实守信,依法经营,无违法违规记录,无重大事件的投诉；维护消费者和员工合法权益的情况，服务品牌的宣传推广的投入情况及服务品牌知名度在本地区和本行业的地位；</w:t>
      </w:r>
    </w:p>
    <w:p w14:paraId="061C312E">
      <w:pPr>
        <w:ind w:left="420" w:leftChars="200"/>
        <w:rPr>
          <w:rFonts w:ascii="宋体" w:hAnsi="宋体"/>
        </w:rPr>
      </w:pPr>
      <w:r>
        <w:rPr>
          <w:rFonts w:ascii="宋体" w:hAnsi="宋体"/>
        </w:rPr>
        <w:t>b)</w:t>
      </w:r>
      <w:r>
        <w:rPr>
          <w:rFonts w:hint="eastAsia" w:ascii="宋体" w:hAnsi="宋体"/>
        </w:rPr>
        <w:t>获得国家、行业和(或)地方奖励、表彰的情况；</w:t>
      </w:r>
    </w:p>
    <w:p w14:paraId="3258F4F0">
      <w:pPr>
        <w:ind w:left="420" w:leftChars="200"/>
        <w:rPr>
          <w:rFonts w:ascii="宋体" w:hAnsi="宋体"/>
        </w:rPr>
      </w:pPr>
      <w:r>
        <w:rPr>
          <w:rFonts w:hint="eastAsia" w:ascii="宋体" w:hAnsi="宋体"/>
        </w:rPr>
        <w:t>c</w:t>
      </w:r>
      <w:r>
        <w:rPr>
          <w:rFonts w:ascii="宋体" w:hAnsi="宋体"/>
        </w:rPr>
        <w:t>)</w:t>
      </w:r>
      <w:r>
        <w:rPr>
          <w:rFonts w:hint="eastAsia" w:ascii="宋体" w:hAnsi="宋体"/>
        </w:rPr>
        <w:t>受到国家、行业和(或)地方处理、惩罚的情况。</w:t>
      </w:r>
    </w:p>
    <w:p w14:paraId="50B25B82">
      <w:pPr>
        <w:pStyle w:val="106"/>
        <w:spacing w:before="312" w:after="312"/>
        <w:rPr>
          <w:rFonts w:hAnsi="黑体"/>
          <w:sz w:val="24"/>
          <w:szCs w:val="24"/>
        </w:rPr>
      </w:pPr>
      <w:bookmarkStart w:id="51" w:name="_Toc186446325"/>
      <w:r>
        <w:rPr>
          <w:rFonts w:hint="eastAsia" w:hAnsi="黑体"/>
          <w:sz w:val="24"/>
          <w:szCs w:val="24"/>
        </w:rPr>
        <w:t>评价方法</w:t>
      </w:r>
      <w:bookmarkEnd w:id="51"/>
    </w:p>
    <w:p w14:paraId="7B5090EC">
      <w:r>
        <w:rPr>
          <w:rFonts w:hint="eastAsia"/>
        </w:rPr>
        <w:t>6</w:t>
      </w:r>
      <w:r>
        <w:t xml:space="preserve">.1 </w:t>
      </w:r>
      <w:r>
        <w:rPr>
          <w:rFonts w:hint="eastAsia"/>
        </w:rPr>
        <w:t>参照</w:t>
      </w:r>
      <w:bookmarkStart w:id="52" w:name="OLE_LINK2"/>
      <w:r>
        <w:rPr>
          <w:rFonts w:hint="eastAsia"/>
        </w:rPr>
        <w:t>GB/T27207</w:t>
      </w:r>
      <w:bookmarkEnd w:id="52"/>
      <w:r>
        <w:rPr>
          <w:rFonts w:hint="eastAsia"/>
        </w:rPr>
        <w:t>-2020中5.5的要求，社区居家养老服务认证模式包括但不限于:</w:t>
      </w:r>
    </w:p>
    <w:p w14:paraId="51B54760">
      <w:pPr>
        <w:ind w:left="420" w:leftChars="200"/>
      </w:pPr>
      <w:r>
        <w:rPr>
          <w:rFonts w:hint="eastAsia"/>
        </w:rPr>
        <w:t>a</w:t>
      </w:r>
      <w:r>
        <w:t>)</w:t>
      </w:r>
      <w:r>
        <w:rPr>
          <w:rFonts w:hint="eastAsia"/>
        </w:rPr>
        <w:t>服务特性检验(现场观察、人员访问、神秘顾客)；</w:t>
      </w:r>
    </w:p>
    <w:p w14:paraId="135C18D2">
      <w:pPr>
        <w:ind w:left="420" w:leftChars="200"/>
      </w:pPr>
      <w:r>
        <w:rPr>
          <w:rFonts w:hint="eastAsia"/>
        </w:rPr>
        <w:t>b</w:t>
      </w:r>
      <w:r>
        <w:t>)</w:t>
      </w:r>
      <w:r>
        <w:rPr>
          <w:rFonts w:hint="eastAsia"/>
        </w:rPr>
        <w:t>服务能力确认或验证；</w:t>
      </w:r>
    </w:p>
    <w:p w14:paraId="1618B398">
      <w:pPr>
        <w:ind w:left="420" w:leftChars="200"/>
      </w:pPr>
      <w:r>
        <w:rPr>
          <w:rFonts w:hint="eastAsia"/>
        </w:rPr>
        <w:t>c</w:t>
      </w:r>
      <w:r>
        <w:t>)</w:t>
      </w:r>
      <w:r>
        <w:rPr>
          <w:rFonts w:hint="eastAsia"/>
        </w:rPr>
        <w:t>服务过程评价(足迹测评、档案抽查)；</w:t>
      </w:r>
    </w:p>
    <w:p w14:paraId="1AB9766F">
      <w:pPr>
        <w:ind w:left="420" w:leftChars="200"/>
      </w:pPr>
      <w:r>
        <w:rPr>
          <w:rFonts w:hint="eastAsia"/>
        </w:rPr>
        <w:t>d</w:t>
      </w:r>
      <w:r>
        <w:t>)</w:t>
      </w:r>
      <w:r>
        <w:rPr>
          <w:rFonts w:hint="eastAsia"/>
        </w:rPr>
        <w:t>顾客调查；</w:t>
      </w:r>
    </w:p>
    <w:p w14:paraId="37974923">
      <w:pPr>
        <w:ind w:left="420" w:leftChars="200"/>
      </w:pPr>
      <w:r>
        <w:rPr>
          <w:rFonts w:hint="eastAsia"/>
        </w:rPr>
        <w:t>e</w:t>
      </w:r>
      <w:r>
        <w:t>)</w:t>
      </w:r>
      <w:r>
        <w:rPr>
          <w:rFonts w:hint="eastAsia"/>
        </w:rPr>
        <w:t>服务绩效检验。</w:t>
      </w:r>
    </w:p>
    <w:p w14:paraId="59A23540">
      <w:r>
        <w:rPr>
          <w:rFonts w:hint="eastAsia"/>
        </w:rPr>
        <w:t>6.2依据本文件进行社区居家养老服务水平评价时，以对各项指标采取评分的形式，每项一级指标、二级指标分值均为100分。通过给一级和二级指标设定指标权重,使加权后所有指标满分为100分。最后根据得分结果,评价居家养老服务水平。</w:t>
      </w:r>
    </w:p>
    <w:p w14:paraId="6ECBFFD2">
      <w:r>
        <w:rPr>
          <w:rFonts w:hint="eastAsia"/>
        </w:rPr>
        <w:t>6.3本文件中一级指标和二级指标的权重应按照RB/T303-2016中附录A确定。能力评价、服务提供评价、绩效评价3项一级指标具体权重分别为25</w:t>
      </w:r>
      <w:r>
        <w:t>%</w:t>
      </w:r>
      <w:r>
        <w:rPr>
          <w:rFonts w:hint="eastAsia"/>
        </w:rPr>
        <w:t>、40</w:t>
      </w:r>
      <w:r>
        <w:t>%</w:t>
      </w:r>
      <w:r>
        <w:rPr>
          <w:rFonts w:hint="eastAsia"/>
        </w:rPr>
        <w:t>、35</w:t>
      </w:r>
      <w:r>
        <w:t>%</w:t>
      </w:r>
      <w:r>
        <w:rPr>
          <w:rFonts w:hint="eastAsia"/>
        </w:rPr>
        <w:t>，二级指标具体权重依据服务类别的不同,在各服务类别标准中具体给出。评价指标体系的基本结构见表1，具体管理能力评价内容及要求见附录C。管理能力评价需达到7</w:t>
      </w:r>
      <w:r>
        <w:t>0</w:t>
      </w:r>
      <w:r>
        <w:rPr>
          <w:rFonts w:hint="eastAsia"/>
        </w:rPr>
        <w:t>分以上，否则不予评价。</w:t>
      </w:r>
    </w:p>
    <w:p w14:paraId="05B3CA93">
      <w:pPr>
        <w:jc w:val="center"/>
      </w:pPr>
      <w:r>
        <w:rPr>
          <w:rFonts w:hint="eastAsia"/>
        </w:rPr>
        <w:t>表1评价指标体系的基本结构</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3399"/>
        <w:gridCol w:w="3115"/>
      </w:tblGrid>
      <w:tr w14:paraId="22EA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Align w:val="center"/>
          </w:tcPr>
          <w:p w14:paraId="575A4FBC">
            <w:pPr>
              <w:jc w:val="center"/>
            </w:pPr>
            <w:r>
              <w:rPr>
                <w:rFonts w:hint="eastAsia"/>
              </w:rPr>
              <w:t>目标层</w:t>
            </w:r>
          </w:p>
        </w:tc>
        <w:tc>
          <w:tcPr>
            <w:tcW w:w="3399" w:type="dxa"/>
            <w:vAlign w:val="center"/>
          </w:tcPr>
          <w:p w14:paraId="3709ED98">
            <w:pPr>
              <w:jc w:val="center"/>
            </w:pPr>
            <w:r>
              <w:rPr>
                <w:rFonts w:hint="eastAsia"/>
              </w:rPr>
              <w:t>准则层/权重%</w:t>
            </w:r>
          </w:p>
        </w:tc>
        <w:tc>
          <w:tcPr>
            <w:tcW w:w="3115" w:type="dxa"/>
            <w:vAlign w:val="center"/>
          </w:tcPr>
          <w:p w14:paraId="1818D859">
            <w:pPr>
              <w:jc w:val="center"/>
            </w:pPr>
            <w:r>
              <w:rPr>
                <w:rFonts w:hint="eastAsia"/>
              </w:rPr>
              <w:t>因子层</w:t>
            </w:r>
          </w:p>
        </w:tc>
      </w:tr>
      <w:tr w14:paraId="7E1A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restart"/>
            <w:vAlign w:val="center"/>
          </w:tcPr>
          <w:p w14:paraId="6104E702">
            <w:pPr>
              <w:jc w:val="center"/>
            </w:pPr>
            <w:r>
              <w:rPr>
                <w:rFonts w:hint="eastAsia"/>
              </w:rPr>
              <w:t>服务质量</w:t>
            </w:r>
          </w:p>
        </w:tc>
        <w:tc>
          <w:tcPr>
            <w:tcW w:w="3399" w:type="dxa"/>
            <w:vMerge w:val="restart"/>
            <w:vAlign w:val="center"/>
          </w:tcPr>
          <w:p w14:paraId="3D3995F8">
            <w:pPr>
              <w:jc w:val="center"/>
            </w:pPr>
            <w:r>
              <w:rPr>
                <w:rFonts w:hint="eastAsia"/>
              </w:rPr>
              <w:t>服务能力/</w:t>
            </w:r>
            <w:r>
              <w:t>25</w:t>
            </w:r>
          </w:p>
        </w:tc>
        <w:tc>
          <w:tcPr>
            <w:tcW w:w="3115" w:type="dxa"/>
            <w:vAlign w:val="center"/>
          </w:tcPr>
          <w:p w14:paraId="140CD637">
            <w:pPr>
              <w:jc w:val="center"/>
            </w:pPr>
            <w:r>
              <w:rPr>
                <w:rFonts w:hint="eastAsia"/>
              </w:rPr>
              <w:t>组织管理</w:t>
            </w:r>
          </w:p>
        </w:tc>
      </w:tr>
      <w:tr w14:paraId="1A7E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vAlign w:val="center"/>
          </w:tcPr>
          <w:p w14:paraId="4203369C">
            <w:pPr>
              <w:jc w:val="center"/>
            </w:pPr>
          </w:p>
        </w:tc>
        <w:tc>
          <w:tcPr>
            <w:tcW w:w="3399" w:type="dxa"/>
            <w:vMerge w:val="continue"/>
            <w:vAlign w:val="center"/>
          </w:tcPr>
          <w:p w14:paraId="1DF38632">
            <w:pPr>
              <w:jc w:val="center"/>
            </w:pPr>
          </w:p>
        </w:tc>
        <w:tc>
          <w:tcPr>
            <w:tcW w:w="3115" w:type="dxa"/>
            <w:vAlign w:val="center"/>
          </w:tcPr>
          <w:p w14:paraId="5E037E45">
            <w:pPr>
              <w:jc w:val="center"/>
            </w:pPr>
            <w:r>
              <w:rPr>
                <w:rFonts w:hint="eastAsia"/>
              </w:rPr>
              <w:t>设施设备</w:t>
            </w:r>
          </w:p>
        </w:tc>
      </w:tr>
      <w:tr w14:paraId="0BE43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vAlign w:val="center"/>
          </w:tcPr>
          <w:p w14:paraId="0424F812">
            <w:pPr>
              <w:jc w:val="center"/>
            </w:pPr>
          </w:p>
        </w:tc>
        <w:tc>
          <w:tcPr>
            <w:tcW w:w="3399" w:type="dxa"/>
            <w:vMerge w:val="continue"/>
            <w:vAlign w:val="center"/>
          </w:tcPr>
          <w:p w14:paraId="29A5843B">
            <w:pPr>
              <w:jc w:val="center"/>
            </w:pPr>
          </w:p>
        </w:tc>
        <w:tc>
          <w:tcPr>
            <w:tcW w:w="3115" w:type="dxa"/>
            <w:vAlign w:val="center"/>
          </w:tcPr>
          <w:p w14:paraId="7694F083">
            <w:pPr>
              <w:jc w:val="center"/>
            </w:pPr>
            <w:r>
              <w:rPr>
                <w:rFonts w:hint="eastAsia"/>
              </w:rPr>
              <w:t>人力资源</w:t>
            </w:r>
          </w:p>
        </w:tc>
      </w:tr>
      <w:tr w14:paraId="4949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vAlign w:val="center"/>
          </w:tcPr>
          <w:p w14:paraId="78489A3D">
            <w:pPr>
              <w:jc w:val="center"/>
            </w:pPr>
          </w:p>
        </w:tc>
        <w:tc>
          <w:tcPr>
            <w:tcW w:w="3399" w:type="dxa"/>
            <w:vMerge w:val="continue"/>
            <w:vAlign w:val="center"/>
          </w:tcPr>
          <w:p w14:paraId="3903644E">
            <w:pPr>
              <w:jc w:val="center"/>
            </w:pPr>
          </w:p>
        </w:tc>
        <w:tc>
          <w:tcPr>
            <w:tcW w:w="3115" w:type="dxa"/>
            <w:vAlign w:val="center"/>
          </w:tcPr>
          <w:p w14:paraId="680D4F59">
            <w:pPr>
              <w:jc w:val="center"/>
            </w:pPr>
            <w:r>
              <w:rPr>
                <w:rFonts w:hint="eastAsia"/>
              </w:rPr>
              <w:t>……</w:t>
            </w:r>
          </w:p>
        </w:tc>
      </w:tr>
      <w:tr w14:paraId="4CC8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vAlign w:val="center"/>
          </w:tcPr>
          <w:p w14:paraId="23E7266B">
            <w:pPr>
              <w:jc w:val="center"/>
            </w:pPr>
          </w:p>
        </w:tc>
        <w:tc>
          <w:tcPr>
            <w:tcW w:w="3399" w:type="dxa"/>
            <w:vMerge w:val="restart"/>
            <w:vAlign w:val="center"/>
          </w:tcPr>
          <w:p w14:paraId="69581E33">
            <w:pPr>
              <w:jc w:val="center"/>
            </w:pPr>
            <w:r>
              <w:rPr>
                <w:rFonts w:hint="eastAsia"/>
              </w:rPr>
              <w:t>服务提供/</w:t>
            </w:r>
            <w:r>
              <w:t>40</w:t>
            </w:r>
          </w:p>
        </w:tc>
        <w:tc>
          <w:tcPr>
            <w:tcW w:w="3115" w:type="dxa"/>
            <w:vAlign w:val="center"/>
          </w:tcPr>
          <w:p w14:paraId="7E5B1B38">
            <w:pPr>
              <w:jc w:val="center"/>
            </w:pPr>
            <w:r>
              <w:rPr>
                <w:rFonts w:hint="eastAsia"/>
              </w:rPr>
              <w:t>服务准备</w:t>
            </w:r>
          </w:p>
        </w:tc>
      </w:tr>
      <w:tr w14:paraId="55FA2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vAlign w:val="center"/>
          </w:tcPr>
          <w:p w14:paraId="424FCEA8">
            <w:pPr>
              <w:jc w:val="center"/>
            </w:pPr>
          </w:p>
        </w:tc>
        <w:tc>
          <w:tcPr>
            <w:tcW w:w="3399" w:type="dxa"/>
            <w:vMerge w:val="continue"/>
            <w:vAlign w:val="center"/>
          </w:tcPr>
          <w:p w14:paraId="443C7D0B">
            <w:pPr>
              <w:jc w:val="center"/>
            </w:pPr>
          </w:p>
        </w:tc>
        <w:tc>
          <w:tcPr>
            <w:tcW w:w="3115" w:type="dxa"/>
            <w:vAlign w:val="center"/>
          </w:tcPr>
          <w:p w14:paraId="0CA455C5">
            <w:pPr>
              <w:jc w:val="center"/>
            </w:pPr>
            <w:r>
              <w:rPr>
                <w:rFonts w:hint="eastAsia"/>
              </w:rPr>
              <w:t>服务实施</w:t>
            </w:r>
          </w:p>
        </w:tc>
      </w:tr>
      <w:tr w14:paraId="48E4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vAlign w:val="center"/>
          </w:tcPr>
          <w:p w14:paraId="6D5CBC27">
            <w:pPr>
              <w:jc w:val="center"/>
            </w:pPr>
          </w:p>
        </w:tc>
        <w:tc>
          <w:tcPr>
            <w:tcW w:w="3399" w:type="dxa"/>
            <w:vMerge w:val="continue"/>
            <w:vAlign w:val="center"/>
          </w:tcPr>
          <w:p w14:paraId="4AB6D036">
            <w:pPr>
              <w:jc w:val="center"/>
            </w:pPr>
          </w:p>
        </w:tc>
        <w:tc>
          <w:tcPr>
            <w:tcW w:w="3115" w:type="dxa"/>
            <w:vAlign w:val="center"/>
          </w:tcPr>
          <w:p w14:paraId="0214DE4E">
            <w:pPr>
              <w:jc w:val="center"/>
            </w:pPr>
            <w:r>
              <w:rPr>
                <w:rFonts w:hint="eastAsia"/>
              </w:rPr>
              <w:t>服务改进</w:t>
            </w:r>
          </w:p>
        </w:tc>
      </w:tr>
      <w:tr w14:paraId="4EB0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vAlign w:val="center"/>
          </w:tcPr>
          <w:p w14:paraId="57E15BEF">
            <w:pPr>
              <w:jc w:val="center"/>
            </w:pPr>
          </w:p>
        </w:tc>
        <w:tc>
          <w:tcPr>
            <w:tcW w:w="3399" w:type="dxa"/>
            <w:vMerge w:val="continue"/>
            <w:vAlign w:val="center"/>
          </w:tcPr>
          <w:p w14:paraId="3C93F3AD">
            <w:pPr>
              <w:jc w:val="center"/>
            </w:pPr>
          </w:p>
        </w:tc>
        <w:tc>
          <w:tcPr>
            <w:tcW w:w="3115" w:type="dxa"/>
            <w:vAlign w:val="center"/>
          </w:tcPr>
          <w:p w14:paraId="6B6870D1">
            <w:pPr>
              <w:jc w:val="center"/>
            </w:pPr>
            <w:r>
              <w:rPr>
                <w:rFonts w:hint="eastAsia"/>
              </w:rPr>
              <w:t>……</w:t>
            </w:r>
          </w:p>
        </w:tc>
      </w:tr>
      <w:tr w14:paraId="1A8D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vAlign w:val="center"/>
          </w:tcPr>
          <w:p w14:paraId="7DE5017B">
            <w:pPr>
              <w:jc w:val="center"/>
            </w:pPr>
          </w:p>
        </w:tc>
        <w:tc>
          <w:tcPr>
            <w:tcW w:w="3399" w:type="dxa"/>
            <w:vMerge w:val="restart"/>
            <w:vAlign w:val="center"/>
          </w:tcPr>
          <w:p w14:paraId="796E45BC">
            <w:pPr>
              <w:jc w:val="center"/>
            </w:pPr>
            <w:r>
              <w:rPr>
                <w:rFonts w:hint="eastAsia"/>
              </w:rPr>
              <w:t>服务绩效/</w:t>
            </w:r>
            <w:r>
              <w:t>35</w:t>
            </w:r>
          </w:p>
        </w:tc>
        <w:tc>
          <w:tcPr>
            <w:tcW w:w="3115" w:type="dxa"/>
            <w:vAlign w:val="center"/>
          </w:tcPr>
          <w:p w14:paraId="3132CFA0">
            <w:pPr>
              <w:jc w:val="center"/>
            </w:pPr>
            <w:r>
              <w:rPr>
                <w:rFonts w:hint="eastAsia"/>
              </w:rPr>
              <w:t>品牌效益</w:t>
            </w:r>
          </w:p>
        </w:tc>
      </w:tr>
      <w:tr w14:paraId="1045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vAlign w:val="center"/>
          </w:tcPr>
          <w:p w14:paraId="1E3C1A44">
            <w:pPr>
              <w:jc w:val="center"/>
            </w:pPr>
          </w:p>
        </w:tc>
        <w:tc>
          <w:tcPr>
            <w:tcW w:w="3399" w:type="dxa"/>
            <w:vMerge w:val="continue"/>
            <w:vAlign w:val="center"/>
          </w:tcPr>
          <w:p w14:paraId="0855520B">
            <w:pPr>
              <w:jc w:val="center"/>
            </w:pPr>
          </w:p>
        </w:tc>
        <w:tc>
          <w:tcPr>
            <w:tcW w:w="3115" w:type="dxa"/>
            <w:vAlign w:val="center"/>
          </w:tcPr>
          <w:p w14:paraId="34B4DA0C">
            <w:pPr>
              <w:jc w:val="center"/>
            </w:pPr>
            <w:r>
              <w:rPr>
                <w:rFonts w:hint="eastAsia"/>
              </w:rPr>
              <w:t>经济社会效益</w:t>
            </w:r>
          </w:p>
        </w:tc>
      </w:tr>
      <w:tr w14:paraId="56D4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vMerge w:val="continue"/>
          </w:tcPr>
          <w:p w14:paraId="7049BFE8"/>
        </w:tc>
        <w:tc>
          <w:tcPr>
            <w:tcW w:w="3399" w:type="dxa"/>
            <w:vMerge w:val="continue"/>
          </w:tcPr>
          <w:p w14:paraId="76440A79"/>
        </w:tc>
        <w:tc>
          <w:tcPr>
            <w:tcW w:w="3115" w:type="dxa"/>
          </w:tcPr>
          <w:p w14:paraId="4A97C950">
            <w:r>
              <w:rPr>
                <w:rFonts w:hint="eastAsia"/>
              </w:rPr>
              <w:t>……</w:t>
            </w:r>
          </w:p>
        </w:tc>
      </w:tr>
    </w:tbl>
    <w:p w14:paraId="738FD9B4">
      <w:pPr>
        <w:rPr>
          <w:rFonts w:ascii="宋体" w:hAnsi="宋体"/>
        </w:rPr>
      </w:pPr>
      <w:r>
        <w:rPr>
          <w:rFonts w:ascii="黑体" w:hAnsi="黑体" w:eastAsia="黑体"/>
        </w:rPr>
        <w:t>6.4</w:t>
      </w:r>
      <w:r>
        <w:rPr>
          <w:rFonts w:hint="eastAsia" w:ascii="宋体" w:hAnsi="宋体"/>
        </w:rPr>
        <w:t>各类社区居家养老服务内容及要求，见附录A，</w:t>
      </w:r>
      <w:r>
        <w:rPr>
          <w:rFonts w:ascii="宋体" w:hAnsi="宋体"/>
        </w:rPr>
        <w:t>其服务特性的测评</w:t>
      </w:r>
      <w:r>
        <w:rPr>
          <w:rFonts w:hint="eastAsia" w:ascii="宋体" w:hAnsi="宋体"/>
        </w:rPr>
        <w:t>表见附录B.1~B.</w:t>
      </w:r>
      <w:r>
        <w:rPr>
          <w:rFonts w:ascii="宋体" w:hAnsi="宋体"/>
        </w:rPr>
        <w:t xml:space="preserve">9。 </w:t>
      </w:r>
    </w:p>
    <w:p w14:paraId="6DA742D9">
      <w:pPr>
        <w:rPr>
          <w:rFonts w:ascii="宋体" w:hAnsi="宋体"/>
        </w:rPr>
      </w:pPr>
      <w:r>
        <w:rPr>
          <w:rFonts w:ascii="黑体" w:hAnsi="黑体" w:eastAsia="黑体"/>
        </w:rPr>
        <w:t>6.5</w:t>
      </w:r>
      <w:r>
        <w:rPr>
          <w:rFonts w:hint="eastAsia" w:ascii="宋体" w:hAnsi="宋体"/>
        </w:rPr>
        <w:t>参照表</w:t>
      </w:r>
      <w:r>
        <w:rPr>
          <w:rFonts w:ascii="宋体" w:hAnsi="宋体"/>
        </w:rPr>
        <w:t>2</w:t>
      </w:r>
      <w:r>
        <w:rPr>
          <w:rFonts w:hint="eastAsia" w:ascii="宋体" w:hAnsi="宋体"/>
        </w:rPr>
        <w:t>.进行认证指标的评分工作。</w:t>
      </w:r>
    </w:p>
    <w:p w14:paraId="38B33A77">
      <w:pPr>
        <w:jc w:val="center"/>
        <w:rPr>
          <w:rFonts w:ascii="宋体" w:hAnsi="宋体"/>
        </w:rPr>
      </w:pPr>
      <w:r>
        <w:rPr>
          <w:rFonts w:hint="eastAsia" w:ascii="宋体" w:hAnsi="宋体"/>
        </w:rPr>
        <w:t>表</w:t>
      </w:r>
      <w:r>
        <w:rPr>
          <w:rFonts w:ascii="宋体" w:hAnsi="宋体"/>
        </w:rPr>
        <w:t xml:space="preserve">2 </w:t>
      </w:r>
      <w:r>
        <w:rPr>
          <w:rFonts w:hint="eastAsia" w:ascii="宋体" w:hAnsi="宋体"/>
        </w:rPr>
        <w:t>认证指标评分规则</w:t>
      </w:r>
    </w:p>
    <w:tbl>
      <w:tblPr>
        <w:tblStyle w:val="28"/>
        <w:tblW w:w="9300" w:type="dxa"/>
        <w:tblInd w:w="0" w:type="dxa"/>
        <w:tblLayout w:type="autofit"/>
        <w:tblCellMar>
          <w:top w:w="0" w:type="dxa"/>
          <w:left w:w="108" w:type="dxa"/>
          <w:bottom w:w="0" w:type="dxa"/>
          <w:right w:w="108" w:type="dxa"/>
        </w:tblCellMar>
      </w:tblPr>
      <w:tblGrid>
        <w:gridCol w:w="1980"/>
        <w:gridCol w:w="7320"/>
      </w:tblGrid>
      <w:tr w14:paraId="07AB2D18">
        <w:tblPrEx>
          <w:tblCellMar>
            <w:top w:w="0" w:type="dxa"/>
            <w:left w:w="108" w:type="dxa"/>
            <w:bottom w:w="0" w:type="dxa"/>
            <w:right w:w="108" w:type="dxa"/>
          </w:tblCellMar>
        </w:tblPrEx>
        <w:trPr>
          <w:trHeight w:val="330" w:hRule="atLeast"/>
        </w:trPr>
        <w:tc>
          <w:tcPr>
            <w:tcW w:w="1980" w:type="dxa"/>
            <w:tcBorders>
              <w:top w:val="nil"/>
              <w:left w:val="nil"/>
              <w:bottom w:val="nil"/>
              <w:right w:val="nil"/>
            </w:tcBorders>
            <w:shd w:val="clear" w:color="auto" w:fill="auto"/>
            <w:vAlign w:val="center"/>
          </w:tcPr>
          <w:p w14:paraId="710F5811">
            <w:pPr>
              <w:widowControl/>
              <w:adjustRightInd/>
              <w:spacing w:line="240" w:lineRule="auto"/>
              <w:jc w:val="center"/>
              <w:rPr>
                <w:rFonts w:ascii="楷体_GB2312" w:hAnsi="等线" w:eastAsia="楷体_GB2312" w:cs="宋体"/>
                <w:color w:val="000000"/>
                <w:kern w:val="0"/>
                <w:sz w:val="24"/>
                <w:szCs w:val="24"/>
              </w:rPr>
            </w:pPr>
            <w:bookmarkStart w:id="53" w:name="_Hlk186423284"/>
            <w:r>
              <w:rPr>
                <w:rFonts w:hint="eastAsia" w:ascii="Microsoft YaHei UI" w:hAnsi="Microsoft YaHei UI" w:eastAsia="Microsoft YaHei UI" w:cs="宋体"/>
                <w:color w:val="000000"/>
                <w:kern w:val="0"/>
                <w:sz w:val="24"/>
                <w:szCs w:val="24"/>
              </w:rPr>
              <w:t>评分比例</w:t>
            </w:r>
          </w:p>
        </w:tc>
        <w:tc>
          <w:tcPr>
            <w:tcW w:w="7320" w:type="dxa"/>
            <w:tcBorders>
              <w:top w:val="nil"/>
              <w:left w:val="nil"/>
              <w:bottom w:val="nil"/>
              <w:right w:val="nil"/>
            </w:tcBorders>
            <w:shd w:val="clear" w:color="auto" w:fill="auto"/>
            <w:vAlign w:val="center"/>
          </w:tcPr>
          <w:p w14:paraId="3C3B7B3C">
            <w:pPr>
              <w:widowControl/>
              <w:adjustRightInd/>
              <w:spacing w:line="240" w:lineRule="auto"/>
              <w:jc w:val="center"/>
              <w:rPr>
                <w:rFonts w:ascii="楷体_GB2312" w:hAnsi="等线" w:eastAsia="楷体_GB2312" w:cs="宋体"/>
                <w:b/>
                <w:bCs/>
                <w:color w:val="000000"/>
                <w:kern w:val="0"/>
                <w:sz w:val="24"/>
                <w:szCs w:val="24"/>
              </w:rPr>
            </w:pPr>
            <w:r>
              <w:rPr>
                <w:rFonts w:hint="eastAsia" w:ascii="楷体_GB2312" w:hAnsi="等线" w:eastAsia="楷体_GB2312" w:cs="宋体"/>
                <w:b/>
                <w:bCs/>
                <w:color w:val="000000"/>
                <w:kern w:val="0"/>
                <w:sz w:val="24"/>
                <w:szCs w:val="24"/>
              </w:rPr>
              <w:t>要点</w:t>
            </w:r>
          </w:p>
        </w:tc>
      </w:tr>
      <w:tr w14:paraId="3A59E067">
        <w:tblPrEx>
          <w:tblCellMar>
            <w:top w:w="0" w:type="dxa"/>
            <w:left w:w="108" w:type="dxa"/>
            <w:bottom w:w="0" w:type="dxa"/>
            <w:right w:w="108" w:type="dxa"/>
          </w:tblCellMar>
        </w:tblPrEx>
        <w:trPr>
          <w:trHeight w:val="280" w:hRule="atLeast"/>
        </w:trPr>
        <w:tc>
          <w:tcPr>
            <w:tcW w:w="1980" w:type="dxa"/>
            <w:vMerge w:val="restart"/>
            <w:tcBorders>
              <w:top w:val="nil"/>
              <w:left w:val="nil"/>
              <w:bottom w:val="nil"/>
              <w:right w:val="nil"/>
            </w:tcBorders>
            <w:shd w:val="clear" w:color="auto" w:fill="auto"/>
            <w:vAlign w:val="center"/>
          </w:tcPr>
          <w:p w14:paraId="2E2E5215">
            <w:pPr>
              <w:widowControl/>
              <w:adjustRightInd/>
              <w:spacing w:line="240" w:lineRule="auto"/>
              <w:jc w:val="center"/>
              <w:rPr>
                <w:rFonts w:ascii="楷体_GB2312" w:hAnsi="等线" w:eastAsia="楷体_GB2312" w:cs="宋体"/>
                <w:color w:val="000000"/>
                <w:kern w:val="0"/>
                <w:sz w:val="24"/>
                <w:szCs w:val="24"/>
              </w:rPr>
            </w:pPr>
            <w:r>
              <w:rPr>
                <w:rFonts w:hint="eastAsia" w:ascii="楷体_GB2312" w:hAnsi="等线" w:eastAsia="楷体_GB2312" w:cs="宋体"/>
                <w:color w:val="000000"/>
                <w:kern w:val="0"/>
                <w:sz w:val="24"/>
                <w:szCs w:val="24"/>
              </w:rPr>
              <w:t>0％-20％</w:t>
            </w:r>
          </w:p>
        </w:tc>
        <w:tc>
          <w:tcPr>
            <w:tcW w:w="7320" w:type="dxa"/>
            <w:tcBorders>
              <w:top w:val="nil"/>
              <w:left w:val="nil"/>
              <w:bottom w:val="nil"/>
              <w:right w:val="nil"/>
            </w:tcBorders>
            <w:shd w:val="clear" w:color="auto" w:fill="auto"/>
            <w:vAlign w:val="center"/>
          </w:tcPr>
          <w:p w14:paraId="626DB735">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在该评分项要求中水平很差，或没有描述结果，或结果很差</w:t>
            </w:r>
          </w:p>
        </w:tc>
      </w:tr>
      <w:tr w14:paraId="0F811F53">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2C19E50E">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7F307863">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在该评分项要求中没有或极少显示趋势的数据，或显示了总体不良的趋势</w:t>
            </w:r>
          </w:p>
        </w:tc>
      </w:tr>
      <w:tr w14:paraId="2B527C9E">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78FCAD30">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0021AFBD">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在该评分项要求中没有或极少的相关数据信息，或对比性信息</w:t>
            </w:r>
          </w:p>
        </w:tc>
      </w:tr>
      <w:tr w14:paraId="4140D1BC">
        <w:tblPrEx>
          <w:tblCellMar>
            <w:top w:w="0" w:type="dxa"/>
            <w:left w:w="108" w:type="dxa"/>
            <w:bottom w:w="0" w:type="dxa"/>
            <w:right w:w="108" w:type="dxa"/>
          </w:tblCellMar>
        </w:tblPrEx>
        <w:trPr>
          <w:trHeight w:val="490" w:hRule="atLeast"/>
        </w:trPr>
        <w:tc>
          <w:tcPr>
            <w:tcW w:w="1980" w:type="dxa"/>
            <w:vMerge w:val="restart"/>
            <w:tcBorders>
              <w:top w:val="nil"/>
              <w:left w:val="nil"/>
              <w:bottom w:val="nil"/>
              <w:right w:val="nil"/>
            </w:tcBorders>
            <w:shd w:val="clear" w:color="auto" w:fill="auto"/>
            <w:vAlign w:val="center"/>
          </w:tcPr>
          <w:p w14:paraId="227D8E44">
            <w:pPr>
              <w:widowControl/>
              <w:adjustRightInd/>
              <w:spacing w:line="240" w:lineRule="auto"/>
              <w:jc w:val="center"/>
              <w:rPr>
                <w:rFonts w:ascii="楷体_GB2312" w:hAnsi="等线" w:eastAsia="楷体_GB2312" w:cs="宋体"/>
                <w:color w:val="000000"/>
                <w:kern w:val="0"/>
                <w:sz w:val="24"/>
                <w:szCs w:val="24"/>
              </w:rPr>
            </w:pPr>
            <w:r>
              <w:rPr>
                <w:rFonts w:hint="eastAsia" w:ascii="楷体_GB2312" w:hAnsi="等线" w:eastAsia="楷体_GB2312" w:cs="宋体"/>
                <w:color w:val="000000"/>
                <w:kern w:val="0"/>
                <w:sz w:val="24"/>
                <w:szCs w:val="24"/>
              </w:rPr>
              <w:t>20％-40％</w:t>
            </w:r>
          </w:p>
        </w:tc>
        <w:tc>
          <w:tcPr>
            <w:tcW w:w="7320" w:type="dxa"/>
            <w:tcBorders>
              <w:top w:val="nil"/>
              <w:left w:val="nil"/>
              <w:bottom w:val="nil"/>
              <w:right w:val="nil"/>
            </w:tcBorders>
            <w:shd w:val="clear" w:color="auto" w:fill="auto"/>
            <w:vAlign w:val="center"/>
          </w:tcPr>
          <w:p w14:paraId="6655CA4E">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在该评分项要求中结果很少，或在少数方面有一些改进和（或）处于初期绩效水平</w:t>
            </w:r>
          </w:p>
        </w:tc>
      </w:tr>
      <w:tr w14:paraId="015BF729">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7D1482BC">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3E17B1C2">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在该评分项要求中有少量显示趋势的数据，或处于较低水平</w:t>
            </w:r>
          </w:p>
        </w:tc>
      </w:tr>
      <w:tr w14:paraId="0A012418">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48EF4872">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027EC424">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在该评分项要求中有少量相关数据信息，或对比性信息</w:t>
            </w:r>
          </w:p>
        </w:tc>
      </w:tr>
      <w:tr w14:paraId="77F72FA7">
        <w:tblPrEx>
          <w:tblCellMar>
            <w:top w:w="0" w:type="dxa"/>
            <w:left w:w="108" w:type="dxa"/>
            <w:bottom w:w="0" w:type="dxa"/>
            <w:right w:w="108" w:type="dxa"/>
          </w:tblCellMar>
        </w:tblPrEx>
        <w:trPr>
          <w:trHeight w:val="280" w:hRule="atLeast"/>
        </w:trPr>
        <w:tc>
          <w:tcPr>
            <w:tcW w:w="1980" w:type="dxa"/>
            <w:vMerge w:val="restart"/>
            <w:tcBorders>
              <w:top w:val="nil"/>
              <w:left w:val="nil"/>
              <w:bottom w:val="nil"/>
              <w:right w:val="nil"/>
            </w:tcBorders>
            <w:shd w:val="clear" w:color="auto" w:fill="auto"/>
            <w:vAlign w:val="center"/>
          </w:tcPr>
          <w:p w14:paraId="7ACF6760">
            <w:pPr>
              <w:widowControl/>
              <w:adjustRightInd/>
              <w:spacing w:line="240" w:lineRule="auto"/>
              <w:jc w:val="center"/>
              <w:rPr>
                <w:rFonts w:ascii="楷体_GB2312" w:hAnsi="等线" w:eastAsia="楷体_GB2312" w:cs="宋体"/>
                <w:color w:val="000000"/>
                <w:kern w:val="0"/>
                <w:sz w:val="24"/>
                <w:szCs w:val="24"/>
              </w:rPr>
            </w:pPr>
            <w:r>
              <w:rPr>
                <w:rFonts w:hint="eastAsia" w:ascii="楷体_GB2312" w:hAnsi="等线" w:eastAsia="楷体_GB2312" w:cs="宋体"/>
                <w:color w:val="000000"/>
                <w:kern w:val="0"/>
                <w:sz w:val="24"/>
                <w:szCs w:val="24"/>
              </w:rPr>
              <w:t>40％-60％</w:t>
            </w:r>
          </w:p>
        </w:tc>
        <w:tc>
          <w:tcPr>
            <w:tcW w:w="7320" w:type="dxa"/>
            <w:tcBorders>
              <w:top w:val="nil"/>
              <w:left w:val="nil"/>
              <w:bottom w:val="nil"/>
              <w:right w:val="nil"/>
            </w:tcBorders>
            <w:shd w:val="clear" w:color="auto" w:fill="auto"/>
            <w:vAlign w:val="center"/>
          </w:tcPr>
          <w:p w14:paraId="5E125D4A">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在该评分项要求的多数方面有改进和（或）良好水平</w:t>
            </w:r>
          </w:p>
        </w:tc>
      </w:tr>
      <w:tr w14:paraId="272157CB">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4F2787D1">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65A30AD5">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在该评分项要求的多数方面处于取得良好趋势的初期阶段，或处于一般水平</w:t>
            </w:r>
          </w:p>
        </w:tc>
      </w:tr>
      <w:tr w14:paraId="3AE67C60">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150A179E">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3C9BFA0F">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在该评分项要求中能够获得相关数据，或对比性信息</w:t>
            </w:r>
          </w:p>
        </w:tc>
      </w:tr>
      <w:tr w14:paraId="69011D9B">
        <w:tblPrEx>
          <w:tblCellMar>
            <w:top w:w="0" w:type="dxa"/>
            <w:left w:w="108" w:type="dxa"/>
            <w:bottom w:w="0" w:type="dxa"/>
            <w:right w:w="108" w:type="dxa"/>
          </w:tblCellMar>
        </w:tblPrEx>
        <w:trPr>
          <w:trHeight w:val="280" w:hRule="atLeast"/>
        </w:trPr>
        <w:tc>
          <w:tcPr>
            <w:tcW w:w="1980" w:type="dxa"/>
            <w:vMerge w:val="restart"/>
            <w:tcBorders>
              <w:top w:val="nil"/>
              <w:left w:val="nil"/>
              <w:bottom w:val="nil"/>
              <w:right w:val="nil"/>
            </w:tcBorders>
            <w:shd w:val="clear" w:color="auto" w:fill="auto"/>
            <w:vAlign w:val="center"/>
          </w:tcPr>
          <w:p w14:paraId="52B03888">
            <w:pPr>
              <w:widowControl/>
              <w:adjustRightInd/>
              <w:spacing w:line="240" w:lineRule="auto"/>
              <w:jc w:val="center"/>
              <w:rPr>
                <w:rFonts w:ascii="楷体_GB2312" w:hAnsi="等线" w:eastAsia="楷体_GB2312" w:cs="宋体"/>
                <w:color w:val="000000"/>
                <w:kern w:val="0"/>
                <w:sz w:val="24"/>
                <w:szCs w:val="24"/>
              </w:rPr>
            </w:pPr>
            <w:r>
              <w:rPr>
                <w:rFonts w:hint="eastAsia" w:ascii="楷体_GB2312" w:hAnsi="等线" w:eastAsia="楷体_GB2312" w:cs="宋体"/>
                <w:color w:val="000000"/>
                <w:kern w:val="0"/>
                <w:sz w:val="24"/>
                <w:szCs w:val="24"/>
              </w:rPr>
              <w:t>60％-80％</w:t>
            </w:r>
          </w:p>
        </w:tc>
        <w:tc>
          <w:tcPr>
            <w:tcW w:w="7320" w:type="dxa"/>
            <w:tcBorders>
              <w:top w:val="nil"/>
              <w:left w:val="nil"/>
              <w:bottom w:val="nil"/>
              <w:right w:val="nil"/>
            </w:tcBorders>
            <w:shd w:val="clear" w:color="auto" w:fill="auto"/>
            <w:vAlign w:val="center"/>
          </w:tcPr>
          <w:p w14:paraId="02E933EE">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在该评分项要求的大多数方面有改进趋势和（或）良好水平</w:t>
            </w:r>
          </w:p>
        </w:tc>
      </w:tr>
      <w:tr w14:paraId="3B91A8D0">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46BE047D">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4D07815F">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与该评分项要求中一些趋势和（或）当前显示了良好到优秀的水平</w:t>
            </w:r>
          </w:p>
        </w:tc>
      </w:tr>
      <w:tr w14:paraId="769561FC">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2985B0C2">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55D2686C">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在该评分项要求中处于获得大量相关数据，或对比性信息。</w:t>
            </w:r>
          </w:p>
        </w:tc>
      </w:tr>
      <w:tr w14:paraId="42B0D8A5">
        <w:tblPrEx>
          <w:tblCellMar>
            <w:top w:w="0" w:type="dxa"/>
            <w:left w:w="108" w:type="dxa"/>
            <w:bottom w:w="0" w:type="dxa"/>
            <w:right w:w="108" w:type="dxa"/>
          </w:tblCellMar>
        </w:tblPrEx>
        <w:trPr>
          <w:trHeight w:val="280" w:hRule="atLeast"/>
        </w:trPr>
        <w:tc>
          <w:tcPr>
            <w:tcW w:w="1980" w:type="dxa"/>
            <w:vMerge w:val="restart"/>
            <w:tcBorders>
              <w:top w:val="nil"/>
              <w:left w:val="nil"/>
              <w:bottom w:val="nil"/>
              <w:right w:val="nil"/>
            </w:tcBorders>
            <w:shd w:val="clear" w:color="auto" w:fill="auto"/>
            <w:vAlign w:val="center"/>
          </w:tcPr>
          <w:p w14:paraId="74FE52B8">
            <w:pPr>
              <w:widowControl/>
              <w:adjustRightInd/>
              <w:spacing w:line="240" w:lineRule="auto"/>
              <w:jc w:val="center"/>
              <w:rPr>
                <w:rFonts w:ascii="楷体_GB2312" w:hAnsi="等线" w:eastAsia="楷体_GB2312" w:cs="宋体"/>
                <w:color w:val="000000"/>
                <w:kern w:val="0"/>
                <w:sz w:val="24"/>
                <w:szCs w:val="24"/>
              </w:rPr>
            </w:pPr>
            <w:r>
              <w:rPr>
                <w:rFonts w:hint="eastAsia" w:ascii="楷体_GB2312" w:hAnsi="等线" w:eastAsia="楷体_GB2312" w:cs="宋体"/>
                <w:color w:val="000000"/>
                <w:kern w:val="0"/>
                <w:sz w:val="24"/>
                <w:szCs w:val="24"/>
              </w:rPr>
              <w:t>80％-100％</w:t>
            </w:r>
          </w:p>
        </w:tc>
        <w:tc>
          <w:tcPr>
            <w:tcW w:w="7320" w:type="dxa"/>
            <w:tcBorders>
              <w:top w:val="nil"/>
              <w:left w:val="nil"/>
              <w:bottom w:val="nil"/>
              <w:right w:val="nil"/>
            </w:tcBorders>
            <w:shd w:val="clear" w:color="auto" w:fill="auto"/>
            <w:vAlign w:val="center"/>
          </w:tcPr>
          <w:p w14:paraId="4B54D448">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在该评分项要求重要的大多数方面，当前结果/水平/绩效达到优良水平</w:t>
            </w:r>
          </w:p>
        </w:tc>
      </w:tr>
      <w:tr w14:paraId="4737ABC8">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42A6711E">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4C37E729">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与该评分项要求中大多数的趋势显示了领先和优秀的水平</w:t>
            </w:r>
          </w:p>
        </w:tc>
      </w:tr>
      <w:tr w14:paraId="0358B26F">
        <w:tblPrEx>
          <w:tblCellMar>
            <w:top w:w="0" w:type="dxa"/>
            <w:left w:w="108" w:type="dxa"/>
            <w:bottom w:w="0" w:type="dxa"/>
            <w:right w:w="108" w:type="dxa"/>
          </w:tblCellMar>
        </w:tblPrEx>
        <w:trPr>
          <w:trHeight w:val="280" w:hRule="atLeast"/>
        </w:trPr>
        <w:tc>
          <w:tcPr>
            <w:tcW w:w="1980" w:type="dxa"/>
            <w:vMerge w:val="continue"/>
            <w:tcBorders>
              <w:top w:val="nil"/>
              <w:left w:val="nil"/>
              <w:bottom w:val="nil"/>
              <w:right w:val="nil"/>
            </w:tcBorders>
            <w:vAlign w:val="center"/>
          </w:tcPr>
          <w:p w14:paraId="0BF42BCB">
            <w:pPr>
              <w:widowControl/>
              <w:adjustRightInd/>
              <w:spacing w:line="240" w:lineRule="auto"/>
              <w:jc w:val="left"/>
              <w:rPr>
                <w:rFonts w:ascii="楷体_GB2312" w:hAnsi="等线" w:eastAsia="楷体_GB2312" w:cs="宋体"/>
                <w:color w:val="000000"/>
                <w:kern w:val="0"/>
                <w:sz w:val="24"/>
                <w:szCs w:val="24"/>
              </w:rPr>
            </w:pPr>
          </w:p>
        </w:tc>
        <w:tc>
          <w:tcPr>
            <w:tcW w:w="7320" w:type="dxa"/>
            <w:tcBorders>
              <w:top w:val="nil"/>
              <w:left w:val="nil"/>
              <w:bottom w:val="nil"/>
              <w:right w:val="nil"/>
            </w:tcBorders>
            <w:shd w:val="clear" w:color="auto" w:fill="auto"/>
            <w:vAlign w:val="center"/>
          </w:tcPr>
          <w:p w14:paraId="0C72FE47">
            <w:pPr>
              <w:widowControl/>
              <w:adjustRightInd/>
              <w:spacing w:line="240" w:lineRule="auto"/>
              <w:rPr>
                <w:rFonts w:ascii="楷体_GB2312" w:hAnsi="等线" w:eastAsia="楷体_GB2312" w:cs="宋体"/>
                <w:color w:val="000000"/>
                <w:kern w:val="0"/>
                <w:sz w:val="20"/>
                <w:szCs w:val="20"/>
              </w:rPr>
            </w:pPr>
            <w:r>
              <w:rPr>
                <w:rFonts w:hint="eastAsia" w:ascii="楷体_GB2312" w:hAnsi="等线" w:eastAsia="楷体_GB2312" w:cs="宋体"/>
                <w:color w:val="000000"/>
                <w:kern w:val="0"/>
                <w:sz w:val="20"/>
                <w:szCs w:val="20"/>
              </w:rPr>
              <w:t>■ 在该评分项要求中能够获得充分相关数据，或对比性信息</w:t>
            </w:r>
          </w:p>
        </w:tc>
      </w:tr>
      <w:bookmarkEnd w:id="53"/>
    </w:tbl>
    <w:p w14:paraId="391195E2">
      <w:pPr>
        <w:ind w:left="420" w:leftChars="200"/>
        <w:rPr>
          <w:rFonts w:ascii="宋体" w:hAnsi="宋体"/>
        </w:rPr>
      </w:pPr>
      <w:r>
        <w:rPr>
          <w:rFonts w:ascii="宋体" w:hAnsi="宋体"/>
        </w:rPr>
        <w:t xml:space="preserve">a) 用表A.1中给定的每一项测评内容的分值乘以该项确定的体验系数α后求和，得出服务特性 测评基础分； </w:t>
      </w:r>
    </w:p>
    <w:p w14:paraId="2820059C">
      <w:pPr>
        <w:ind w:left="420" w:leftChars="200"/>
        <w:rPr>
          <w:rFonts w:ascii="宋体" w:hAnsi="宋体"/>
        </w:rPr>
      </w:pPr>
      <w:r>
        <w:rPr>
          <w:rFonts w:ascii="宋体" w:hAnsi="宋体"/>
        </w:rPr>
        <w:t xml:space="preserve">b) 将服务特性测评基础分乘以体验否决系数E，得出组织服务特性测评分。其中，体验否决系数 E={0,1}，当组织服务过程中发生下列任一情况时E=0，否则E=1： </w:t>
      </w:r>
    </w:p>
    <w:p w14:paraId="78833912">
      <w:pPr>
        <w:ind w:left="840" w:leftChars="400"/>
        <w:rPr>
          <w:rFonts w:ascii="宋体" w:hAnsi="宋体"/>
        </w:rPr>
      </w:pPr>
      <w:r>
        <w:rPr>
          <w:rFonts w:ascii="宋体" w:hAnsi="宋体"/>
        </w:rPr>
        <w:t xml:space="preserve">1) 未取得餐饮许可资质、医疗许可资质等国家相关行政管理部门的合法经营资格； </w:t>
      </w:r>
    </w:p>
    <w:p w14:paraId="528A67D5">
      <w:pPr>
        <w:ind w:left="840" w:leftChars="400"/>
        <w:rPr>
          <w:rFonts w:ascii="宋体" w:hAnsi="宋体"/>
        </w:rPr>
      </w:pPr>
      <w:r>
        <w:rPr>
          <w:rFonts w:ascii="宋体" w:hAnsi="宋体"/>
        </w:rPr>
        <w:t xml:space="preserve">2) 提供服务的医疗服务人员无相关资质； </w:t>
      </w:r>
    </w:p>
    <w:p w14:paraId="6C0C4D27">
      <w:pPr>
        <w:ind w:left="840" w:leftChars="400"/>
        <w:rPr>
          <w:rFonts w:ascii="宋体" w:hAnsi="宋体"/>
        </w:rPr>
      </w:pPr>
      <w:r>
        <w:rPr>
          <w:rFonts w:ascii="宋体" w:hAnsi="宋体"/>
        </w:rPr>
        <w:t xml:space="preserve">3) 近一年内因重大违法违规行为而受到行政处罚的； </w:t>
      </w:r>
    </w:p>
    <w:p w14:paraId="69DA7292">
      <w:pPr>
        <w:ind w:left="840" w:leftChars="400"/>
        <w:rPr>
          <w:rFonts w:ascii="宋体" w:hAnsi="宋体"/>
        </w:rPr>
      </w:pPr>
      <w:r>
        <w:rPr>
          <w:rFonts w:ascii="宋体" w:hAnsi="宋体"/>
        </w:rPr>
        <w:t xml:space="preserve">4) 近一年内发生食品安全、人身安全等事故，且舆论影响恶劣的； </w:t>
      </w:r>
    </w:p>
    <w:p w14:paraId="5583350D">
      <w:pPr>
        <w:ind w:left="840" w:leftChars="400"/>
        <w:rPr>
          <w:rFonts w:ascii="宋体" w:hAnsi="宋体"/>
        </w:rPr>
      </w:pPr>
      <w:r>
        <w:rPr>
          <w:rFonts w:ascii="宋体" w:hAnsi="宋体"/>
        </w:rPr>
        <w:t xml:space="preserve">5) 近一年内发生组织主责的顾客重大投诉受到新闻媒体的曝光； </w:t>
      </w:r>
    </w:p>
    <w:p w14:paraId="371A94EA">
      <w:pPr>
        <w:ind w:left="840" w:leftChars="400"/>
        <w:rPr>
          <w:rFonts w:ascii="宋体" w:hAnsi="宋体"/>
        </w:rPr>
      </w:pPr>
      <w:r>
        <w:rPr>
          <w:rFonts w:ascii="宋体" w:hAnsi="宋体"/>
        </w:rPr>
        <w:t>6) 医疗卫生设备未按规定要求进行定期检验。</w:t>
      </w:r>
    </w:p>
    <w:p w14:paraId="111513B8">
      <w:r>
        <w:rPr>
          <w:rFonts w:ascii="黑体" w:hAnsi="黑体" w:eastAsia="黑体"/>
        </w:rPr>
        <w:t>6.6</w:t>
      </w:r>
      <w:r>
        <w:t>评价服务内容不含评价表中部分内容时，可提前说明，按以上评分方法得出总分后按比例换算最后分值，当组织确定有不适用的标准条款时，不考虑该条款的评价要求。针对服务特性测评活动，其总分由计算每人（次）测评分的均值获得。</w:t>
      </w:r>
    </w:p>
    <w:p w14:paraId="39D4E06E">
      <w:pPr>
        <w:rPr>
          <w:rFonts w:ascii="宋体" w:hAnsi="宋体"/>
        </w:rPr>
      </w:pPr>
      <w:r>
        <w:rPr>
          <w:rFonts w:hint="eastAsia"/>
        </w:rPr>
        <w:t>6</w:t>
      </w:r>
      <w:r>
        <w:t xml:space="preserve">.7 </w:t>
      </w:r>
      <w:r>
        <w:rPr>
          <w:rFonts w:hint="eastAsia" w:ascii="宋体" w:hAnsi="宋体"/>
        </w:rPr>
        <w:t>单项服务特性测评每项为1</w:t>
      </w:r>
      <w:r>
        <w:rPr>
          <w:rFonts w:ascii="宋体" w:hAnsi="宋体"/>
        </w:rPr>
        <w:t>00</w:t>
      </w:r>
      <w:r>
        <w:rPr>
          <w:rFonts w:hint="eastAsia" w:ascii="宋体" w:hAnsi="宋体"/>
        </w:rPr>
        <w:t>分，最终结果以得分率形式体现，得分率按照式（1）的方式计算，计算结果应为计算的实际数值向下取整。</w:t>
      </w:r>
    </w:p>
    <w:p w14:paraId="47FB9D4F">
      <w:pPr>
        <w:rPr>
          <w:rFonts w:ascii="宋体" w:hAnsi="宋体"/>
        </w:rPr>
      </w:pPr>
    </w:p>
    <w:p w14:paraId="743A957C">
      <w:pPr>
        <w:pStyle w:val="233"/>
        <w:ind w:firstLine="0" w:firstLineChars="0"/>
      </w:pPr>
      <m:oMathPara>
        <m:oMath>
          <m:r>
            <m:rPr/>
            <w:rPr>
              <w:rFonts w:ascii="Cambria Math" w:hAnsi="Cambria Math"/>
            </w:rPr>
            <m:t>S=</m:t>
          </m:r>
          <m:nary>
            <m:naryPr>
              <m:chr m:val="∑"/>
              <m:grow m:val="1"/>
              <m:ctrlPr>
                <w:rPr>
                  <w:rFonts w:ascii="Cambria Math" w:hAnsi="Cambria Math" w:eastAsia="Cambria Math"/>
                </w:rPr>
              </m:ctrlPr>
            </m:naryPr>
            <m:sub>
              <m:r>
                <m:rPr/>
                <w:rPr>
                  <w:rFonts w:ascii="Cambria Math" w:hAnsi="Cambria Math"/>
                </w:rPr>
                <m:t>i=1</m:t>
              </m:r>
              <m:ctrlPr>
                <w:rPr>
                  <w:rFonts w:ascii="Cambria Math" w:hAnsi="Cambria Math" w:eastAsia="Cambria Math"/>
                </w:rPr>
              </m:ctrlPr>
            </m:sub>
            <m:sup>
              <m:r>
                <m:rPr/>
                <w:rPr>
                  <w:rFonts w:ascii="Cambria Math" w:hAnsi="Cambria Math"/>
                </w:rPr>
                <m:t>n</m:t>
              </m:r>
              <m:ctrlPr>
                <w:rPr>
                  <w:rFonts w:ascii="Cambria Math" w:hAnsi="Cambria Math" w:eastAsia="Cambria Math"/>
                </w:rPr>
              </m:ctrlPr>
            </m:sup>
            <m:e>
              <m:sSub>
                <m:sSubPr>
                  <m:ctrlPr>
                    <w:rPr>
                      <w:rFonts w:ascii="Cambria Math" w:hAnsi="Cambria Math" w:eastAsia="Cambria Math"/>
                      <w:i/>
                    </w:rPr>
                  </m:ctrlPr>
                </m:sSubPr>
                <m:e>
                  <m:r>
                    <m:rPr/>
                    <w:rPr>
                      <w:rFonts w:ascii="Cambria Math" w:hAnsi="Cambria Math" w:eastAsiaTheme="minorEastAsia"/>
                    </w:rPr>
                    <m:t>r</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ctrlPr>
                <w:rPr>
                  <w:rFonts w:ascii="Cambria Math" w:hAnsi="Cambria Math" w:eastAsia="Cambria Math"/>
                </w:rPr>
              </m:ctrlPr>
            </m:e>
          </m:nary>
          <m:r>
            <m:rPr/>
            <w:rPr>
              <w:rFonts w:ascii="Cambria Math" w:hAnsi="Cambria Math" w:eastAsia="Cambria Math"/>
            </w:rPr>
            <m:t>/</m:t>
          </m:r>
          <m:nary>
            <m:naryPr>
              <m:chr m:val="∑"/>
              <m:grow m:val="1"/>
              <m:ctrlPr>
                <w:rPr>
                  <w:rFonts w:ascii="Cambria Math" w:hAnsi="Cambria Math" w:eastAsia="Cambria Math"/>
                </w:rPr>
              </m:ctrlPr>
            </m:naryPr>
            <m:sub>
              <m:r>
                <m:rPr/>
                <w:rPr>
                  <w:rFonts w:ascii="Cambria Math" w:hAnsi="Cambria Math"/>
                </w:rPr>
                <m:t>i=1</m:t>
              </m:r>
              <m:ctrlPr>
                <w:rPr>
                  <w:rFonts w:ascii="Cambria Math" w:hAnsi="Cambria Math" w:eastAsia="Cambria Math"/>
                </w:rPr>
              </m:ctrlPr>
            </m:sub>
            <m:sup>
              <m:r>
                <m:rPr/>
                <w:rPr>
                  <w:rFonts w:ascii="Cambria Math" w:hAnsi="Cambria Math"/>
                </w:rPr>
                <m:t>n</m:t>
              </m:r>
              <m:ctrlPr>
                <w:rPr>
                  <w:rFonts w:ascii="Cambria Math" w:hAnsi="Cambria Math" w:eastAsia="Cambria Math"/>
                </w:rPr>
              </m:ctrlPr>
            </m:sup>
            <m:e>
              <m:sSub>
                <m:sSubPr>
                  <m:ctrlPr>
                    <w:rPr>
                      <w:rFonts w:ascii="Cambria Math" w:hAnsi="Cambria Math" w:eastAsia="Cambria Math"/>
                      <w:i/>
                    </w:rPr>
                  </m:ctrlPr>
                </m:sSubPr>
                <m:e>
                  <m:r>
                    <m:rPr/>
                    <w:rPr>
                      <w:rFonts w:ascii="Cambria Math" w:hAnsi="Cambria Math" w:eastAsiaTheme="minorEastAsia"/>
                    </w:rPr>
                    <m:t>R</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r>
                <m:rPr/>
                <w:rPr>
                  <w:rFonts w:ascii="Cambria Math" w:hAnsi="Cambria Math" w:eastAsiaTheme="minorEastAsia"/>
                </w:rPr>
                <m:t>×</m:t>
              </m:r>
              <m:r>
                <m:rPr/>
                <w:rPr>
                  <w:rFonts w:ascii="Cambria Math" w:hAnsi="Cambria Math" w:eastAsia="Cambria Math"/>
                </w:rPr>
                <m:t>100</m:t>
              </m:r>
              <m:r>
                <m:rPr/>
                <w:rPr>
                  <w:rFonts w:hint="eastAsia" w:ascii="Cambria Math" w:hAnsi="Cambria Math" w:eastAsiaTheme="minorEastAsia"/>
                </w:rPr>
                <m:t>%</m:t>
              </m:r>
              <m:ctrlPr>
                <w:rPr>
                  <w:rFonts w:ascii="Cambria Math" w:hAnsi="Cambria Math" w:eastAsia="Cambria Math"/>
                </w:rPr>
              </m:ctrlPr>
            </m:e>
          </m:nary>
        </m:oMath>
      </m:oMathPara>
    </w:p>
    <w:p w14:paraId="36948A2F">
      <w:pPr>
        <w:pStyle w:val="233"/>
      </w:pPr>
      <w:r>
        <w:rPr>
          <w:rFonts w:hint="eastAsia"/>
        </w:rPr>
        <w:t>式中：</w:t>
      </w:r>
    </w:p>
    <w:p w14:paraId="31AD71FC">
      <w:pPr>
        <w:ind w:firstLine="420" w:firstLineChars="200"/>
        <w:rPr>
          <w:rFonts w:ascii="宋体" w:hAnsi="宋体"/>
        </w:rPr>
      </w:pPr>
      <w:r>
        <w:rPr>
          <w:rFonts w:ascii="宋体" w:hAnsi="宋体"/>
        </w:rPr>
        <w:t>S  ——换算后的得分；</w:t>
      </w:r>
    </w:p>
    <w:p w14:paraId="7BA5BAB1">
      <w:pPr>
        <w:ind w:firstLine="420" w:firstLineChars="200"/>
        <w:rPr>
          <w:rFonts w:ascii="宋体" w:hAnsi="宋体"/>
        </w:rPr>
      </w:pPr>
      <w:r>
        <w:rPr>
          <w:rFonts w:ascii="宋体" w:hAnsi="宋体"/>
        </w:rPr>
        <w:t>n  ——去除</w:t>
      </w:r>
      <w:r>
        <w:rPr>
          <w:rFonts w:hint="eastAsia" w:ascii="宋体" w:hAnsi="宋体"/>
        </w:rPr>
        <w:t>未评价与</w:t>
      </w:r>
      <w:r>
        <w:rPr>
          <w:rFonts w:ascii="宋体" w:hAnsi="宋体"/>
        </w:rPr>
        <w:t>不适用项后的评价项目总数；</w:t>
      </w:r>
    </w:p>
    <w:p w14:paraId="03CF7A23">
      <w:pPr>
        <w:ind w:firstLine="420" w:firstLineChars="200"/>
        <w:rPr>
          <w:rFonts w:ascii="宋体" w:hAnsi="宋体"/>
        </w:rPr>
      </w:pPr>
      <w:r>
        <w:rPr>
          <w:rFonts w:ascii="宋体" w:hAnsi="宋体"/>
        </w:rPr>
        <w:t>r</w:t>
      </w:r>
      <w:r>
        <w:rPr>
          <w:rFonts w:hint="eastAsia" w:ascii="宋体" w:hAnsi="宋体"/>
          <w:vertAlign w:val="subscript"/>
        </w:rPr>
        <w:t>i</w:t>
      </w:r>
      <w:r>
        <w:rPr>
          <w:rFonts w:ascii="宋体" w:hAnsi="宋体"/>
        </w:rPr>
        <w:t xml:space="preserve"> ——第i个适用项的单项实际得分；</w:t>
      </w:r>
    </w:p>
    <w:p w14:paraId="40985E63">
      <w:pPr>
        <w:ind w:firstLine="420" w:firstLineChars="200"/>
      </w:pPr>
      <w:r>
        <w:rPr>
          <w:rFonts w:ascii="宋体" w:hAnsi="宋体"/>
        </w:rPr>
        <w:t>R</w:t>
      </w:r>
      <w:r>
        <w:rPr>
          <w:rFonts w:hint="eastAsia" w:ascii="宋体" w:hAnsi="宋体"/>
          <w:vertAlign w:val="subscript"/>
        </w:rPr>
        <w:t>i</w:t>
      </w:r>
      <w:r>
        <w:rPr>
          <w:rFonts w:ascii="宋体" w:hAnsi="宋体"/>
        </w:rPr>
        <w:t xml:space="preserve"> ——第i个适用项的单项满分。</w:t>
      </w:r>
    </w:p>
    <w:p w14:paraId="0CAB885A">
      <w:pPr>
        <w:pStyle w:val="106"/>
        <w:spacing w:before="312" w:after="312"/>
      </w:pPr>
      <w:bookmarkStart w:id="54" w:name="_Toc186446326"/>
      <w:r>
        <w:rPr>
          <w:rFonts w:hint="eastAsia" w:hAnsi="黑体"/>
          <w:sz w:val="24"/>
          <w:szCs w:val="24"/>
        </w:rPr>
        <w:t>认证结果</w:t>
      </w:r>
      <w:bookmarkEnd w:id="54"/>
    </w:p>
    <w:p w14:paraId="2621DFBE">
      <w:pPr>
        <w:rPr>
          <w:rFonts w:ascii="宋体" w:hAnsi="宋体"/>
        </w:rPr>
      </w:pPr>
      <w:r>
        <w:rPr>
          <w:rFonts w:hint="eastAsia" w:ascii="黑体" w:hAnsi="黑体" w:eastAsia="黑体"/>
        </w:rPr>
        <w:t>7.1</w:t>
      </w:r>
      <w:r>
        <w:rPr>
          <w:rFonts w:hint="eastAsia" w:ascii="宋体" w:hAnsi="宋体"/>
        </w:rPr>
        <w:t>根据服务综合评价结果,评定居家养老服务水平。居家养老服务认证结果分为5个等级,从高到低依次为：AAAAA、AAAA、AAA、AA、A,各等级对应的评价得分见表</w:t>
      </w:r>
      <w:r>
        <w:rPr>
          <w:rFonts w:ascii="宋体" w:hAnsi="宋体"/>
        </w:rPr>
        <w:t>3</w:t>
      </w:r>
      <w:r>
        <w:rPr>
          <w:rFonts w:hint="eastAsia" w:ascii="宋体" w:hAnsi="宋体"/>
        </w:rPr>
        <w:t>。</w:t>
      </w:r>
    </w:p>
    <w:p w14:paraId="0C1529CB">
      <w:pPr>
        <w:jc w:val="center"/>
        <w:rPr>
          <w:rFonts w:ascii="宋体" w:hAnsi="宋体"/>
        </w:rPr>
      </w:pPr>
    </w:p>
    <w:p w14:paraId="75EBE46A">
      <w:pPr>
        <w:jc w:val="center"/>
        <w:rPr>
          <w:rFonts w:ascii="宋体" w:hAnsi="宋体"/>
        </w:rPr>
      </w:pPr>
      <w:r>
        <w:rPr>
          <w:rFonts w:hint="eastAsia" w:ascii="宋体" w:hAnsi="宋体"/>
        </w:rPr>
        <w:t>表</w:t>
      </w:r>
      <w:r>
        <w:rPr>
          <w:rFonts w:ascii="宋体" w:hAnsi="宋体"/>
        </w:rPr>
        <w:t xml:space="preserve">3 </w:t>
      </w:r>
      <w:r>
        <w:rPr>
          <w:rFonts w:hint="eastAsia" w:ascii="宋体" w:hAnsi="宋体"/>
        </w:rPr>
        <w:t>各等级对应的评价得分</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2DC5F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4CF144D8">
            <w:pPr>
              <w:jc w:val="center"/>
              <w:rPr>
                <w:rFonts w:ascii="宋体" w:hAnsi="宋体"/>
              </w:rPr>
            </w:pPr>
            <w:r>
              <w:rPr>
                <w:rFonts w:hint="eastAsia" w:ascii="宋体" w:hAnsi="宋体"/>
              </w:rPr>
              <w:t>等级</w:t>
            </w:r>
          </w:p>
        </w:tc>
        <w:tc>
          <w:tcPr>
            <w:tcW w:w="4672" w:type="dxa"/>
            <w:vAlign w:val="center"/>
          </w:tcPr>
          <w:p w14:paraId="74EA248D">
            <w:pPr>
              <w:jc w:val="center"/>
              <w:rPr>
                <w:rFonts w:ascii="宋体" w:hAnsi="宋体"/>
              </w:rPr>
            </w:pPr>
            <w:r>
              <w:rPr>
                <w:rFonts w:hint="eastAsia" w:ascii="宋体" w:hAnsi="宋体"/>
              </w:rPr>
              <w:t>评价得分（s）</w:t>
            </w:r>
          </w:p>
        </w:tc>
      </w:tr>
      <w:tr w14:paraId="256F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7DE584DD">
            <w:pPr>
              <w:jc w:val="center"/>
              <w:rPr>
                <w:rFonts w:ascii="宋体" w:hAnsi="宋体"/>
              </w:rPr>
            </w:pPr>
            <w:r>
              <w:rPr>
                <w:rFonts w:hint="eastAsia" w:ascii="宋体" w:hAnsi="宋体"/>
              </w:rPr>
              <w:t>AAAAA</w:t>
            </w:r>
          </w:p>
        </w:tc>
        <w:tc>
          <w:tcPr>
            <w:tcW w:w="4672" w:type="dxa"/>
            <w:vAlign w:val="center"/>
          </w:tcPr>
          <w:p w14:paraId="14EBD807">
            <w:pPr>
              <w:jc w:val="center"/>
              <w:rPr>
                <w:rFonts w:ascii="宋体" w:hAnsi="宋体"/>
              </w:rPr>
            </w:pPr>
            <w:r>
              <w:rPr>
                <w:rFonts w:ascii="宋体" w:hAnsi="宋体"/>
              </w:rPr>
              <w:t>S</w:t>
            </w:r>
            <w:r>
              <w:rPr>
                <w:rFonts w:hint="eastAsia" w:ascii="宋体" w:hAnsi="宋体"/>
              </w:rPr>
              <w:t>≥9</w:t>
            </w:r>
            <w:r>
              <w:rPr>
                <w:rFonts w:ascii="宋体" w:hAnsi="宋体"/>
              </w:rPr>
              <w:t>0</w:t>
            </w:r>
          </w:p>
        </w:tc>
      </w:tr>
      <w:tr w14:paraId="5BB65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22170ABB">
            <w:pPr>
              <w:jc w:val="center"/>
              <w:rPr>
                <w:rFonts w:ascii="宋体" w:hAnsi="宋体"/>
              </w:rPr>
            </w:pPr>
            <w:r>
              <w:rPr>
                <w:rFonts w:hint="eastAsia" w:ascii="宋体" w:hAnsi="宋体"/>
              </w:rPr>
              <w:t>AAAA</w:t>
            </w:r>
          </w:p>
        </w:tc>
        <w:tc>
          <w:tcPr>
            <w:tcW w:w="4672" w:type="dxa"/>
            <w:vAlign w:val="center"/>
          </w:tcPr>
          <w:p w14:paraId="20A7C00C">
            <w:pPr>
              <w:jc w:val="center"/>
              <w:rPr>
                <w:rFonts w:ascii="宋体" w:hAnsi="宋体"/>
              </w:rPr>
            </w:pPr>
            <w:r>
              <w:rPr>
                <w:rFonts w:hint="eastAsia" w:ascii="宋体" w:hAnsi="宋体"/>
              </w:rPr>
              <w:t>8</w:t>
            </w:r>
            <w:r>
              <w:rPr>
                <w:rFonts w:ascii="宋体" w:hAnsi="宋体"/>
              </w:rPr>
              <w:t>0</w:t>
            </w:r>
            <w:r>
              <w:rPr>
                <w:rFonts w:hint="eastAsia" w:ascii="宋体" w:hAnsi="宋体"/>
              </w:rPr>
              <w:t>≤</w:t>
            </w:r>
            <w:r>
              <w:rPr>
                <w:rFonts w:ascii="宋体" w:hAnsi="宋体"/>
              </w:rPr>
              <w:t>s</w:t>
            </w:r>
            <w:r>
              <w:rPr>
                <w:rFonts w:hint="eastAsia" w:ascii="宋体" w:hAnsi="宋体"/>
              </w:rPr>
              <w:t>＜9</w:t>
            </w:r>
            <w:r>
              <w:rPr>
                <w:rFonts w:ascii="宋体" w:hAnsi="宋体"/>
              </w:rPr>
              <w:t>0</w:t>
            </w:r>
          </w:p>
        </w:tc>
      </w:tr>
      <w:tr w14:paraId="6A1F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702ACE24">
            <w:pPr>
              <w:jc w:val="center"/>
              <w:rPr>
                <w:rFonts w:ascii="宋体" w:hAnsi="宋体"/>
              </w:rPr>
            </w:pPr>
            <w:r>
              <w:rPr>
                <w:rFonts w:hint="eastAsia" w:ascii="宋体" w:hAnsi="宋体"/>
              </w:rPr>
              <w:t>AAA</w:t>
            </w:r>
          </w:p>
        </w:tc>
        <w:tc>
          <w:tcPr>
            <w:tcW w:w="4672" w:type="dxa"/>
            <w:vAlign w:val="center"/>
          </w:tcPr>
          <w:p w14:paraId="75C694E8">
            <w:pPr>
              <w:jc w:val="center"/>
              <w:rPr>
                <w:rFonts w:ascii="宋体" w:hAnsi="宋体"/>
              </w:rPr>
            </w:pPr>
            <w:r>
              <w:rPr>
                <w:rFonts w:ascii="宋体" w:hAnsi="宋体"/>
              </w:rPr>
              <w:t>70</w:t>
            </w:r>
            <w:r>
              <w:rPr>
                <w:rFonts w:hint="eastAsia" w:ascii="宋体" w:hAnsi="宋体"/>
              </w:rPr>
              <w:t>≤</w:t>
            </w:r>
            <w:r>
              <w:rPr>
                <w:rFonts w:ascii="宋体" w:hAnsi="宋体"/>
              </w:rPr>
              <w:t>s</w:t>
            </w:r>
            <w:r>
              <w:rPr>
                <w:rFonts w:hint="eastAsia" w:ascii="宋体" w:hAnsi="宋体"/>
              </w:rPr>
              <w:t>＜</w:t>
            </w:r>
            <w:r>
              <w:rPr>
                <w:rFonts w:ascii="宋体" w:hAnsi="宋体"/>
              </w:rPr>
              <w:t>80</w:t>
            </w:r>
          </w:p>
        </w:tc>
      </w:tr>
      <w:tr w14:paraId="688F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6C3F29B9">
            <w:pPr>
              <w:jc w:val="center"/>
              <w:rPr>
                <w:rFonts w:ascii="宋体" w:hAnsi="宋体"/>
              </w:rPr>
            </w:pPr>
            <w:r>
              <w:rPr>
                <w:rFonts w:hint="eastAsia" w:ascii="宋体" w:hAnsi="宋体"/>
              </w:rPr>
              <w:t>AA</w:t>
            </w:r>
          </w:p>
        </w:tc>
        <w:tc>
          <w:tcPr>
            <w:tcW w:w="4672" w:type="dxa"/>
            <w:vAlign w:val="center"/>
          </w:tcPr>
          <w:p w14:paraId="7C4CB75E">
            <w:pPr>
              <w:jc w:val="center"/>
              <w:rPr>
                <w:rFonts w:ascii="宋体" w:hAnsi="宋体"/>
              </w:rPr>
            </w:pPr>
            <w:r>
              <w:rPr>
                <w:rFonts w:ascii="宋体" w:hAnsi="宋体"/>
              </w:rPr>
              <w:t>60</w:t>
            </w:r>
            <w:r>
              <w:rPr>
                <w:rFonts w:hint="eastAsia" w:ascii="宋体" w:hAnsi="宋体"/>
              </w:rPr>
              <w:t>≤</w:t>
            </w:r>
            <w:r>
              <w:rPr>
                <w:rFonts w:ascii="宋体" w:hAnsi="宋体"/>
              </w:rPr>
              <w:t>s</w:t>
            </w:r>
            <w:r>
              <w:rPr>
                <w:rFonts w:hint="eastAsia" w:ascii="宋体" w:hAnsi="宋体"/>
              </w:rPr>
              <w:t>＜</w:t>
            </w:r>
            <w:r>
              <w:rPr>
                <w:rFonts w:ascii="宋体" w:hAnsi="宋体"/>
              </w:rPr>
              <w:t>70</w:t>
            </w:r>
          </w:p>
        </w:tc>
      </w:tr>
      <w:tr w14:paraId="6A2C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0A026B6E">
            <w:pPr>
              <w:jc w:val="center"/>
              <w:rPr>
                <w:rFonts w:ascii="宋体" w:hAnsi="宋体"/>
              </w:rPr>
            </w:pPr>
            <w:r>
              <w:rPr>
                <w:rFonts w:hint="eastAsia" w:ascii="宋体" w:hAnsi="宋体"/>
              </w:rPr>
              <w:t>A</w:t>
            </w:r>
          </w:p>
        </w:tc>
        <w:tc>
          <w:tcPr>
            <w:tcW w:w="4672" w:type="dxa"/>
            <w:vAlign w:val="center"/>
          </w:tcPr>
          <w:p w14:paraId="6B2931D3">
            <w:pPr>
              <w:jc w:val="center"/>
              <w:rPr>
                <w:rFonts w:ascii="宋体" w:hAnsi="宋体"/>
              </w:rPr>
            </w:pPr>
            <w:r>
              <w:rPr>
                <w:rFonts w:ascii="宋体" w:hAnsi="宋体"/>
              </w:rPr>
              <w:t>50</w:t>
            </w:r>
            <w:r>
              <w:rPr>
                <w:rFonts w:hint="eastAsia" w:ascii="宋体" w:hAnsi="宋体"/>
              </w:rPr>
              <w:t>≤</w:t>
            </w:r>
            <w:r>
              <w:rPr>
                <w:rFonts w:ascii="宋体" w:hAnsi="宋体"/>
              </w:rPr>
              <w:t>s</w:t>
            </w:r>
            <w:r>
              <w:rPr>
                <w:rFonts w:hint="eastAsia" w:ascii="宋体" w:hAnsi="宋体"/>
              </w:rPr>
              <w:t>＜6</w:t>
            </w:r>
            <w:r>
              <w:rPr>
                <w:rFonts w:ascii="宋体" w:hAnsi="宋体"/>
              </w:rPr>
              <w:t>0</w:t>
            </w:r>
          </w:p>
        </w:tc>
      </w:tr>
    </w:tbl>
    <w:p w14:paraId="2D8BF4B0">
      <w:pPr>
        <w:rPr>
          <w:rFonts w:ascii="宋体" w:hAnsi="宋体"/>
        </w:rPr>
      </w:pPr>
      <w:r>
        <w:rPr>
          <w:rFonts w:hint="eastAsia" w:ascii="宋体" w:hAnsi="宋体"/>
        </w:rPr>
        <w:t>7.2 可根据社区居家养老服务专业类别特点,限定单项指标最低得分为7</w:t>
      </w:r>
      <w:r>
        <w:rPr>
          <w:rFonts w:ascii="宋体" w:hAnsi="宋体"/>
        </w:rPr>
        <w:t>0</w:t>
      </w:r>
      <w:r>
        <w:rPr>
          <w:rFonts w:hint="eastAsia" w:ascii="宋体" w:hAnsi="宋体"/>
        </w:rPr>
        <w:t>分，低于7</w:t>
      </w:r>
      <w:r>
        <w:rPr>
          <w:rFonts w:ascii="宋体" w:hAnsi="宋体"/>
        </w:rPr>
        <w:t>0</w:t>
      </w:r>
      <w:r>
        <w:rPr>
          <w:rFonts w:hint="eastAsia" w:ascii="宋体" w:hAnsi="宋体"/>
        </w:rPr>
        <w:t>分时不予评价；</w:t>
      </w:r>
    </w:p>
    <w:p w14:paraId="13522BCA">
      <w:pPr>
        <w:rPr>
          <w:rFonts w:ascii="宋体" w:hAnsi="宋体"/>
        </w:rPr>
      </w:pPr>
      <w:r>
        <w:rPr>
          <w:rFonts w:hint="eastAsia" w:ascii="宋体" w:hAnsi="宋体"/>
        </w:rPr>
        <w:t>7</w:t>
      </w:r>
      <w:r>
        <w:rPr>
          <w:rFonts w:ascii="宋体" w:hAnsi="宋体"/>
        </w:rPr>
        <w:t xml:space="preserve">.3 </w:t>
      </w:r>
      <w:r>
        <w:rPr>
          <w:rFonts w:hint="eastAsia" w:ascii="宋体" w:hAnsi="宋体"/>
        </w:rPr>
        <w:t>管理能力评价和服务特性测评分值，两者相较取低分对照表3得出对应的等级。</w:t>
      </w:r>
    </w:p>
    <w:p w14:paraId="6FEF8390">
      <w:pPr>
        <w:rPr>
          <w:rFonts w:ascii="宋体" w:hAnsi="宋体"/>
        </w:rPr>
      </w:pPr>
    </w:p>
    <w:p w14:paraId="4DAE9367">
      <w:pPr>
        <w:rPr>
          <w:rFonts w:ascii="宋体" w:hAnsi="宋体"/>
        </w:rPr>
      </w:pPr>
    </w:p>
    <w:p w14:paraId="00F278BE">
      <w:pPr>
        <w:rPr>
          <w:rFonts w:ascii="宋体" w:hAnsi="宋体"/>
        </w:rPr>
      </w:pPr>
    </w:p>
    <w:p w14:paraId="549B1E14">
      <w:pPr>
        <w:rPr>
          <w:rFonts w:ascii="宋体" w:hAnsi="宋体"/>
        </w:rPr>
      </w:pPr>
    </w:p>
    <w:p w14:paraId="54114617">
      <w:pPr>
        <w:rPr>
          <w:rFonts w:ascii="宋体" w:hAnsi="宋体"/>
        </w:rPr>
      </w:pPr>
    </w:p>
    <w:p w14:paraId="72613B0C">
      <w:pPr>
        <w:rPr>
          <w:rFonts w:ascii="宋体" w:hAnsi="宋体"/>
        </w:rPr>
      </w:pPr>
    </w:p>
    <w:p w14:paraId="3AB197AA">
      <w:pPr>
        <w:rPr>
          <w:rFonts w:ascii="宋体" w:hAnsi="宋体"/>
        </w:rPr>
      </w:pPr>
    </w:p>
    <w:p w14:paraId="210D133A">
      <w:pPr>
        <w:pStyle w:val="106"/>
        <w:numPr>
          <w:ilvl w:val="0"/>
          <w:numId w:val="0"/>
        </w:numPr>
        <w:spacing w:before="312" w:after="312"/>
        <w:jc w:val="center"/>
        <w:rPr>
          <w:rFonts w:hAnsi="黑体"/>
          <w:sz w:val="28"/>
          <w:szCs w:val="28"/>
        </w:rPr>
      </w:pPr>
      <w:bookmarkStart w:id="55" w:name="_Toc186446327"/>
      <w:r>
        <w:rPr>
          <w:rFonts w:hint="eastAsia" w:hAnsi="黑体"/>
          <w:sz w:val="28"/>
          <w:szCs w:val="28"/>
        </w:rPr>
        <w:t>附录A</w:t>
      </w:r>
      <w:bookmarkEnd w:id="55"/>
    </w:p>
    <w:p w14:paraId="2BA355A8">
      <w:pPr>
        <w:jc w:val="center"/>
        <w:rPr>
          <w:b/>
          <w:bCs/>
        </w:rPr>
      </w:pPr>
      <w:r>
        <w:rPr>
          <w:rFonts w:hint="eastAsia"/>
          <w:b/>
          <w:bCs/>
        </w:rPr>
        <w:t>（资料性附录）</w:t>
      </w:r>
    </w:p>
    <w:p w14:paraId="24C7747A">
      <w:pPr>
        <w:pStyle w:val="4"/>
        <w:jc w:val="center"/>
        <w:rPr>
          <w:rFonts w:ascii="黑体" w:hAnsi="黑体"/>
          <w:sz w:val="24"/>
          <w:szCs w:val="24"/>
        </w:rPr>
      </w:pPr>
      <w:bookmarkStart w:id="56" w:name="_Toc186446328"/>
      <w:r>
        <w:rPr>
          <w:rFonts w:hint="eastAsia" w:ascii="黑体" w:hAnsi="黑体"/>
          <w:sz w:val="24"/>
          <w:szCs w:val="24"/>
        </w:rPr>
        <w:t>社区居家养老服务内容与要求</w:t>
      </w:r>
      <w:bookmarkEnd w:id="56"/>
    </w:p>
    <w:p w14:paraId="529D2984">
      <w:pPr>
        <w:rPr>
          <w:rFonts w:ascii="黑体" w:hAnsi="黑体"/>
          <w:sz w:val="24"/>
          <w:szCs w:val="24"/>
        </w:rPr>
      </w:pPr>
      <w:r>
        <w:rPr>
          <w:rFonts w:ascii="黑体" w:hAnsi="黑体"/>
          <w:sz w:val="24"/>
          <w:szCs w:val="24"/>
        </w:rPr>
        <w:t>A.1 生活照料</w:t>
      </w:r>
      <w:r>
        <w:rPr>
          <w:rFonts w:hint="eastAsia" w:ascii="黑体" w:hAnsi="黑体"/>
          <w:sz w:val="24"/>
          <w:szCs w:val="24"/>
        </w:rPr>
        <w:t>服务</w:t>
      </w:r>
    </w:p>
    <w:p w14:paraId="4D446A1E">
      <w:pPr>
        <w:rPr>
          <w:rFonts w:ascii="宋体" w:hAnsi="宋体"/>
        </w:rPr>
      </w:pPr>
      <w:r>
        <w:rPr>
          <w:rFonts w:ascii="黑体" w:hAnsi="黑体" w:eastAsia="黑体"/>
        </w:rPr>
        <w:t>A.1.1</w:t>
      </w:r>
      <w:r>
        <w:rPr>
          <w:rFonts w:hint="eastAsia" w:ascii="宋体" w:hAnsi="宋体"/>
        </w:rPr>
        <w:t>生活照料服务宜包括但不限于以下主要内容：</w:t>
      </w:r>
    </w:p>
    <w:p w14:paraId="6A920C4D">
      <w:pPr>
        <w:ind w:firstLine="630" w:firstLineChars="300"/>
        <w:rPr>
          <w:rFonts w:ascii="宋体" w:hAnsi="宋体"/>
        </w:rPr>
      </w:pPr>
      <w:r>
        <w:rPr>
          <w:rFonts w:hint="eastAsia" w:ascii="宋体" w:hAnsi="宋体"/>
        </w:rPr>
        <w:t>——生活护理，包括个人卫生护理、生活起居护理；</w:t>
      </w:r>
    </w:p>
    <w:p w14:paraId="3C980772">
      <w:pPr>
        <w:ind w:firstLine="630" w:firstLineChars="300"/>
        <w:rPr>
          <w:rFonts w:ascii="宋体" w:hAnsi="宋体"/>
        </w:rPr>
      </w:pPr>
      <w:r>
        <w:rPr>
          <w:rFonts w:hint="eastAsia" w:ascii="宋体" w:hAnsi="宋体"/>
        </w:rPr>
        <w:t>——</w:t>
      </w:r>
      <w:r>
        <w:rPr>
          <w:rFonts w:ascii="宋体" w:hAnsi="宋体"/>
        </w:rPr>
        <w:t>助餐服务</w:t>
      </w:r>
      <w:r>
        <w:rPr>
          <w:rFonts w:hint="eastAsia" w:ascii="宋体" w:hAnsi="宋体"/>
        </w:rPr>
        <w:t>，包括集中用餐、上门送餐等</w:t>
      </w:r>
      <w:r>
        <w:rPr>
          <w:rFonts w:ascii="宋体" w:hAnsi="宋体"/>
        </w:rPr>
        <w:t>:</w:t>
      </w:r>
    </w:p>
    <w:p w14:paraId="32826FBD">
      <w:pPr>
        <w:ind w:left="420" w:leftChars="200" w:firstLine="210" w:firstLineChars="100"/>
        <w:rPr>
          <w:rFonts w:ascii="宋体" w:hAnsi="宋体"/>
        </w:rPr>
      </w:pPr>
      <w:r>
        <w:rPr>
          <w:rFonts w:hint="eastAsia" w:ascii="宋体" w:hAnsi="宋体"/>
        </w:rPr>
        <w:t>——助洁服务，包括</w:t>
      </w:r>
      <w:r>
        <w:rPr>
          <w:rFonts w:ascii="宋体" w:hAnsi="宋体"/>
        </w:rPr>
        <w:t>居室清洁服务</w:t>
      </w:r>
      <w:r>
        <w:rPr>
          <w:rFonts w:hint="eastAsia" w:ascii="宋体" w:hAnsi="宋体"/>
        </w:rPr>
        <w:t>和</w:t>
      </w:r>
      <w:r>
        <w:rPr>
          <w:rFonts w:ascii="宋体" w:hAnsi="宋体"/>
        </w:rPr>
        <w:t>专项清洁服务</w:t>
      </w:r>
      <w:r>
        <w:rPr>
          <w:rFonts w:hint="eastAsia" w:ascii="宋体" w:hAnsi="宋体"/>
        </w:rPr>
        <w:t>；</w:t>
      </w:r>
    </w:p>
    <w:p w14:paraId="072174C9">
      <w:pPr>
        <w:ind w:firstLine="630" w:firstLineChars="300"/>
        <w:rPr>
          <w:rFonts w:ascii="宋体" w:hAnsi="宋体"/>
        </w:rPr>
      </w:pPr>
      <w:r>
        <w:rPr>
          <w:rFonts w:hint="eastAsia" w:ascii="宋体" w:hAnsi="宋体"/>
        </w:rPr>
        <w:t>——助浴服务，包括上门助浴、协助前往老年人助浴点进行身体清洁等；</w:t>
      </w:r>
    </w:p>
    <w:p w14:paraId="31559F2C">
      <w:pPr>
        <w:ind w:firstLine="630" w:firstLineChars="300"/>
        <w:rPr>
          <w:rFonts w:ascii="宋体" w:hAnsi="宋体"/>
        </w:rPr>
      </w:pPr>
      <w:r>
        <w:rPr>
          <w:rFonts w:hint="eastAsia" w:ascii="宋体" w:hAnsi="宋体"/>
        </w:rPr>
        <w:t>——助医服务，包括陪同就医、治疗陪伴等</w:t>
      </w:r>
      <w:r>
        <w:rPr>
          <w:rFonts w:ascii="宋体" w:hAnsi="宋体"/>
        </w:rPr>
        <w:t>;</w:t>
      </w:r>
    </w:p>
    <w:p w14:paraId="7D1A57F9">
      <w:pPr>
        <w:ind w:firstLine="630" w:firstLineChars="300"/>
        <w:rPr>
          <w:rFonts w:ascii="宋体" w:hAnsi="宋体"/>
        </w:rPr>
      </w:pPr>
      <w:r>
        <w:rPr>
          <w:rFonts w:hint="eastAsia" w:ascii="宋体" w:hAnsi="宋体"/>
        </w:rPr>
        <w:t>——助急服务，包括紧急呼叫受理、紧急转介等；</w:t>
      </w:r>
    </w:p>
    <w:p w14:paraId="40D85B93">
      <w:pPr>
        <w:ind w:firstLine="630" w:firstLineChars="300"/>
        <w:rPr>
          <w:rFonts w:ascii="宋体" w:hAnsi="宋体"/>
        </w:rPr>
      </w:pPr>
      <w:r>
        <w:rPr>
          <w:rFonts w:hint="eastAsia" w:ascii="宋体" w:hAnsi="宋体"/>
        </w:rPr>
        <w:t>——助行服务，包括协助行走、陪同外出等。</w:t>
      </w:r>
    </w:p>
    <w:p w14:paraId="37F51BEE">
      <w:pPr>
        <w:rPr>
          <w:rFonts w:ascii="宋体" w:hAnsi="宋体"/>
          <w:sz w:val="24"/>
          <w:szCs w:val="24"/>
        </w:rPr>
      </w:pPr>
      <w:r>
        <w:rPr>
          <w:rFonts w:hint="eastAsia" w:ascii="宋体" w:hAnsi="宋体"/>
          <w:sz w:val="24"/>
          <w:szCs w:val="24"/>
        </w:rPr>
        <w:t>A.</w:t>
      </w:r>
      <w:r>
        <w:rPr>
          <w:rFonts w:ascii="宋体" w:hAnsi="宋体"/>
          <w:sz w:val="24"/>
          <w:szCs w:val="24"/>
        </w:rPr>
        <w:t>1.2</w:t>
      </w:r>
      <w:r>
        <w:rPr>
          <w:rFonts w:hint="eastAsia" w:ascii="宋体" w:hAnsi="宋体"/>
          <w:sz w:val="24"/>
          <w:szCs w:val="24"/>
        </w:rPr>
        <w:t>生活照料服务的要求</w:t>
      </w:r>
    </w:p>
    <w:p w14:paraId="0A30932B">
      <w:r>
        <w:rPr>
          <w:rFonts w:hint="eastAsia"/>
        </w:rPr>
        <w:t>生活照料服务的要求包括但不限于：</w:t>
      </w:r>
    </w:p>
    <w:p w14:paraId="30A3A573">
      <w:r>
        <w:rPr>
          <w:rFonts w:hint="eastAsia"/>
        </w:rPr>
        <w:t>a</w:t>
      </w:r>
      <w:r>
        <w:t xml:space="preserve"> ) </w:t>
      </w:r>
      <w:r>
        <w:rPr>
          <w:rFonts w:hint="eastAsia" w:ascii="宋体" w:hAnsi="宋体"/>
        </w:rPr>
        <w:t>生活护理：</w:t>
      </w:r>
    </w:p>
    <w:p w14:paraId="0F3C790D">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——协助老人进行洗漱等个人卫生护理，应做到容貌整洁、衣着适度、指（趾）甲整洁、无异味。</w:t>
      </w:r>
    </w:p>
    <w:p w14:paraId="7CD06550">
      <w:pPr>
        <w:pStyle w:val="26"/>
        <w:spacing w:before="0" w:beforeAutospacing="0" w:after="150" w:afterAutospacing="0"/>
        <w:ind w:firstLine="420" w:firstLineChars="200"/>
        <w:rPr>
          <w:rFonts w:ascii="Calibri" w:hAnsi="Calibri" w:cs="Times New Roman"/>
          <w:kern w:val="2"/>
          <w:sz w:val="21"/>
          <w:szCs w:val="21"/>
        </w:rPr>
      </w:pPr>
      <w:r>
        <w:rPr>
          <w:rFonts w:hint="eastAsia" w:ascii="Calibri" w:hAnsi="Calibri" w:cs="Times New Roman"/>
          <w:kern w:val="2"/>
          <w:sz w:val="21"/>
          <w:szCs w:val="21"/>
        </w:rPr>
        <w:t>——协助老人饮食，用餐前老年人和服务人员须洗手，应根据老人的不同身体状态，提供相应的协助服务，如有咀嚼和吞咽功能障碍的老年人，要将食物切碎、搅拌等，确保老年人有充分时间咀嚼吞服，防止呛噎。</w:t>
      </w:r>
    </w:p>
    <w:p w14:paraId="5198544B">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——协助老人如厕时，应根据老人的身体状况，提供相应的协助完成相应的应协助到位，应保持老人皮肤清洁干燥，衣物无污迹，环境无污染，同时保护老人隐私。</w:t>
      </w:r>
    </w:p>
    <w:p w14:paraId="533BBCF8">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——定期翻晒、更换床上用品，保持床铺清洁、平整。</w:t>
      </w:r>
    </w:p>
    <w:p w14:paraId="2DF94350">
      <w:pPr>
        <w:pStyle w:val="26"/>
        <w:spacing w:before="0" w:beforeAutospacing="0" w:after="150" w:afterAutospacing="0"/>
        <w:ind w:firstLine="480"/>
      </w:pPr>
      <w:r>
        <w:rPr>
          <w:rFonts w:hint="eastAsia" w:ascii="Calibri" w:hAnsi="Calibri" w:cs="Times New Roman"/>
          <w:kern w:val="2"/>
          <w:sz w:val="21"/>
          <w:szCs w:val="21"/>
        </w:rPr>
        <w:t>——用于生活护理的个人用具应保持清洁。</w:t>
      </w:r>
    </w:p>
    <w:p w14:paraId="086DBA66">
      <w:r>
        <w:rPr>
          <w:rFonts w:hint="eastAsia"/>
        </w:rPr>
        <w:t>b）助餐服务：</w:t>
      </w:r>
    </w:p>
    <w:p w14:paraId="646AAE7B">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——符合国家和常州市食品安全法律法规的规定；</w:t>
      </w:r>
    </w:p>
    <w:p w14:paraId="3E8F5FF7">
      <w:pPr>
        <w:ind w:left="420" w:leftChars="200"/>
        <w:rPr>
          <w:rFonts w:ascii="宋体" w:hAnsi="宋体"/>
        </w:rPr>
      </w:pPr>
      <w:r>
        <w:rPr>
          <w:rFonts w:hint="eastAsia"/>
        </w:rPr>
        <w:t>——</w:t>
      </w:r>
      <w:r>
        <w:rPr>
          <w:rFonts w:ascii="宋体" w:hAnsi="宋体"/>
        </w:rPr>
        <w:t xml:space="preserve">应根据老年人需求、地域特点、民族、宗教习惯制定菜谱并公开。 </w:t>
      </w:r>
    </w:p>
    <w:p w14:paraId="46145B0F">
      <w:pPr>
        <w:ind w:left="420" w:leftChars="200"/>
        <w:rPr>
          <w:rFonts w:ascii="宋体" w:hAnsi="宋体"/>
          <w:sz w:val="18"/>
          <w:szCs w:val="18"/>
        </w:rPr>
      </w:pPr>
      <w:r>
        <w:rPr>
          <w:rFonts w:ascii="宋体" w:hAnsi="宋体"/>
          <w:sz w:val="18"/>
          <w:szCs w:val="18"/>
        </w:rPr>
        <w:t xml:space="preserve">注：老年人的食物选择参考WS/T 556—2017中第5章的要求。 </w:t>
      </w:r>
    </w:p>
    <w:p w14:paraId="3F773A74">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——提前一周为用餐老人预订膳食；</w:t>
      </w:r>
    </w:p>
    <w:p w14:paraId="1A4C9F95">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——助餐服务点应配置符合老年人特点的无障碍设施，就餐环境有序、清洁卫生，无安全隐患；</w:t>
      </w:r>
    </w:p>
    <w:p w14:paraId="2709DE71">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——送餐服务，饮食应满足保温、保鲜、密闭、防止细菌滋生等餐饮要求；运输工具应保持清洁卫生，保证及时、准确、安全送达；餐具做到每餐消毒。</w:t>
      </w:r>
    </w:p>
    <w:p w14:paraId="0001B21F">
      <w:r>
        <w:rPr>
          <w:rFonts w:hint="eastAsia"/>
        </w:rPr>
        <w:t>c）助洁服务：</w:t>
      </w:r>
    </w:p>
    <w:p w14:paraId="21D1B936">
      <w:pPr>
        <w:ind w:firstLine="420" w:firstLineChars="200"/>
        <w:rPr>
          <w:rFonts w:ascii="宋体" w:hAnsi="宋体"/>
        </w:rPr>
      </w:pPr>
      <w:r>
        <w:rPr>
          <w:rFonts w:hint="eastAsia"/>
        </w:rPr>
        <w:t>——</w:t>
      </w:r>
      <w:r>
        <w:rPr>
          <w:rFonts w:ascii="宋体" w:hAnsi="宋体"/>
        </w:rPr>
        <w:t>室内清洁作业时，应设置安全提示，按照清洁服务</w:t>
      </w:r>
      <w:r>
        <w:rPr>
          <w:rFonts w:hint="eastAsia" w:ascii="宋体" w:hAnsi="宋体"/>
        </w:rPr>
        <w:t>的内容及要求进行；</w:t>
      </w:r>
    </w:p>
    <w:p w14:paraId="719033E2">
      <w:pPr>
        <w:pStyle w:val="26"/>
        <w:spacing w:before="0" w:beforeAutospacing="0" w:after="150" w:afterAutospacing="0"/>
        <w:ind w:firstLine="420" w:firstLineChars="200"/>
        <w:rPr>
          <w:rFonts w:ascii="Calibri" w:hAnsi="Calibri" w:cs="Times New Roman"/>
          <w:kern w:val="2"/>
          <w:sz w:val="21"/>
          <w:szCs w:val="21"/>
        </w:rPr>
      </w:pPr>
      <w:r>
        <w:rPr>
          <w:rFonts w:hint="eastAsia" w:ascii="Calibri" w:hAnsi="Calibri" w:cs="Times New Roman"/>
          <w:kern w:val="2"/>
          <w:sz w:val="21"/>
          <w:szCs w:val="21"/>
        </w:rPr>
        <w:t>——居室保洁服务时应满足包括但不限于以下要求：</w:t>
      </w:r>
    </w:p>
    <w:p w14:paraId="02A18B43">
      <w:pPr>
        <w:pStyle w:val="26"/>
        <w:spacing w:before="0" w:beforeAutospacing="0" w:after="150" w:afterAutospacing="0"/>
        <w:ind w:left="690"/>
        <w:rPr>
          <w:rFonts w:ascii="Calibri" w:hAnsi="Calibri" w:cs="Times New Roman"/>
          <w:kern w:val="2"/>
          <w:sz w:val="21"/>
          <w:szCs w:val="21"/>
        </w:rPr>
      </w:pPr>
      <w:r>
        <w:rPr>
          <w:rFonts w:ascii="Calibri" w:hAnsi="Calibri" w:cs="Times New Roman"/>
          <w:kern w:val="2"/>
          <w:sz w:val="21"/>
          <w:szCs w:val="21"/>
          <w:highlight w:val="lightGray"/>
        </w:rPr>
        <w:fldChar w:fldCharType="begin"/>
      </w:r>
      <w:r>
        <w:rPr>
          <w:rFonts w:hint="eastAsia" w:ascii="Calibri" w:hAnsi="Calibri" w:cs="Times New Roman"/>
          <w:kern w:val="2"/>
          <w:sz w:val="21"/>
          <w:szCs w:val="21"/>
          <w:highlight w:val="lightGray"/>
        </w:rPr>
        <w:instrText xml:space="preserve">= 1 \* GB3</w:instrText>
      </w:r>
      <w:r>
        <w:rPr>
          <w:rFonts w:ascii="Calibri" w:hAnsi="Calibri" w:cs="Times New Roman"/>
          <w:kern w:val="2"/>
          <w:sz w:val="21"/>
          <w:szCs w:val="21"/>
          <w:highlight w:val="lightGray"/>
        </w:rPr>
        <w:fldChar w:fldCharType="separate"/>
      </w:r>
      <w:r>
        <w:rPr>
          <w:rFonts w:hint="eastAsia" w:ascii="Calibri" w:hAnsi="Calibri" w:cs="Times New Roman"/>
          <w:kern w:val="2"/>
          <w:sz w:val="21"/>
          <w:szCs w:val="21"/>
          <w:highlight w:val="lightGray"/>
        </w:rPr>
        <w:t>①</w:t>
      </w:r>
      <w:r>
        <w:rPr>
          <w:rFonts w:ascii="Calibri" w:hAnsi="Calibri" w:cs="Times New Roman"/>
          <w:kern w:val="2"/>
          <w:sz w:val="21"/>
          <w:szCs w:val="21"/>
          <w:highlight w:val="lightGray"/>
        </w:rPr>
        <w:fldChar w:fldCharType="end"/>
      </w:r>
      <w:r>
        <w:rPr>
          <w:rFonts w:hint="eastAsia" w:ascii="Calibri" w:hAnsi="Calibri" w:cs="Times New Roman"/>
          <w:kern w:val="2"/>
          <w:sz w:val="21"/>
          <w:szCs w:val="21"/>
        </w:rPr>
        <w:t>卧室、客厅整洁，地面洁净，无水渍、污渍，垃圾篓外观干净，篓内无垃圾；</w:t>
      </w:r>
    </w:p>
    <w:p w14:paraId="7F77F806">
      <w:pPr>
        <w:pStyle w:val="26"/>
        <w:spacing w:before="0" w:beforeAutospacing="0" w:after="150" w:afterAutospacing="0"/>
        <w:ind w:left="210" w:leftChars="100" w:firstLine="480"/>
        <w:rPr>
          <w:rFonts w:ascii="Calibri" w:hAnsi="Calibri" w:cs="Times New Roman"/>
          <w:kern w:val="2"/>
          <w:sz w:val="21"/>
          <w:szCs w:val="21"/>
        </w:rPr>
      </w:pPr>
      <w:r>
        <w:rPr>
          <w:rFonts w:hint="eastAsia" w:ascii="Calibri" w:hAnsi="Calibri" w:cs="Times New Roman"/>
          <w:kern w:val="2"/>
          <w:sz w:val="21"/>
          <w:szCs w:val="21"/>
        </w:rPr>
        <w:t>②厨房洁净，抽油烟机外表无油污；</w:t>
      </w:r>
    </w:p>
    <w:p w14:paraId="451781A3">
      <w:pPr>
        <w:pStyle w:val="26"/>
        <w:spacing w:before="0" w:beforeAutospacing="0" w:after="150" w:afterAutospacing="0"/>
        <w:ind w:left="210" w:leftChars="100" w:firstLine="480"/>
        <w:rPr>
          <w:rFonts w:ascii="Calibri" w:hAnsi="Calibri" w:cs="Times New Roman"/>
          <w:kern w:val="2"/>
          <w:sz w:val="21"/>
          <w:szCs w:val="21"/>
        </w:rPr>
      </w:pPr>
      <w:r>
        <w:rPr>
          <w:rFonts w:hint="eastAsia" w:ascii="Calibri" w:hAnsi="Calibri" w:cs="Times New Roman"/>
          <w:kern w:val="2"/>
          <w:sz w:val="21"/>
          <w:szCs w:val="21"/>
        </w:rPr>
        <w:t>③卫生间马桶、浴缸、面盆洁净无异味，镜面无水雾；</w:t>
      </w:r>
    </w:p>
    <w:p w14:paraId="681EDF50">
      <w:pPr>
        <w:pStyle w:val="26"/>
        <w:spacing w:before="0" w:beforeAutospacing="0" w:after="150" w:afterAutospacing="0"/>
        <w:ind w:left="210" w:leftChars="100" w:firstLine="480"/>
        <w:rPr>
          <w:rFonts w:ascii="Calibri" w:hAnsi="Calibri" w:cs="Times New Roman"/>
          <w:kern w:val="2"/>
          <w:sz w:val="21"/>
          <w:szCs w:val="21"/>
        </w:rPr>
      </w:pPr>
      <w:r>
        <w:rPr>
          <w:rFonts w:hint="eastAsia" w:ascii="Calibri" w:hAnsi="Calibri" w:cs="Times New Roman"/>
          <w:kern w:val="2"/>
          <w:sz w:val="21"/>
          <w:szCs w:val="21"/>
        </w:rPr>
        <w:t>④窗面无印痕，洁净光亮，阳台入室台阶、扶手、栏杆无灰尘；</w:t>
      </w:r>
    </w:p>
    <w:p w14:paraId="46CB7A2A">
      <w:pPr>
        <w:pStyle w:val="26"/>
        <w:spacing w:before="0" w:beforeAutospacing="0" w:after="150" w:afterAutospacing="0"/>
        <w:ind w:left="210" w:leftChars="100" w:firstLine="480"/>
        <w:rPr>
          <w:rFonts w:ascii="Calibri" w:hAnsi="Calibri" w:cs="Times New Roman"/>
          <w:kern w:val="2"/>
          <w:sz w:val="21"/>
          <w:szCs w:val="21"/>
        </w:rPr>
      </w:pPr>
      <w:r>
        <w:rPr>
          <w:rFonts w:hint="eastAsia" w:ascii="Calibri" w:hAnsi="Calibri" w:cs="Times New Roman"/>
          <w:kern w:val="2"/>
          <w:sz w:val="21"/>
          <w:szCs w:val="21"/>
        </w:rPr>
        <w:t>⑤注意操作安全，踩梯作业时防止磨损地面、碰损室内的物品；</w:t>
      </w:r>
    </w:p>
    <w:p w14:paraId="000C6E2E">
      <w:pPr>
        <w:pStyle w:val="26"/>
        <w:spacing w:before="0" w:beforeAutospacing="0" w:after="150" w:afterAutospacing="0"/>
        <w:ind w:left="210" w:leftChars="100" w:firstLine="480"/>
        <w:rPr>
          <w:rFonts w:ascii="Calibri" w:hAnsi="Calibri" w:cs="Times New Roman"/>
          <w:kern w:val="2"/>
          <w:sz w:val="21"/>
          <w:szCs w:val="21"/>
        </w:rPr>
      </w:pPr>
      <w:r>
        <w:rPr>
          <w:rFonts w:hint="eastAsia" w:ascii="Calibri" w:hAnsi="Calibri" w:cs="Times New Roman"/>
          <w:kern w:val="2"/>
          <w:sz w:val="21"/>
          <w:szCs w:val="21"/>
        </w:rPr>
        <w:t>⑥清洁时应按照由里到外，由上至下的程序完成，完工后重新检查一次服务质量，防止疏漏。</w:t>
      </w:r>
    </w:p>
    <w:p w14:paraId="3F8819EB">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——专项清洁服务时应满足包括但不限于以下要求：</w:t>
      </w:r>
    </w:p>
    <w:p w14:paraId="377FD57D">
      <w:pPr>
        <w:pStyle w:val="26"/>
        <w:numPr>
          <w:ilvl w:val="0"/>
          <w:numId w:val="35"/>
        </w:numPr>
        <w:spacing w:before="0" w:beforeAutospacing="0" w:after="150" w:afterAutospacing="0"/>
        <w:rPr>
          <w:rFonts w:ascii="Calibri" w:hAnsi="Calibri" w:cs="Times New Roman"/>
          <w:kern w:val="2"/>
          <w:sz w:val="21"/>
          <w:szCs w:val="21"/>
        </w:rPr>
      </w:pPr>
      <w:r>
        <w:rPr>
          <w:rFonts w:hint="eastAsia" w:ascii="Calibri" w:hAnsi="Calibri" w:cs="Times New Roman"/>
          <w:kern w:val="2"/>
          <w:sz w:val="21"/>
          <w:szCs w:val="21"/>
        </w:rPr>
        <w:t>整理被褥、枕头、床单等床上用品，按季节及时更换被褥且翻晒，夏季凉席每日擦一次；</w:t>
      </w:r>
    </w:p>
    <w:p w14:paraId="58D75134">
      <w:pPr>
        <w:pStyle w:val="26"/>
        <w:numPr>
          <w:ilvl w:val="0"/>
          <w:numId w:val="35"/>
        </w:numPr>
        <w:spacing w:before="0" w:beforeAutospacing="0" w:after="150" w:afterAutospacing="0"/>
        <w:rPr>
          <w:rFonts w:ascii="Calibri" w:hAnsi="Calibri" w:cs="Times New Roman"/>
          <w:kern w:val="2"/>
          <w:sz w:val="21"/>
          <w:szCs w:val="21"/>
        </w:rPr>
      </w:pPr>
      <w:r>
        <w:rPr>
          <w:rFonts w:hint="eastAsia" w:ascii="Calibri" w:hAnsi="Calibri" w:cs="Times New Roman"/>
          <w:kern w:val="2"/>
          <w:sz w:val="21"/>
          <w:szCs w:val="21"/>
        </w:rPr>
        <w:t>家具表面无尘，居室物品洁净、摆放有序，沙发巾、靠枕、揽枕摆放整齐；</w:t>
      </w:r>
    </w:p>
    <w:p w14:paraId="0B82D91D">
      <w:pPr>
        <w:pStyle w:val="26"/>
        <w:numPr>
          <w:ilvl w:val="0"/>
          <w:numId w:val="35"/>
        </w:numPr>
        <w:spacing w:before="0" w:beforeAutospacing="0" w:after="150" w:afterAutospacing="0"/>
        <w:rPr>
          <w:rFonts w:ascii="Calibri" w:hAnsi="Calibri" w:cs="Times New Roman"/>
          <w:kern w:val="2"/>
          <w:sz w:val="21"/>
          <w:szCs w:val="21"/>
        </w:rPr>
      </w:pPr>
      <w:r>
        <w:rPr>
          <w:rFonts w:hint="eastAsia" w:ascii="Calibri" w:hAnsi="Calibri" w:cs="Times New Roman"/>
          <w:kern w:val="2"/>
          <w:sz w:val="21"/>
          <w:szCs w:val="21"/>
        </w:rPr>
        <w:t>清洁需移动物品时，须征得老年人或家属同意后方可移动，清洁完后第一时间将物品复原位；</w:t>
      </w:r>
    </w:p>
    <w:p w14:paraId="0D955265">
      <w:pPr>
        <w:pStyle w:val="26"/>
        <w:numPr>
          <w:ilvl w:val="0"/>
          <w:numId w:val="35"/>
        </w:numPr>
        <w:spacing w:before="0" w:beforeAutospacing="0" w:after="150" w:afterAutospacing="0"/>
        <w:ind w:left="210" w:leftChars="100" w:firstLine="480"/>
        <w:rPr>
          <w:rFonts w:ascii="Calibri" w:hAnsi="Calibri" w:cs="Times New Roman"/>
          <w:kern w:val="2"/>
          <w:sz w:val="21"/>
          <w:szCs w:val="21"/>
        </w:rPr>
      </w:pPr>
      <w:r>
        <w:rPr>
          <w:rFonts w:hint="eastAsia" w:ascii="Calibri" w:hAnsi="Calibri" w:cs="Times New Roman"/>
          <w:kern w:val="2"/>
          <w:sz w:val="21"/>
          <w:szCs w:val="21"/>
        </w:rPr>
        <w:t>卧床老人床铺整洁、平整，床单表面无碎屑；</w:t>
      </w:r>
    </w:p>
    <w:p w14:paraId="6AD74472">
      <w:pPr>
        <w:pStyle w:val="26"/>
        <w:numPr>
          <w:ilvl w:val="0"/>
          <w:numId w:val="35"/>
        </w:numPr>
        <w:spacing w:before="0" w:beforeAutospacing="0" w:after="150" w:afterAutospacing="0"/>
        <w:ind w:left="210" w:leftChars="100" w:firstLine="480"/>
        <w:rPr>
          <w:rFonts w:ascii="Calibri" w:hAnsi="Calibri" w:cs="Times New Roman"/>
          <w:kern w:val="2"/>
          <w:sz w:val="21"/>
          <w:szCs w:val="21"/>
        </w:rPr>
      </w:pPr>
      <w:r>
        <w:rPr>
          <w:rFonts w:hint="eastAsia" w:ascii="Calibri" w:hAnsi="Calibri" w:cs="Times New Roman"/>
          <w:kern w:val="2"/>
          <w:sz w:val="21"/>
          <w:szCs w:val="21"/>
        </w:rPr>
        <w:t>清洁用具及时清洗、消毒，保持清洁，老人专用设备清洁后无腐蚀、污渍。</w:t>
      </w:r>
    </w:p>
    <w:p w14:paraId="7588E6CD">
      <w:pPr>
        <w:pStyle w:val="26"/>
        <w:spacing w:after="150"/>
        <w:rPr>
          <w:rFonts w:ascii="Calibri" w:hAnsi="Calibri" w:cs="Times New Roman"/>
          <w:kern w:val="2"/>
          <w:sz w:val="21"/>
          <w:szCs w:val="21"/>
        </w:rPr>
      </w:pPr>
      <w:r>
        <w:rPr>
          <w:rFonts w:hint="eastAsia" w:ascii="Calibri" w:hAnsi="Calibri" w:cs="Times New Roman"/>
          <w:kern w:val="2"/>
          <w:sz w:val="21"/>
          <w:szCs w:val="21"/>
        </w:rPr>
        <w:t>d</w:t>
      </w:r>
      <w:r>
        <w:rPr>
          <w:rFonts w:ascii="Calibri" w:hAnsi="Calibri" w:cs="Times New Roman"/>
          <w:kern w:val="2"/>
          <w:sz w:val="21"/>
          <w:szCs w:val="21"/>
        </w:rPr>
        <w:t xml:space="preserve">) </w:t>
      </w:r>
      <w:r>
        <w:rPr>
          <w:rFonts w:hint="eastAsia" w:ascii="Calibri" w:hAnsi="Calibri" w:cs="Times New Roman"/>
          <w:kern w:val="2"/>
          <w:sz w:val="21"/>
          <w:szCs w:val="21"/>
        </w:rPr>
        <w:t>助浴服务要求：</w:t>
      </w:r>
    </w:p>
    <w:p w14:paraId="2852275C">
      <w:pPr>
        <w:pStyle w:val="26"/>
        <w:spacing w:before="0" w:beforeAutospacing="0" w:after="150" w:afterAutospacing="0"/>
        <w:ind w:firstLine="420" w:firstLineChars="200"/>
        <w:rPr>
          <w:rFonts w:ascii="Calibri" w:hAnsi="Calibri" w:cs="Times New Roman"/>
          <w:kern w:val="2"/>
          <w:sz w:val="21"/>
          <w:szCs w:val="21"/>
        </w:rPr>
      </w:pPr>
      <w:r>
        <w:rPr>
          <w:rFonts w:hint="eastAsia" w:ascii="Calibri" w:hAnsi="Calibri" w:cs="Times New Roman"/>
          <w:kern w:val="2"/>
          <w:sz w:val="21"/>
          <w:szCs w:val="21"/>
        </w:rPr>
        <w:t>——助浴前应对老人进行健康评估，根据评估结果确定适宜的服务方式，</w:t>
      </w:r>
      <w:r>
        <w:rPr>
          <w:rFonts w:ascii="Calibri" w:hAnsi="Calibri" w:cs="Times New Roman"/>
          <w:kern w:val="2"/>
          <w:sz w:val="21"/>
          <w:szCs w:val="21"/>
        </w:rPr>
        <w:t>应进行安全提示。</w:t>
      </w:r>
      <w:r>
        <w:rPr>
          <w:rFonts w:hint="eastAsia" w:ascii="Calibri" w:hAnsi="Calibri" w:cs="Times New Roman"/>
          <w:kern w:val="2"/>
          <w:sz w:val="21"/>
          <w:szCs w:val="21"/>
        </w:rPr>
        <w:t>不宜提供服务时，应告知原因。</w:t>
      </w:r>
    </w:p>
    <w:p w14:paraId="4511BF5F">
      <w:pPr>
        <w:pStyle w:val="26"/>
        <w:spacing w:before="0" w:beforeAutospacing="0" w:after="150" w:afterAutospacing="0"/>
        <w:ind w:firstLine="420" w:firstLineChars="200"/>
        <w:rPr>
          <w:rFonts w:ascii="Calibri" w:hAnsi="Calibri" w:cs="Times New Roman"/>
          <w:kern w:val="2"/>
          <w:sz w:val="21"/>
          <w:szCs w:val="21"/>
        </w:rPr>
      </w:pPr>
      <w:r>
        <w:rPr>
          <w:rFonts w:hint="eastAsia" w:ascii="Calibri" w:hAnsi="Calibri" w:cs="Times New Roman"/>
          <w:kern w:val="2"/>
          <w:sz w:val="21"/>
          <w:szCs w:val="21"/>
        </w:rPr>
        <w:t>——助浴过程中应有家属或其他监护人在场。</w:t>
      </w:r>
    </w:p>
    <w:p w14:paraId="408AA264">
      <w:pPr>
        <w:pStyle w:val="26"/>
        <w:spacing w:before="0" w:beforeAutospacing="0" w:after="150" w:afterAutospacing="0"/>
        <w:ind w:firstLine="420" w:firstLineChars="200"/>
        <w:rPr>
          <w:rFonts w:ascii="Calibri" w:hAnsi="Calibri" w:cs="Times New Roman"/>
          <w:kern w:val="2"/>
          <w:sz w:val="21"/>
          <w:szCs w:val="21"/>
        </w:rPr>
      </w:pPr>
      <w:r>
        <w:rPr>
          <w:rFonts w:hint="eastAsia" w:ascii="Calibri" w:hAnsi="Calibri" w:cs="Times New Roman"/>
          <w:kern w:val="2"/>
          <w:sz w:val="21"/>
          <w:szCs w:val="21"/>
        </w:rPr>
        <w:t>——助浴过程中应注意观察老年人身体情况，若出现老年人身体不适，协助采取相应应急措施。</w:t>
      </w:r>
    </w:p>
    <w:p w14:paraId="5C19DC0D">
      <w:pPr>
        <w:pStyle w:val="26"/>
        <w:spacing w:before="0" w:beforeAutospacing="0" w:after="150" w:afterAutospacing="0"/>
        <w:ind w:firstLine="420" w:firstLineChars="200"/>
        <w:rPr>
          <w:rFonts w:ascii="Calibri" w:hAnsi="Calibri" w:cs="Times New Roman"/>
          <w:kern w:val="2"/>
          <w:sz w:val="21"/>
          <w:szCs w:val="21"/>
        </w:rPr>
      </w:pPr>
      <w:r>
        <w:rPr>
          <w:rFonts w:hint="eastAsia" w:ascii="Calibri" w:hAnsi="Calibri" w:cs="Times New Roman"/>
          <w:kern w:val="2"/>
          <w:sz w:val="21"/>
          <w:szCs w:val="21"/>
        </w:rPr>
        <w:t>——上门助浴时应根据四季气候状况和老年人居住条件，注意防寒保暖、防暑降温及浴室内通风。</w:t>
      </w:r>
      <w:r>
        <w:rPr>
          <w:rFonts w:ascii="Calibri" w:hAnsi="Calibri" w:cs="Times New Roman"/>
          <w:kern w:val="2"/>
          <w:sz w:val="21"/>
          <w:szCs w:val="21"/>
        </w:rPr>
        <w:t>室内温度适宜，地面防滑、不积水，应检查设备设施的完好程度。</w:t>
      </w:r>
    </w:p>
    <w:p w14:paraId="6D6ABC0A">
      <w:pPr>
        <w:pStyle w:val="26"/>
        <w:spacing w:before="0" w:beforeAutospacing="0" w:after="150" w:afterAutospacing="0"/>
        <w:ind w:firstLine="420" w:firstLineChars="200"/>
        <w:rPr>
          <w:rFonts w:ascii="Calibri" w:hAnsi="Calibri" w:cs="Times New Roman"/>
          <w:kern w:val="2"/>
          <w:sz w:val="21"/>
          <w:szCs w:val="21"/>
        </w:rPr>
      </w:pPr>
      <w:r>
        <w:rPr>
          <w:rFonts w:hint="eastAsia" w:ascii="Calibri" w:hAnsi="Calibri" w:cs="Times New Roman"/>
          <w:kern w:val="2"/>
          <w:sz w:val="21"/>
          <w:szCs w:val="21"/>
        </w:rPr>
        <w:t>——外出助浴应选择有资质的公共洗浴场所或有公用沐浴设施的养老服务机构。</w:t>
      </w:r>
    </w:p>
    <w:p w14:paraId="7476F738">
      <w:pPr>
        <w:pStyle w:val="26"/>
        <w:spacing w:after="150"/>
        <w:ind w:left="210" w:leftChars="100"/>
        <w:rPr>
          <w:rFonts w:ascii="Calibri" w:hAnsi="Calibri" w:cs="Times New Roman"/>
          <w:kern w:val="2"/>
          <w:sz w:val="21"/>
          <w:szCs w:val="21"/>
        </w:rPr>
      </w:pPr>
      <w:r>
        <w:rPr>
          <w:rFonts w:hint="eastAsia" w:ascii="Calibri" w:hAnsi="Calibri" w:cs="Times New Roman"/>
          <w:kern w:val="2"/>
          <w:sz w:val="21"/>
          <w:szCs w:val="21"/>
        </w:rPr>
        <w:t>e</w:t>
      </w:r>
      <w:r>
        <w:rPr>
          <w:rFonts w:ascii="Calibri" w:hAnsi="Calibri" w:cs="Times New Roman"/>
          <w:kern w:val="2"/>
          <w:sz w:val="21"/>
          <w:szCs w:val="21"/>
        </w:rPr>
        <w:t xml:space="preserve">) </w:t>
      </w:r>
      <w:r>
        <w:rPr>
          <w:rFonts w:hint="eastAsia" w:ascii="Calibri" w:hAnsi="Calibri" w:cs="Times New Roman"/>
          <w:kern w:val="2"/>
          <w:sz w:val="21"/>
          <w:szCs w:val="21"/>
        </w:rPr>
        <w:t>助医服务要求：</w:t>
      </w:r>
    </w:p>
    <w:p w14:paraId="05BA158B">
      <w:pPr>
        <w:ind w:firstLine="420" w:firstLineChars="200"/>
        <w:rPr>
          <w:rFonts w:ascii="宋体" w:hAnsi="宋体"/>
        </w:rPr>
      </w:pPr>
      <w:r>
        <w:rPr>
          <w:rFonts w:hint="eastAsia" w:ascii="宋体" w:hAnsi="宋体"/>
        </w:rPr>
        <w:t>——</w:t>
      </w:r>
      <w:r>
        <w:rPr>
          <w:rFonts w:ascii="宋体" w:hAnsi="宋体"/>
        </w:rPr>
        <w:t>应依据老人健康状况</w:t>
      </w:r>
      <w:r>
        <w:rPr>
          <w:rFonts w:hint="eastAsia" w:ascii="宋体" w:hAnsi="宋体"/>
        </w:rPr>
        <w:t>评估并</w:t>
      </w:r>
      <w:r>
        <w:rPr>
          <w:rFonts w:ascii="宋体" w:hAnsi="宋体"/>
        </w:rPr>
        <w:t xml:space="preserve">确定助医服务的内容和方式，并告知老人或相关第三方。 </w:t>
      </w:r>
    </w:p>
    <w:p w14:paraId="0288CE72">
      <w:pPr>
        <w:ind w:firstLine="420" w:firstLineChars="200"/>
        <w:rPr>
          <w:rFonts w:ascii="宋体" w:hAnsi="宋体"/>
        </w:rPr>
      </w:pPr>
      <w:r>
        <w:rPr>
          <w:rFonts w:hint="eastAsia" w:ascii="宋体" w:hAnsi="宋体"/>
        </w:rPr>
        <w:t>——</w:t>
      </w:r>
      <w:r>
        <w:rPr>
          <w:rFonts w:ascii="宋体" w:hAnsi="宋体"/>
        </w:rPr>
        <w:t>提供陪同就医服务时，服务人员应向老人或相关第三方告知服务内容，包括服务申请流程、 收费标准以及陪同就医过程中可能发生的意外及处理措施，并提供陪同就医须知。</w:t>
      </w:r>
    </w:p>
    <w:p w14:paraId="4E7CF045">
      <w:pPr>
        <w:ind w:firstLine="420" w:firstLineChars="200"/>
        <w:rPr>
          <w:rFonts w:ascii="宋体" w:hAnsi="宋体"/>
        </w:rPr>
      </w:pPr>
      <w:r>
        <w:rPr>
          <w:rFonts w:hint="eastAsia" w:ascii="宋体" w:hAnsi="宋体"/>
        </w:rPr>
        <w:t>——</w:t>
      </w:r>
      <w:r>
        <w:rPr>
          <w:rFonts w:ascii="宋体" w:hAnsi="宋体"/>
        </w:rPr>
        <w:t>提供用药服务时，服务人员应熟悉老人的病情、服用药品及相关要求，按约定的时间提醒老人按时、按量、正确服药；协助清理药品时，应征得老人或相关第三方的同意，还应提醒定期查看药品有效期。</w:t>
      </w:r>
    </w:p>
    <w:p w14:paraId="687777EF">
      <w:pPr>
        <w:pStyle w:val="26"/>
        <w:spacing w:after="150"/>
        <w:ind w:left="210" w:leftChars="100"/>
        <w:rPr>
          <w:rFonts w:ascii="Calibri" w:hAnsi="Calibri" w:cs="Times New Roman"/>
          <w:kern w:val="2"/>
          <w:sz w:val="21"/>
          <w:szCs w:val="21"/>
        </w:rPr>
      </w:pPr>
      <w:r>
        <w:rPr>
          <w:rFonts w:hint="eastAsia" w:ascii="Calibri" w:hAnsi="Calibri" w:cs="Times New Roman"/>
          <w:kern w:val="2"/>
          <w:sz w:val="21"/>
          <w:szCs w:val="21"/>
        </w:rPr>
        <w:t>f</w:t>
      </w:r>
      <w:r>
        <w:rPr>
          <w:rFonts w:ascii="Calibri" w:hAnsi="Calibri" w:cs="Times New Roman"/>
          <w:kern w:val="2"/>
          <w:sz w:val="21"/>
          <w:szCs w:val="21"/>
        </w:rPr>
        <w:t xml:space="preserve">) </w:t>
      </w:r>
      <w:r>
        <w:rPr>
          <w:rFonts w:hint="eastAsia" w:ascii="Calibri" w:hAnsi="Calibri" w:cs="Times New Roman"/>
          <w:kern w:val="2"/>
          <w:sz w:val="21"/>
          <w:szCs w:val="21"/>
        </w:rPr>
        <w:t>助急服务要求：</w:t>
      </w:r>
    </w:p>
    <w:p w14:paraId="199DF1AF">
      <w:pPr>
        <w:ind w:firstLine="420" w:firstLineChars="200"/>
        <w:rPr>
          <w:rFonts w:ascii="宋体" w:hAnsi="宋体"/>
        </w:rPr>
      </w:pPr>
      <w:r>
        <w:rPr>
          <w:rFonts w:hint="eastAsia" w:ascii="宋体" w:hAnsi="宋体"/>
        </w:rPr>
        <w:t>——</w:t>
      </w:r>
      <w:r>
        <w:rPr>
          <w:rFonts w:ascii="宋体" w:hAnsi="宋体"/>
        </w:rPr>
        <w:t>组织在接到家庭呼救信息或遇到服务现场突发事件时，应立即联系相应医疗、公安、消防、物业等机构</w:t>
      </w:r>
      <w:r>
        <w:rPr>
          <w:rFonts w:hint="eastAsia" w:ascii="宋体" w:hAnsi="宋体"/>
        </w:rPr>
        <w:t>，同时联系老人家属或监护人</w:t>
      </w:r>
      <w:r>
        <w:rPr>
          <w:rFonts w:ascii="宋体" w:hAnsi="宋体"/>
        </w:rPr>
        <w:t xml:space="preserve">。 </w:t>
      </w:r>
    </w:p>
    <w:p w14:paraId="386E33BA">
      <w:pPr>
        <w:ind w:firstLine="420" w:firstLineChars="200"/>
        <w:rPr>
          <w:rFonts w:ascii="宋体" w:hAnsi="宋体"/>
        </w:rPr>
      </w:pPr>
      <w:r>
        <w:rPr>
          <w:rFonts w:hint="eastAsia" w:ascii="宋体" w:hAnsi="宋体"/>
        </w:rPr>
        <w:t>——</w:t>
      </w:r>
      <w:r>
        <w:rPr>
          <w:rFonts w:ascii="宋体" w:hAnsi="宋体"/>
        </w:rPr>
        <w:t xml:space="preserve">组织接到家庭呼救信息时应派服务人员赴现场。 </w:t>
      </w:r>
    </w:p>
    <w:p w14:paraId="0B86F3BA">
      <w:pPr>
        <w:ind w:firstLine="420" w:firstLineChars="200"/>
        <w:rPr>
          <w:rFonts w:ascii="宋体" w:hAnsi="宋体"/>
        </w:rPr>
      </w:pPr>
      <w:r>
        <w:rPr>
          <w:rFonts w:hint="eastAsia" w:ascii="宋体" w:hAnsi="宋体"/>
        </w:rPr>
        <w:t>——</w:t>
      </w:r>
      <w:r>
        <w:rPr>
          <w:rFonts w:ascii="宋体" w:hAnsi="宋体"/>
        </w:rPr>
        <w:t>服务人员在救援人员未抵达之前，应安抚老人并采取相应措施；救援人员抵达后，应配合开展现场应急救援工作。</w:t>
      </w:r>
    </w:p>
    <w:p w14:paraId="08CC0D38">
      <w:pPr>
        <w:ind w:firstLine="210" w:firstLineChars="100"/>
        <w:rPr>
          <w:rFonts w:ascii="宋体" w:hAnsi="宋体"/>
        </w:rPr>
      </w:pPr>
      <w:r>
        <w:rPr>
          <w:rFonts w:hint="eastAsia"/>
        </w:rPr>
        <w:t>g</w:t>
      </w:r>
      <w:r>
        <w:t>)</w:t>
      </w:r>
      <w:r>
        <w:rPr>
          <w:rFonts w:hint="eastAsia"/>
        </w:rPr>
        <w:t>助行服务：</w:t>
      </w:r>
    </w:p>
    <w:p w14:paraId="4766AA36">
      <w:pPr>
        <w:ind w:firstLine="420" w:firstLineChars="200"/>
        <w:rPr>
          <w:rFonts w:ascii="宋体" w:hAnsi="宋体"/>
        </w:rPr>
      </w:pPr>
      <w:r>
        <w:rPr>
          <w:rFonts w:hint="eastAsia" w:ascii="宋体" w:hAnsi="宋体"/>
        </w:rPr>
        <w:t>——</w:t>
      </w:r>
      <w:r>
        <w:rPr>
          <w:rFonts w:ascii="宋体" w:hAnsi="宋体"/>
        </w:rPr>
        <w:t>提供助行服务前，应先沟通了解老人的身体状况、既往病史、需求等，根据老人的需求做好服务准备</w:t>
      </w:r>
      <w:r>
        <w:rPr>
          <w:rFonts w:hint="eastAsia" w:ascii="宋体" w:hAnsi="宋体"/>
        </w:rPr>
        <w:t>；</w:t>
      </w:r>
    </w:p>
    <w:p w14:paraId="1775A046">
      <w:pPr>
        <w:ind w:firstLine="420" w:firstLineChars="200"/>
        <w:rPr>
          <w:rFonts w:ascii="宋体" w:hAnsi="宋体"/>
        </w:rPr>
      </w:pPr>
      <w:r>
        <w:rPr>
          <w:rFonts w:hint="eastAsia" w:ascii="宋体" w:hAnsi="宋体"/>
        </w:rPr>
        <w:t>——</w:t>
      </w:r>
      <w:r>
        <w:rPr>
          <w:rFonts w:ascii="宋体" w:hAnsi="宋体"/>
        </w:rPr>
        <w:t>提供助行服务时，服务人员应注意途中老人的安全和身体状况，使用助行器具时服务人员应 按助行器具的使用说明进行操作。</w:t>
      </w:r>
    </w:p>
    <w:p w14:paraId="761DDE65">
      <w:pPr>
        <w:rPr>
          <w:rFonts w:ascii="黑体" w:hAnsi="黑体"/>
          <w:sz w:val="24"/>
          <w:szCs w:val="24"/>
        </w:rPr>
      </w:pPr>
      <w:r>
        <w:rPr>
          <w:rFonts w:ascii="黑体" w:hAnsi="黑体"/>
          <w:sz w:val="24"/>
          <w:szCs w:val="24"/>
        </w:rPr>
        <w:t>A.2</w:t>
      </w:r>
      <w:r>
        <w:rPr>
          <w:rFonts w:hint="eastAsia" w:ascii="黑体" w:hAnsi="黑体"/>
          <w:sz w:val="24"/>
          <w:szCs w:val="24"/>
        </w:rPr>
        <w:t>康复辅助服务</w:t>
      </w:r>
    </w:p>
    <w:p w14:paraId="5B067CBB">
      <w:pPr>
        <w:rPr>
          <w:rFonts w:ascii="宋体" w:hAnsi="宋体"/>
          <w:sz w:val="24"/>
          <w:szCs w:val="24"/>
        </w:rPr>
      </w:pPr>
      <w:r>
        <w:rPr>
          <w:rFonts w:hint="eastAsia" w:ascii="宋体" w:hAnsi="宋体"/>
          <w:sz w:val="24"/>
          <w:szCs w:val="24"/>
        </w:rPr>
        <w:t>A.</w:t>
      </w:r>
      <w:r>
        <w:rPr>
          <w:rFonts w:ascii="宋体" w:hAnsi="宋体"/>
          <w:sz w:val="24"/>
          <w:szCs w:val="24"/>
        </w:rPr>
        <w:t xml:space="preserve">2.1 </w:t>
      </w:r>
      <w:r>
        <w:rPr>
          <w:rFonts w:hint="eastAsia" w:ascii="宋体" w:hAnsi="宋体"/>
          <w:sz w:val="24"/>
          <w:szCs w:val="24"/>
        </w:rPr>
        <w:t>康复辅助服务内容</w:t>
      </w:r>
    </w:p>
    <w:p w14:paraId="445E4A03">
      <w:r>
        <w:rPr>
          <w:rFonts w:hint="eastAsia"/>
        </w:rPr>
        <w:t>康复辅助服务内容包括但不限于：群体康复和个体康复。</w:t>
      </w:r>
    </w:p>
    <w:p w14:paraId="627A102F">
      <w:pPr>
        <w:ind w:firstLine="420" w:firstLineChars="200"/>
      </w:pPr>
      <w:r>
        <w:rPr>
          <w:rFonts w:hint="eastAsia"/>
        </w:rPr>
        <w:t>群体康复一般借助社区卫生和养老服务等公共服务场地设施，指导和组织老年人开展肢体功能性康复训练。</w:t>
      </w:r>
    </w:p>
    <w:p w14:paraId="7D3D42D6">
      <w:pPr>
        <w:ind w:firstLine="420" w:firstLineChars="200"/>
      </w:pPr>
      <w:r>
        <w:rPr>
          <w:rFonts w:hint="eastAsia"/>
        </w:rPr>
        <w:t>个体康复一般提供被动运动的肢体功能性康复训练、辅助运动的肢体功能性康复训练、保健性康复。</w:t>
      </w:r>
    </w:p>
    <w:p w14:paraId="34490CD5">
      <w:pPr>
        <w:rPr>
          <w:rFonts w:ascii="宋体" w:hAnsi="宋体"/>
          <w:sz w:val="24"/>
          <w:szCs w:val="24"/>
        </w:rPr>
      </w:pPr>
      <w:r>
        <w:rPr>
          <w:rFonts w:hint="eastAsia" w:ascii="宋体" w:hAnsi="宋体"/>
          <w:sz w:val="24"/>
          <w:szCs w:val="24"/>
        </w:rPr>
        <w:t>A.</w:t>
      </w:r>
      <w:r>
        <w:rPr>
          <w:rFonts w:ascii="宋体" w:hAnsi="宋体"/>
          <w:sz w:val="24"/>
          <w:szCs w:val="24"/>
        </w:rPr>
        <w:t>2.2</w:t>
      </w:r>
      <w:r>
        <w:rPr>
          <w:rFonts w:hint="eastAsia" w:ascii="宋体" w:hAnsi="宋体"/>
          <w:sz w:val="24"/>
          <w:szCs w:val="24"/>
        </w:rPr>
        <w:t>康复辅助服务要求</w:t>
      </w:r>
    </w:p>
    <w:p w14:paraId="315F96CD">
      <w:pPr>
        <w:pStyle w:val="26"/>
        <w:spacing w:before="0" w:beforeAutospacing="0" w:after="150" w:afterAutospacing="0"/>
        <w:ind w:firstLine="480"/>
        <w:rPr>
          <w:rFonts w:ascii="Calibri" w:hAnsi="Calibri" w:cs="Times New Roman"/>
          <w:kern w:val="2"/>
          <w:sz w:val="21"/>
          <w:szCs w:val="21"/>
        </w:rPr>
      </w:pPr>
      <w:r>
        <w:rPr>
          <w:rFonts w:hint="eastAsia"/>
        </w:rPr>
        <w:t>——</w:t>
      </w:r>
      <w:r>
        <w:rPr>
          <w:rFonts w:hint="eastAsia" w:ascii="Calibri" w:hAnsi="Calibri" w:cs="Times New Roman"/>
          <w:kern w:val="2"/>
          <w:sz w:val="21"/>
          <w:szCs w:val="21"/>
        </w:rPr>
        <w:t>康复辅助应在专业人员指导下进行。</w:t>
      </w:r>
    </w:p>
    <w:p w14:paraId="693F1EF1">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——康复辅助应符合老年人的生理心理特点。</w:t>
      </w:r>
    </w:p>
    <w:p w14:paraId="544D5FD2">
      <w:pPr>
        <w:pStyle w:val="26"/>
        <w:spacing w:before="0" w:beforeAutospacing="0" w:after="150" w:afterAutospacing="0"/>
        <w:ind w:firstLine="480"/>
        <w:rPr>
          <w:rFonts w:ascii="Calibri" w:hAnsi="Calibri" w:cs="Times New Roman"/>
          <w:kern w:val="2"/>
          <w:sz w:val="21"/>
          <w:szCs w:val="21"/>
        </w:rPr>
      </w:pPr>
      <w:r>
        <w:rPr>
          <w:rFonts w:hint="eastAsia" w:ascii="Calibri" w:hAnsi="Calibri" w:cs="Times New Roman"/>
          <w:kern w:val="2"/>
          <w:sz w:val="21"/>
          <w:szCs w:val="21"/>
        </w:rPr>
        <w:t>——康复辅助过程中应注意观察老年人的身体适应情况，防止损伤。</w:t>
      </w:r>
    </w:p>
    <w:p w14:paraId="668FD8E5">
      <w:pPr>
        <w:pStyle w:val="26"/>
        <w:spacing w:before="0" w:beforeAutospacing="0" w:after="150" w:afterAutospacing="0"/>
        <w:ind w:firstLine="480"/>
      </w:pPr>
      <w:r>
        <w:rPr>
          <w:rFonts w:hint="eastAsia" w:ascii="Calibri" w:hAnsi="Calibri" w:cs="Times New Roman"/>
          <w:kern w:val="2"/>
          <w:sz w:val="21"/>
          <w:szCs w:val="21"/>
        </w:rPr>
        <w:t>——康复辅助根据需要配备相应的康复器具。</w:t>
      </w:r>
    </w:p>
    <w:p w14:paraId="49553B3C">
      <w:pPr>
        <w:rPr>
          <w:rFonts w:ascii="黑体" w:hAnsi="黑体"/>
          <w:sz w:val="24"/>
          <w:szCs w:val="24"/>
        </w:rPr>
      </w:pPr>
      <w:r>
        <w:rPr>
          <w:rFonts w:ascii="黑体" w:hAnsi="黑体"/>
          <w:sz w:val="24"/>
          <w:szCs w:val="24"/>
        </w:rPr>
        <w:t>A.3</w:t>
      </w:r>
      <w:r>
        <w:rPr>
          <w:rFonts w:hint="eastAsia" w:ascii="黑体" w:hAnsi="黑体"/>
          <w:sz w:val="24"/>
          <w:szCs w:val="24"/>
        </w:rPr>
        <w:t>巡视探访服务</w:t>
      </w:r>
    </w:p>
    <w:p w14:paraId="255CC700">
      <w:pPr>
        <w:rPr>
          <w:rFonts w:ascii="宋体" w:hAnsi="宋体"/>
          <w:sz w:val="24"/>
          <w:szCs w:val="24"/>
        </w:rPr>
      </w:pPr>
      <w:r>
        <w:rPr>
          <w:rFonts w:hint="eastAsia" w:ascii="宋体" w:hAnsi="宋体"/>
          <w:sz w:val="24"/>
          <w:szCs w:val="24"/>
        </w:rPr>
        <w:t>A.</w:t>
      </w:r>
      <w:r>
        <w:rPr>
          <w:rFonts w:ascii="宋体" w:hAnsi="宋体"/>
          <w:sz w:val="24"/>
          <w:szCs w:val="24"/>
        </w:rPr>
        <w:t>3.1</w:t>
      </w:r>
      <w:r>
        <w:rPr>
          <w:rFonts w:hint="eastAsia" w:ascii="宋体" w:hAnsi="宋体"/>
          <w:sz w:val="24"/>
          <w:szCs w:val="24"/>
        </w:rPr>
        <w:t>巡视探访服务内容</w:t>
      </w:r>
    </w:p>
    <w:p w14:paraId="3863A5EE">
      <w:pPr>
        <w:ind w:firstLine="630" w:firstLineChars="300"/>
        <w:rPr>
          <w:rFonts w:ascii="宋体" w:hAnsi="宋体"/>
        </w:rPr>
      </w:pPr>
      <w:r>
        <w:rPr>
          <w:rFonts w:hint="eastAsia" w:ascii="宋体" w:hAnsi="宋体"/>
        </w:rPr>
        <w:t>巡视探访服务内容包括但不限于以下主要内容</w:t>
      </w:r>
      <w:r>
        <w:rPr>
          <w:rFonts w:ascii="宋体" w:hAnsi="宋体"/>
        </w:rPr>
        <w:t>:</w:t>
      </w:r>
    </w:p>
    <w:p w14:paraId="356C6903">
      <w:pPr>
        <w:ind w:firstLine="420" w:firstLineChars="200"/>
        <w:rPr>
          <w:rFonts w:ascii="宋体" w:hAnsi="宋体"/>
        </w:rPr>
      </w:pPr>
      <w:r>
        <w:rPr>
          <w:rFonts w:ascii="宋体" w:hAnsi="宋体"/>
        </w:rPr>
        <w:t>a)</w:t>
      </w:r>
      <w:r>
        <w:rPr>
          <w:rFonts w:hint="eastAsia" w:ascii="宋体" w:hAnsi="宋体"/>
        </w:rPr>
        <w:t>上门探访</w:t>
      </w:r>
      <w:r>
        <w:rPr>
          <w:rFonts w:ascii="宋体" w:hAnsi="宋体"/>
        </w:rPr>
        <w:t>,包括了解掌握老年人的健康状况、精神状况、安全情况、卫生状况、居住环境、服务需求等;</w:t>
      </w:r>
    </w:p>
    <w:p w14:paraId="0E11F43D">
      <w:pPr>
        <w:ind w:firstLine="420" w:firstLineChars="200"/>
        <w:rPr>
          <w:rFonts w:ascii="宋体" w:hAnsi="宋体"/>
        </w:rPr>
      </w:pPr>
      <w:r>
        <w:rPr>
          <w:rFonts w:ascii="宋体" w:hAnsi="宋体"/>
        </w:rPr>
        <w:t>b)应急处置,包括接受与协助老年人的电话呼叫、紧急求助等</w:t>
      </w:r>
      <w:r>
        <w:rPr>
          <w:rFonts w:hint="eastAsia" w:ascii="宋体" w:hAnsi="宋体"/>
        </w:rPr>
        <w:t>。</w:t>
      </w:r>
    </w:p>
    <w:p w14:paraId="163DB4D7">
      <w:pPr>
        <w:rPr>
          <w:rFonts w:ascii="宋体" w:hAnsi="宋体"/>
          <w:sz w:val="24"/>
          <w:szCs w:val="24"/>
        </w:rPr>
      </w:pPr>
      <w:r>
        <w:rPr>
          <w:rFonts w:hint="eastAsia" w:ascii="宋体" w:hAnsi="宋体"/>
          <w:sz w:val="24"/>
          <w:szCs w:val="24"/>
        </w:rPr>
        <w:t>A.</w:t>
      </w:r>
      <w:r>
        <w:rPr>
          <w:rFonts w:ascii="宋体" w:hAnsi="宋体"/>
          <w:sz w:val="24"/>
          <w:szCs w:val="24"/>
        </w:rPr>
        <w:t>3.2</w:t>
      </w:r>
      <w:r>
        <w:rPr>
          <w:rFonts w:hint="eastAsia" w:ascii="宋体" w:hAnsi="宋体"/>
          <w:sz w:val="24"/>
          <w:szCs w:val="24"/>
        </w:rPr>
        <w:t>巡视探访服务要求</w:t>
      </w:r>
    </w:p>
    <w:p w14:paraId="4BF9D2BA">
      <w:pPr>
        <w:ind w:firstLine="420" w:firstLineChars="200"/>
        <w:rPr>
          <w:rFonts w:ascii="宋体" w:hAnsi="宋体"/>
        </w:rPr>
      </w:pPr>
      <w:r>
        <w:rPr>
          <w:rFonts w:hint="eastAsia" w:ascii="宋体" w:hAnsi="宋体"/>
        </w:rPr>
        <w:t>服务要求包括但不限于：</w:t>
      </w:r>
    </w:p>
    <w:p w14:paraId="78672CE4">
      <w:pPr>
        <w:ind w:firstLine="420" w:firstLineChars="200"/>
        <w:rPr>
          <w:rFonts w:ascii="宋体" w:hAnsi="宋体"/>
        </w:rPr>
      </w:pPr>
      <w:r>
        <w:rPr>
          <w:rFonts w:hint="eastAsia" w:ascii="宋体" w:hAnsi="宋体"/>
        </w:rPr>
        <w:t>——应根据老年人需求或服务协议要求进行巡视探访服务；</w:t>
      </w:r>
    </w:p>
    <w:p w14:paraId="44016204">
      <w:pPr>
        <w:ind w:firstLine="420" w:firstLineChars="200"/>
        <w:rPr>
          <w:rFonts w:ascii="宋体" w:hAnsi="宋体"/>
        </w:rPr>
      </w:pPr>
      <w:r>
        <w:rPr>
          <w:rFonts w:hint="eastAsia" w:ascii="宋体" w:hAnsi="宋体"/>
        </w:rPr>
        <w:t>——服务组织在接到老年人家庭呼救信息或遇到服务现场突发事件时，应在派服务人员赴现场的同时，立即联系相关医疗、公安、消防、物业等机构实施救援，以及通知老年人家属或监护人。</w:t>
      </w:r>
    </w:p>
    <w:p w14:paraId="7FBAEFCE">
      <w:pPr>
        <w:ind w:firstLine="420" w:firstLineChars="200"/>
        <w:rPr>
          <w:rFonts w:ascii="宋体" w:hAnsi="宋体"/>
        </w:rPr>
      </w:pPr>
      <w:r>
        <w:rPr>
          <w:rFonts w:hint="eastAsia" w:ascii="宋体" w:hAnsi="宋体"/>
        </w:rPr>
        <w:t>——服务人员在救援人员未抵达之前，应安抚老年人并采取必要措施；救援人员抵达后，应配合开展现场应急救援工作。</w:t>
      </w:r>
    </w:p>
    <w:p w14:paraId="078423DB">
      <w:pPr>
        <w:rPr>
          <w:rFonts w:ascii="黑体" w:hAnsi="黑体"/>
          <w:sz w:val="24"/>
          <w:szCs w:val="24"/>
        </w:rPr>
      </w:pPr>
      <w:r>
        <w:rPr>
          <w:rFonts w:ascii="黑体" w:hAnsi="黑体"/>
          <w:sz w:val="24"/>
          <w:szCs w:val="24"/>
        </w:rPr>
        <w:t>A.4</w:t>
      </w:r>
      <w:r>
        <w:rPr>
          <w:rFonts w:hint="eastAsia" w:ascii="黑体" w:hAnsi="黑体"/>
          <w:sz w:val="24"/>
          <w:szCs w:val="24"/>
        </w:rPr>
        <w:t>精神慰藉服务</w:t>
      </w:r>
    </w:p>
    <w:p w14:paraId="10D11132">
      <w:pPr>
        <w:rPr>
          <w:rFonts w:ascii="宋体" w:hAnsi="宋体"/>
          <w:sz w:val="24"/>
          <w:szCs w:val="24"/>
        </w:rPr>
      </w:pPr>
      <w:r>
        <w:rPr>
          <w:rFonts w:hint="eastAsia" w:ascii="宋体" w:hAnsi="宋体"/>
          <w:sz w:val="24"/>
          <w:szCs w:val="24"/>
        </w:rPr>
        <w:t>A.</w:t>
      </w:r>
      <w:r>
        <w:rPr>
          <w:rFonts w:ascii="宋体" w:hAnsi="宋体"/>
          <w:sz w:val="24"/>
          <w:szCs w:val="24"/>
        </w:rPr>
        <w:t>4.1</w:t>
      </w:r>
      <w:r>
        <w:rPr>
          <w:rFonts w:hint="eastAsia" w:ascii="宋体" w:hAnsi="宋体"/>
          <w:sz w:val="24"/>
          <w:szCs w:val="24"/>
        </w:rPr>
        <w:t>精神慰藉服务内容</w:t>
      </w:r>
    </w:p>
    <w:p w14:paraId="0A1CBEDA">
      <w:pPr>
        <w:ind w:firstLine="420" w:firstLineChars="200"/>
        <w:rPr>
          <w:rFonts w:ascii="宋体" w:hAnsi="宋体"/>
        </w:rPr>
      </w:pPr>
      <w:r>
        <w:rPr>
          <w:rFonts w:hint="eastAsia" w:ascii="宋体" w:hAnsi="宋体"/>
        </w:rPr>
        <w:t>服务内容包括但不限于以下主要内容</w:t>
      </w:r>
      <w:r>
        <w:rPr>
          <w:rFonts w:ascii="宋体" w:hAnsi="宋体"/>
        </w:rPr>
        <w:t xml:space="preserve">: </w:t>
      </w:r>
    </w:p>
    <w:p w14:paraId="4739211B">
      <w:pPr>
        <w:ind w:firstLine="420" w:firstLineChars="200"/>
        <w:rPr>
          <w:rFonts w:ascii="宋体" w:hAnsi="宋体"/>
        </w:rPr>
      </w:pPr>
      <w:r>
        <w:rPr>
          <w:rFonts w:hint="eastAsia" w:ascii="宋体" w:hAnsi="宋体"/>
        </w:rPr>
        <w:t>——</w:t>
      </w:r>
      <w:r>
        <w:rPr>
          <w:rFonts w:ascii="宋体" w:hAnsi="宋体"/>
        </w:rPr>
        <w:t xml:space="preserve">陪伴支持,定期协助有意愿的老年人外出活动或前往服务机构参加集体活动等; </w:t>
      </w:r>
    </w:p>
    <w:p w14:paraId="1945EC90">
      <w:pPr>
        <w:ind w:firstLine="420" w:firstLineChars="200"/>
        <w:rPr>
          <w:rFonts w:ascii="宋体" w:hAnsi="宋体"/>
        </w:rPr>
      </w:pPr>
      <w:r>
        <w:rPr>
          <w:rFonts w:hint="eastAsia" w:ascii="宋体" w:hAnsi="宋体"/>
        </w:rPr>
        <w:t>——</w:t>
      </w:r>
      <w:r>
        <w:rPr>
          <w:rFonts w:ascii="宋体" w:hAnsi="宋体"/>
        </w:rPr>
        <w:t>情绪疏导,与老年人进行谈心、交流,耐心倾听老年人的诉说;</w:t>
      </w:r>
    </w:p>
    <w:p w14:paraId="34B55395">
      <w:pPr>
        <w:ind w:firstLine="420" w:firstLineChars="200"/>
        <w:rPr>
          <w:rFonts w:ascii="宋体" w:hAnsi="宋体"/>
        </w:rPr>
      </w:pPr>
      <w:r>
        <w:rPr>
          <w:rFonts w:hint="eastAsia" w:ascii="宋体" w:hAnsi="宋体"/>
        </w:rPr>
        <w:t>——</w:t>
      </w:r>
      <w:r>
        <w:rPr>
          <w:rFonts w:ascii="宋体" w:hAnsi="宋体"/>
        </w:rPr>
        <w:t>心理慰藉,通过心理健康教育、心理干预手段调整老年人心理状态</w:t>
      </w:r>
    </w:p>
    <w:p w14:paraId="257A7097">
      <w:pPr>
        <w:rPr>
          <w:rFonts w:ascii="黑体" w:hAnsi="黑体"/>
          <w:sz w:val="24"/>
          <w:szCs w:val="24"/>
        </w:rPr>
      </w:pPr>
      <w:r>
        <w:rPr>
          <w:rFonts w:hint="eastAsia" w:ascii="宋体" w:hAnsi="宋体"/>
          <w:sz w:val="24"/>
          <w:szCs w:val="24"/>
        </w:rPr>
        <w:t>A.</w:t>
      </w:r>
      <w:r>
        <w:rPr>
          <w:rFonts w:ascii="宋体" w:hAnsi="宋体"/>
          <w:sz w:val="24"/>
          <w:szCs w:val="24"/>
        </w:rPr>
        <w:t xml:space="preserve">4.2 </w:t>
      </w:r>
      <w:r>
        <w:rPr>
          <w:rFonts w:hint="eastAsia" w:ascii="黑体" w:hAnsi="黑体"/>
          <w:sz w:val="24"/>
          <w:szCs w:val="24"/>
        </w:rPr>
        <w:t>精神慰藉服务要求</w:t>
      </w:r>
    </w:p>
    <w:p w14:paraId="05110AFE">
      <w:pPr>
        <w:ind w:firstLine="420" w:firstLineChars="200"/>
        <w:rPr>
          <w:rFonts w:ascii="宋体" w:hAnsi="宋体"/>
        </w:rPr>
      </w:pPr>
      <w:r>
        <w:rPr>
          <w:rFonts w:hint="eastAsia" w:ascii="宋体" w:hAnsi="宋体"/>
        </w:rPr>
        <w:t>精神慰藉的服务要求包括但不限于：</w:t>
      </w:r>
    </w:p>
    <w:p w14:paraId="2305B607">
      <w:pPr>
        <w:ind w:left="420" w:leftChars="200"/>
        <w:rPr>
          <w:rFonts w:ascii="宋体" w:hAnsi="宋体"/>
        </w:rPr>
      </w:pPr>
      <w:r>
        <w:rPr>
          <w:rFonts w:hint="eastAsia" w:ascii="宋体" w:hAnsi="宋体"/>
        </w:rPr>
        <w:t>——应在检、诊、疗的基础上，根据老年人需求提供多种形式的精神慰藉服务，包括但不限于交流沟通、压力缓解、情绪疏导、心理咨询、危机干预等服务。</w:t>
      </w:r>
    </w:p>
    <w:p w14:paraId="49673E53">
      <w:pPr>
        <w:ind w:left="420" w:leftChars="200"/>
        <w:rPr>
          <w:rFonts w:ascii="宋体" w:hAnsi="宋体"/>
        </w:rPr>
      </w:pPr>
      <w:r>
        <w:rPr>
          <w:rFonts w:hint="eastAsia" w:ascii="宋体" w:hAnsi="宋体"/>
        </w:rPr>
        <w:t>——服务实施前，应借助专业筛查工具如认知障碍检测量表等专业工具，充分了解服务对象状况，制定特定的服务方案。</w:t>
      </w:r>
    </w:p>
    <w:p w14:paraId="58C3B358">
      <w:pPr>
        <w:ind w:left="420" w:leftChars="200"/>
        <w:rPr>
          <w:rFonts w:ascii="宋体" w:hAnsi="宋体"/>
        </w:rPr>
      </w:pPr>
      <w:r>
        <w:rPr>
          <w:rFonts w:hint="eastAsia" w:ascii="宋体" w:hAnsi="宋体"/>
        </w:rPr>
        <w:t>——养老护理员应充分掌握服务对象的心理变化，满足老人心理需要，促进老人心理健康。</w:t>
      </w:r>
    </w:p>
    <w:p w14:paraId="177FBF69">
      <w:pPr>
        <w:ind w:left="420" w:leftChars="200"/>
        <w:rPr>
          <w:rFonts w:ascii="宋体" w:hAnsi="宋体"/>
        </w:rPr>
      </w:pPr>
      <w:r>
        <w:rPr>
          <w:rFonts w:hint="eastAsia" w:ascii="宋体" w:hAnsi="宋体"/>
        </w:rPr>
        <w:t>——养老护理员应注意保护服务对象的隐私权，不得向无关人员透露服务对象的谈话内容和精神状态。</w:t>
      </w:r>
    </w:p>
    <w:p w14:paraId="6C0F4CED">
      <w:pPr>
        <w:ind w:left="420" w:leftChars="200"/>
        <w:rPr>
          <w:rFonts w:ascii="宋体" w:hAnsi="宋体"/>
        </w:rPr>
      </w:pPr>
      <w:r>
        <w:rPr>
          <w:rFonts w:hint="eastAsia" w:ascii="宋体" w:hAnsi="宋体"/>
        </w:rPr>
        <w:t>——养老护理员应有危机处理意识，必要时应立即寻求心理咨询师、医护人员的专业支持或转介专业机构提供服务。</w:t>
      </w:r>
    </w:p>
    <w:p w14:paraId="0CE501A9">
      <w:pPr>
        <w:rPr>
          <w:rFonts w:ascii="黑体" w:hAnsi="黑体"/>
          <w:sz w:val="24"/>
          <w:szCs w:val="24"/>
        </w:rPr>
      </w:pPr>
      <w:r>
        <w:rPr>
          <w:rFonts w:ascii="黑体" w:hAnsi="黑体"/>
          <w:sz w:val="24"/>
          <w:szCs w:val="24"/>
        </w:rPr>
        <w:t>A.5</w:t>
      </w:r>
      <w:r>
        <w:rPr>
          <w:rFonts w:hint="eastAsia" w:ascii="黑体" w:hAnsi="黑体"/>
          <w:sz w:val="24"/>
          <w:szCs w:val="24"/>
        </w:rPr>
        <w:t>委托代办服务</w:t>
      </w:r>
    </w:p>
    <w:p w14:paraId="29DD866C">
      <w:pPr>
        <w:rPr>
          <w:rFonts w:ascii="宋体" w:hAnsi="宋体"/>
          <w:sz w:val="24"/>
          <w:szCs w:val="24"/>
        </w:rPr>
      </w:pPr>
      <w:r>
        <w:rPr>
          <w:rFonts w:hint="eastAsia" w:ascii="宋体" w:hAnsi="宋体"/>
          <w:sz w:val="24"/>
          <w:szCs w:val="24"/>
        </w:rPr>
        <w:t>A.</w:t>
      </w:r>
      <w:r>
        <w:rPr>
          <w:rFonts w:ascii="宋体" w:hAnsi="宋体"/>
          <w:sz w:val="24"/>
          <w:szCs w:val="24"/>
        </w:rPr>
        <w:t>5.1</w:t>
      </w:r>
      <w:r>
        <w:rPr>
          <w:rFonts w:hint="eastAsia" w:ascii="宋体" w:hAnsi="宋体"/>
          <w:sz w:val="24"/>
          <w:szCs w:val="24"/>
        </w:rPr>
        <w:t>委托代办服务内容</w:t>
      </w:r>
    </w:p>
    <w:p w14:paraId="133E0CE2">
      <w:pPr>
        <w:ind w:firstLine="420" w:firstLineChars="200"/>
        <w:rPr>
          <w:rFonts w:ascii="宋体" w:hAnsi="宋体"/>
        </w:rPr>
      </w:pPr>
      <w:r>
        <w:rPr>
          <w:rFonts w:hint="eastAsia" w:ascii="宋体" w:hAnsi="宋体"/>
        </w:rPr>
        <w:t>委托代办服务包括但不限于以下主要内容</w:t>
      </w:r>
      <w:r>
        <w:rPr>
          <w:rFonts w:ascii="宋体" w:hAnsi="宋体"/>
        </w:rPr>
        <w:t>:</w:t>
      </w:r>
    </w:p>
    <w:p w14:paraId="1C90592D">
      <w:pPr>
        <w:ind w:firstLine="420" w:firstLineChars="200"/>
        <w:rPr>
          <w:rFonts w:ascii="宋体" w:hAnsi="宋体"/>
        </w:rPr>
      </w:pPr>
      <w:r>
        <w:rPr>
          <w:rFonts w:hint="eastAsia" w:ascii="宋体" w:hAnsi="宋体"/>
        </w:rPr>
        <w:t>——</w:t>
      </w:r>
      <w:r>
        <w:rPr>
          <w:rFonts w:ascii="宋体" w:hAnsi="宋体"/>
        </w:rPr>
        <w:t>代购</w:t>
      </w:r>
      <w:r>
        <w:rPr>
          <w:rFonts w:hint="eastAsia" w:ascii="宋体" w:hAnsi="宋体"/>
        </w:rPr>
        <w:t>物品</w:t>
      </w:r>
      <w:r>
        <w:rPr>
          <w:rFonts w:ascii="宋体" w:hAnsi="宋体"/>
        </w:rPr>
        <w:t>,包括购买日常生活用品、订车票、预约车辆等;</w:t>
      </w:r>
    </w:p>
    <w:p w14:paraId="3A752B69">
      <w:pPr>
        <w:ind w:firstLine="420" w:firstLineChars="200"/>
        <w:rPr>
          <w:rFonts w:ascii="宋体" w:hAnsi="宋体"/>
        </w:rPr>
      </w:pPr>
      <w:r>
        <w:rPr>
          <w:rFonts w:hint="eastAsia" w:ascii="宋体" w:hAnsi="宋体"/>
        </w:rPr>
        <w:t>——</w:t>
      </w:r>
      <w:r>
        <w:rPr>
          <w:rFonts w:ascii="宋体" w:hAnsi="宋体"/>
        </w:rPr>
        <w:t>代</w:t>
      </w:r>
      <w:r>
        <w:rPr>
          <w:rFonts w:hint="eastAsia" w:ascii="宋体" w:hAnsi="宋体"/>
        </w:rPr>
        <w:t>领物品</w:t>
      </w:r>
      <w:r>
        <w:rPr>
          <w:rFonts w:ascii="宋体" w:hAnsi="宋体"/>
        </w:rPr>
        <w:t>,包括取送信函、文件和物品,申请法律援助、救助服务等:</w:t>
      </w:r>
    </w:p>
    <w:p w14:paraId="0ADE34E1">
      <w:pPr>
        <w:ind w:firstLine="420" w:firstLineChars="200"/>
        <w:rPr>
          <w:rFonts w:ascii="宋体" w:hAnsi="宋体"/>
        </w:rPr>
      </w:pPr>
      <w:r>
        <w:rPr>
          <w:rFonts w:hint="eastAsia" w:ascii="宋体" w:hAnsi="宋体"/>
        </w:rPr>
        <w:t>——</w:t>
      </w:r>
      <w:r>
        <w:rPr>
          <w:rFonts w:ascii="宋体" w:hAnsi="宋体"/>
        </w:rPr>
        <w:t>代缴</w:t>
      </w:r>
      <w:r>
        <w:rPr>
          <w:rFonts w:hint="eastAsia" w:ascii="宋体" w:hAnsi="宋体"/>
        </w:rPr>
        <w:t>费用</w:t>
      </w:r>
      <w:r>
        <w:rPr>
          <w:rFonts w:ascii="宋体" w:hAnsi="宋体"/>
        </w:rPr>
        <w:t>,包括缴纳水、电、气、通讯费等日常费用。</w:t>
      </w:r>
    </w:p>
    <w:p w14:paraId="5AF7B469">
      <w:pPr>
        <w:rPr>
          <w:rFonts w:ascii="宋体" w:hAnsi="宋体"/>
          <w:sz w:val="24"/>
          <w:szCs w:val="24"/>
        </w:rPr>
      </w:pPr>
      <w:r>
        <w:rPr>
          <w:rFonts w:hint="eastAsia" w:ascii="宋体" w:hAnsi="宋体"/>
          <w:sz w:val="24"/>
          <w:szCs w:val="24"/>
        </w:rPr>
        <w:t>A.</w:t>
      </w:r>
      <w:r>
        <w:rPr>
          <w:rFonts w:ascii="宋体" w:hAnsi="宋体"/>
          <w:sz w:val="24"/>
          <w:szCs w:val="24"/>
        </w:rPr>
        <w:t>5.2</w:t>
      </w:r>
      <w:r>
        <w:rPr>
          <w:rFonts w:hint="eastAsia" w:ascii="宋体" w:hAnsi="宋体"/>
          <w:sz w:val="24"/>
          <w:szCs w:val="24"/>
        </w:rPr>
        <w:t>委托代办服务要求</w:t>
      </w:r>
    </w:p>
    <w:p w14:paraId="76538CDC">
      <w:pPr>
        <w:ind w:firstLine="420" w:firstLineChars="200"/>
        <w:rPr>
          <w:rFonts w:ascii="宋体" w:hAnsi="宋体"/>
        </w:rPr>
      </w:pPr>
      <w:r>
        <w:rPr>
          <w:rFonts w:hint="eastAsia" w:ascii="宋体" w:hAnsi="宋体"/>
        </w:rPr>
        <w:t>委托代办服务要求包括但不限于：</w:t>
      </w:r>
    </w:p>
    <w:p w14:paraId="5DD976F5">
      <w:pPr>
        <w:ind w:firstLine="420" w:firstLineChars="200"/>
        <w:rPr>
          <w:rFonts w:ascii="宋体" w:hAnsi="宋体"/>
        </w:rPr>
      </w:pPr>
      <w:r>
        <w:rPr>
          <w:rFonts w:hint="eastAsia" w:ascii="宋体" w:hAnsi="宋体"/>
        </w:rPr>
        <w:t>——提供代办涉及法律法规要求授权事项的，应遵循相关法律法规的要求，</w:t>
      </w:r>
    </w:p>
    <w:p w14:paraId="22A66924">
      <w:pPr>
        <w:ind w:left="420" w:leftChars="200"/>
        <w:rPr>
          <w:rFonts w:ascii="宋体" w:hAnsi="宋体"/>
        </w:rPr>
      </w:pPr>
      <w:r>
        <w:rPr>
          <w:rFonts w:hint="eastAsia" w:ascii="宋体" w:hAnsi="宋体"/>
        </w:rPr>
        <w:t>——服务实施前，应充分了解服务对象的需求以及代办流程</w:t>
      </w:r>
    </w:p>
    <w:p w14:paraId="54385834">
      <w:pPr>
        <w:ind w:left="420" w:leftChars="200"/>
        <w:rPr>
          <w:rFonts w:ascii="宋体" w:hAnsi="宋体"/>
        </w:rPr>
      </w:pPr>
      <w:r>
        <w:rPr>
          <w:rFonts w:hint="eastAsia" w:ascii="宋体" w:hAnsi="宋体"/>
        </w:rPr>
        <w:t>——服务过程中，应与服务对象当面清点钱物，做好相关证件与单据的交接，准确记录服务所涉及物品的名称、数量、价格等信息。</w:t>
      </w:r>
    </w:p>
    <w:p w14:paraId="1875296A">
      <w:pPr>
        <w:ind w:left="420" w:leftChars="200"/>
        <w:rPr>
          <w:rFonts w:ascii="宋体" w:hAnsi="宋体"/>
        </w:rPr>
      </w:pPr>
      <w:r>
        <w:rPr>
          <w:rFonts w:hint="eastAsia" w:ascii="宋体" w:hAnsi="宋体"/>
        </w:rPr>
        <w:t>——服务人员应注意保护服务对象的隐私不得向他人谈论老人的联系方式、家庭情况及钱物情况。</w:t>
      </w:r>
    </w:p>
    <w:p w14:paraId="1C033AD2">
      <w:pPr>
        <w:rPr>
          <w:rFonts w:ascii="黑体" w:hAnsi="黑体"/>
          <w:sz w:val="24"/>
          <w:szCs w:val="24"/>
        </w:rPr>
      </w:pPr>
      <w:r>
        <w:rPr>
          <w:rFonts w:ascii="黑体" w:hAnsi="黑体"/>
          <w:sz w:val="24"/>
          <w:szCs w:val="24"/>
        </w:rPr>
        <w:t>A.6</w:t>
      </w:r>
      <w:r>
        <w:rPr>
          <w:rFonts w:hint="eastAsia" w:ascii="黑体" w:hAnsi="黑体"/>
          <w:sz w:val="24"/>
          <w:szCs w:val="24"/>
        </w:rPr>
        <w:t>法律援助服务</w:t>
      </w:r>
    </w:p>
    <w:p w14:paraId="710FEAAA">
      <w:pPr>
        <w:rPr>
          <w:rFonts w:ascii="宋体" w:hAnsi="宋体"/>
          <w:sz w:val="24"/>
          <w:szCs w:val="24"/>
        </w:rPr>
      </w:pPr>
      <w:r>
        <w:rPr>
          <w:rFonts w:hint="eastAsia" w:ascii="宋体" w:hAnsi="宋体"/>
          <w:sz w:val="24"/>
          <w:szCs w:val="24"/>
        </w:rPr>
        <w:t>A.</w:t>
      </w:r>
      <w:r>
        <w:rPr>
          <w:rFonts w:ascii="宋体" w:hAnsi="宋体"/>
          <w:sz w:val="24"/>
          <w:szCs w:val="24"/>
        </w:rPr>
        <w:t xml:space="preserve">6.1 </w:t>
      </w:r>
      <w:r>
        <w:rPr>
          <w:rFonts w:hint="eastAsia" w:ascii="宋体" w:hAnsi="宋体"/>
          <w:sz w:val="24"/>
          <w:szCs w:val="24"/>
        </w:rPr>
        <w:t>法律援助服务内容</w:t>
      </w:r>
    </w:p>
    <w:p w14:paraId="57461726">
      <w:pPr>
        <w:ind w:firstLine="420" w:firstLineChars="200"/>
        <w:rPr>
          <w:rFonts w:ascii="宋体" w:hAnsi="宋体"/>
        </w:rPr>
      </w:pPr>
      <w:r>
        <w:rPr>
          <w:rFonts w:ascii="宋体" w:hAnsi="宋体"/>
        </w:rPr>
        <w:t>法律</w:t>
      </w:r>
      <w:r>
        <w:rPr>
          <w:rFonts w:hint="eastAsia" w:ascii="宋体" w:hAnsi="宋体"/>
        </w:rPr>
        <w:t>援助</w:t>
      </w:r>
      <w:r>
        <w:rPr>
          <w:rFonts w:ascii="宋体" w:hAnsi="宋体"/>
        </w:rPr>
        <w:t>服务内容包括但不限于</w:t>
      </w:r>
      <w:r>
        <w:rPr>
          <w:rFonts w:hint="eastAsia" w:ascii="宋体" w:hAnsi="宋体"/>
        </w:rPr>
        <w:t>：</w:t>
      </w:r>
    </w:p>
    <w:p w14:paraId="4D1B0AEC">
      <w:pPr>
        <w:ind w:firstLine="420" w:firstLineChars="200"/>
        <w:rPr>
          <w:rFonts w:ascii="宋体" w:hAnsi="宋体"/>
        </w:rPr>
      </w:pPr>
      <w:r>
        <w:rPr>
          <w:rFonts w:hint="eastAsia" w:ascii="宋体" w:hAnsi="宋体"/>
        </w:rPr>
        <w:t>a</w:t>
      </w:r>
      <w:r>
        <w:rPr>
          <w:rFonts w:ascii="宋体" w:hAnsi="宋体"/>
        </w:rPr>
        <w:t>) 代写起诉状、答辩状、上诉状、申诉状等起诉文书，代写委托书、遗嘱等法律事务文书。</w:t>
      </w:r>
    </w:p>
    <w:p w14:paraId="3ED5708A">
      <w:pPr>
        <w:ind w:firstLine="420" w:firstLineChars="200"/>
        <w:rPr>
          <w:rFonts w:ascii="宋体" w:hAnsi="宋体"/>
        </w:rPr>
      </w:pPr>
      <w:r>
        <w:rPr>
          <w:rFonts w:ascii="宋体" w:hAnsi="宋体"/>
        </w:rPr>
        <w:t>b) 提供法律咨询服务时应遵守职业纪律和道德，不应超越职责权限，必要时转介具备法律从业</w:t>
      </w:r>
      <w:r>
        <w:rPr>
          <w:rFonts w:hint="eastAsia" w:ascii="宋体" w:hAnsi="宋体"/>
        </w:rPr>
        <w:t>资质的律师或律师事务所提供法律服务。</w:t>
      </w:r>
    </w:p>
    <w:p w14:paraId="5AEFEA09">
      <w:pPr>
        <w:rPr>
          <w:rFonts w:ascii="宋体" w:hAnsi="宋体"/>
          <w:sz w:val="24"/>
          <w:szCs w:val="24"/>
        </w:rPr>
      </w:pPr>
      <w:r>
        <w:rPr>
          <w:rFonts w:hint="eastAsia" w:ascii="宋体" w:hAnsi="宋体"/>
          <w:sz w:val="24"/>
          <w:szCs w:val="24"/>
        </w:rPr>
        <w:t>A.</w:t>
      </w:r>
      <w:r>
        <w:rPr>
          <w:rFonts w:ascii="宋体" w:hAnsi="宋体"/>
          <w:sz w:val="24"/>
          <w:szCs w:val="24"/>
        </w:rPr>
        <w:t xml:space="preserve">6.2 </w:t>
      </w:r>
      <w:r>
        <w:rPr>
          <w:rFonts w:hint="eastAsia" w:ascii="宋体" w:hAnsi="宋体"/>
          <w:sz w:val="24"/>
          <w:szCs w:val="24"/>
        </w:rPr>
        <w:t>法律援助服务要求</w:t>
      </w:r>
    </w:p>
    <w:p w14:paraId="7B911CB3">
      <w:pPr>
        <w:ind w:left="420" w:leftChars="200"/>
        <w:rPr>
          <w:rFonts w:ascii="宋体" w:hAnsi="宋体"/>
        </w:rPr>
      </w:pPr>
      <w:r>
        <w:rPr>
          <w:rFonts w:hint="eastAsia" w:ascii="宋体" w:hAnsi="宋体"/>
        </w:rPr>
        <w:t>法律援助应协助服务对象通过法律程序和相应手段维护合法权益，服务要求包括但不限于：</w:t>
      </w:r>
    </w:p>
    <w:p w14:paraId="7C23B817">
      <w:pPr>
        <w:ind w:left="420" w:leftChars="200"/>
        <w:rPr>
          <w:rFonts w:ascii="宋体" w:hAnsi="宋体"/>
        </w:rPr>
      </w:pPr>
      <w:r>
        <w:rPr>
          <w:rFonts w:hint="eastAsia" w:ascii="宋体" w:hAnsi="宋体"/>
        </w:rPr>
        <w:t>——服务人员应具备法律工作者或律师资格；</w:t>
      </w:r>
    </w:p>
    <w:p w14:paraId="15A53FBC">
      <w:pPr>
        <w:ind w:left="420" w:leftChars="200"/>
        <w:rPr>
          <w:rFonts w:ascii="宋体" w:hAnsi="宋体"/>
        </w:rPr>
      </w:pPr>
      <w:r>
        <w:rPr>
          <w:rFonts w:hint="eastAsia" w:ascii="宋体" w:hAnsi="宋体"/>
        </w:rPr>
        <w:t>——应遵守职业纪律和道德，服务过程中不得超越职责权限。</w:t>
      </w:r>
    </w:p>
    <w:p w14:paraId="205B7791">
      <w:pPr>
        <w:rPr>
          <w:rFonts w:ascii="黑体" w:hAnsi="黑体"/>
          <w:sz w:val="24"/>
          <w:szCs w:val="24"/>
        </w:rPr>
      </w:pPr>
      <w:r>
        <w:rPr>
          <w:rFonts w:ascii="黑体" w:hAnsi="黑体"/>
          <w:sz w:val="24"/>
          <w:szCs w:val="24"/>
        </w:rPr>
        <w:t>A.7</w:t>
      </w:r>
      <w:r>
        <w:rPr>
          <w:rFonts w:hint="eastAsia" w:ascii="黑体" w:hAnsi="黑体"/>
          <w:sz w:val="24"/>
          <w:szCs w:val="24"/>
        </w:rPr>
        <w:t>文化娱乐服务</w:t>
      </w:r>
    </w:p>
    <w:p w14:paraId="5C193D97">
      <w:pPr>
        <w:rPr>
          <w:sz w:val="24"/>
          <w:szCs w:val="24"/>
        </w:rPr>
      </w:pPr>
      <w:r>
        <w:rPr>
          <w:rFonts w:hint="eastAsia"/>
          <w:sz w:val="24"/>
          <w:szCs w:val="24"/>
        </w:rPr>
        <w:t>A.</w:t>
      </w:r>
      <w:r>
        <w:rPr>
          <w:sz w:val="24"/>
          <w:szCs w:val="24"/>
        </w:rPr>
        <w:t xml:space="preserve">7.1 </w:t>
      </w:r>
      <w:r>
        <w:rPr>
          <w:rFonts w:hint="eastAsia"/>
          <w:sz w:val="24"/>
          <w:szCs w:val="24"/>
        </w:rPr>
        <w:t>文化娱乐服务</w:t>
      </w:r>
    </w:p>
    <w:p w14:paraId="3EBD6CC9">
      <w:pPr>
        <w:ind w:firstLine="420" w:firstLineChars="200"/>
        <w:rPr>
          <w:rFonts w:ascii="宋体" w:hAnsi="宋体"/>
        </w:rPr>
      </w:pPr>
      <w:r>
        <w:rPr>
          <w:rFonts w:hint="eastAsia" w:ascii="宋体" w:hAnsi="宋体"/>
        </w:rPr>
        <w:t>组织老年人开展各种类型有益于身心健康的文化娱乐活动，活动内容</w:t>
      </w:r>
      <w:r>
        <w:rPr>
          <w:rFonts w:ascii="宋体" w:hAnsi="宋体"/>
        </w:rPr>
        <w:t>包括但不限于</w:t>
      </w:r>
      <w:r>
        <w:rPr>
          <w:rFonts w:hint="eastAsia" w:ascii="宋体" w:hAnsi="宋体"/>
        </w:rPr>
        <w:t>：</w:t>
      </w:r>
    </w:p>
    <w:p w14:paraId="7B41A5CA">
      <w:pPr>
        <w:pStyle w:val="231"/>
        <w:numPr>
          <w:ilvl w:val="0"/>
          <w:numId w:val="36"/>
        </w:numPr>
        <w:ind w:firstLineChars="0"/>
        <w:rPr>
          <w:rFonts w:ascii="宋体" w:hAnsi="宋体" w:eastAsia="宋体"/>
        </w:rPr>
      </w:pPr>
      <w:r>
        <w:rPr>
          <w:rFonts w:ascii="宋体" w:hAnsi="宋体" w:eastAsia="宋体"/>
        </w:rPr>
        <w:t>老年大学和老年社团活动</w:t>
      </w:r>
      <w:r>
        <w:rPr>
          <w:rFonts w:hint="eastAsia" w:ascii="宋体" w:hAnsi="宋体" w:eastAsia="宋体"/>
        </w:rPr>
        <w:t>;</w:t>
      </w:r>
    </w:p>
    <w:p w14:paraId="3BD08A81">
      <w:pPr>
        <w:pStyle w:val="231"/>
        <w:numPr>
          <w:ilvl w:val="0"/>
          <w:numId w:val="36"/>
        </w:numPr>
        <w:ind w:firstLineChars="0"/>
        <w:rPr>
          <w:rFonts w:ascii="宋体" w:hAnsi="宋体" w:eastAsia="宋体"/>
        </w:rPr>
      </w:pPr>
      <w:r>
        <w:rPr>
          <w:rFonts w:ascii="宋体" w:hAnsi="宋体" w:eastAsia="宋体"/>
        </w:rPr>
        <w:t>开展手工编织、书法、插花、茶艺活动</w:t>
      </w:r>
      <w:r>
        <w:rPr>
          <w:rFonts w:hint="eastAsia" w:ascii="宋体" w:hAnsi="宋体" w:eastAsia="宋体"/>
        </w:rPr>
        <w:t>;</w:t>
      </w:r>
    </w:p>
    <w:p w14:paraId="186C8BE8">
      <w:pPr>
        <w:pStyle w:val="231"/>
        <w:numPr>
          <w:ilvl w:val="0"/>
          <w:numId w:val="36"/>
        </w:numPr>
        <w:ind w:firstLineChars="0"/>
        <w:rPr>
          <w:rFonts w:ascii="宋体" w:hAnsi="宋体" w:eastAsia="宋体"/>
        </w:rPr>
      </w:pPr>
      <w:r>
        <w:rPr>
          <w:rFonts w:ascii="宋体" w:hAnsi="宋体" w:eastAsia="宋体"/>
        </w:rPr>
        <w:t>组织观看电影，口述历史记录</w:t>
      </w:r>
      <w:r>
        <w:rPr>
          <w:rFonts w:hint="eastAsia" w:ascii="宋体" w:hAnsi="宋体" w:eastAsia="宋体"/>
        </w:rPr>
        <w:t>;</w:t>
      </w:r>
    </w:p>
    <w:p w14:paraId="6CB80320">
      <w:pPr>
        <w:pStyle w:val="231"/>
        <w:numPr>
          <w:ilvl w:val="0"/>
          <w:numId w:val="36"/>
        </w:numPr>
        <w:ind w:firstLineChars="0"/>
        <w:rPr>
          <w:rFonts w:ascii="宋体" w:hAnsi="宋体" w:eastAsia="宋体"/>
        </w:rPr>
      </w:pPr>
      <w:r>
        <w:rPr>
          <w:rFonts w:ascii="宋体" w:hAnsi="宋体" w:eastAsia="宋体"/>
        </w:rPr>
        <w:t>健康讲座、法律讲座、心理讲座等。</w:t>
      </w:r>
    </w:p>
    <w:p w14:paraId="68DAF5E2">
      <w:pPr>
        <w:rPr>
          <w:rFonts w:ascii="宋体" w:hAnsi="宋体"/>
          <w:sz w:val="24"/>
          <w:szCs w:val="24"/>
        </w:rPr>
      </w:pPr>
      <w:r>
        <w:rPr>
          <w:rFonts w:hint="eastAsia"/>
          <w:sz w:val="24"/>
          <w:szCs w:val="24"/>
        </w:rPr>
        <w:t>A.</w:t>
      </w:r>
      <w:r>
        <w:rPr>
          <w:sz w:val="24"/>
          <w:szCs w:val="24"/>
        </w:rPr>
        <w:t>7.2</w:t>
      </w:r>
      <w:r>
        <w:rPr>
          <w:rFonts w:hint="eastAsia" w:ascii="宋体" w:hAnsi="宋体"/>
          <w:sz w:val="24"/>
          <w:szCs w:val="24"/>
        </w:rPr>
        <w:t>文化娱乐服务要求</w:t>
      </w:r>
    </w:p>
    <w:p w14:paraId="12BCF51B">
      <w:pPr>
        <w:ind w:left="420" w:leftChars="200"/>
        <w:rPr>
          <w:rFonts w:ascii="宋体" w:hAnsi="宋体"/>
        </w:rPr>
      </w:pPr>
      <w:r>
        <w:rPr>
          <w:rFonts w:hint="eastAsia" w:ascii="宋体" w:hAnsi="宋体"/>
        </w:rPr>
        <w:t>应根据老年人需求提供多种有益于身心健康的文化娱乐服务，服务要求包括但不限于：</w:t>
      </w:r>
    </w:p>
    <w:p w14:paraId="77C5ED29">
      <w:pPr>
        <w:ind w:left="420" w:leftChars="200"/>
        <w:rPr>
          <w:rFonts w:ascii="宋体" w:hAnsi="宋体"/>
        </w:rPr>
      </w:pPr>
      <w:r>
        <w:rPr>
          <w:rFonts w:hint="eastAsia" w:ascii="宋体" w:hAnsi="宋体"/>
        </w:rPr>
        <w:t>——活动策划安排应合理，活动时间及运动量适宜，不影响老年人休息与身体健康；</w:t>
      </w:r>
    </w:p>
    <w:p w14:paraId="75D302EC">
      <w:pPr>
        <w:ind w:left="420" w:leftChars="200"/>
        <w:rPr>
          <w:rFonts w:ascii="宋体" w:hAnsi="宋体"/>
        </w:rPr>
      </w:pPr>
      <w:r>
        <w:rPr>
          <w:rFonts w:hint="eastAsia" w:ascii="宋体" w:hAnsi="宋体"/>
        </w:rPr>
        <w:t>——应配备专门的服务人员做好现场组织工作，并随时注意观察参与活动的老年人情况，确保活动安全；</w:t>
      </w:r>
    </w:p>
    <w:p w14:paraId="0B534043">
      <w:pPr>
        <w:ind w:left="420" w:leftChars="200"/>
        <w:rPr>
          <w:rFonts w:ascii="宋体" w:hAnsi="宋体"/>
        </w:rPr>
      </w:pPr>
      <w:r>
        <w:rPr>
          <w:rFonts w:hint="eastAsia" w:ascii="宋体" w:hAnsi="宋体"/>
        </w:rPr>
        <w:t>——活动结束后应及时清理活动现场，确保整洁。</w:t>
      </w:r>
    </w:p>
    <w:p w14:paraId="0C25421E">
      <w:pPr>
        <w:rPr>
          <w:rFonts w:ascii="黑体" w:hAnsi="黑体"/>
          <w:sz w:val="24"/>
          <w:szCs w:val="24"/>
        </w:rPr>
      </w:pPr>
      <w:r>
        <w:rPr>
          <w:rFonts w:ascii="黑体" w:hAnsi="黑体"/>
          <w:sz w:val="24"/>
          <w:szCs w:val="24"/>
        </w:rPr>
        <w:t>A.8</w:t>
      </w:r>
      <w:r>
        <w:rPr>
          <w:rFonts w:hint="eastAsia" w:ascii="黑体" w:hAnsi="黑体"/>
          <w:sz w:val="24"/>
          <w:szCs w:val="24"/>
        </w:rPr>
        <w:t>能力评估服务</w:t>
      </w:r>
    </w:p>
    <w:p w14:paraId="79EDFE93">
      <w:pPr>
        <w:rPr>
          <w:rFonts w:ascii="宋体" w:hAnsi="宋体"/>
        </w:rPr>
      </w:pPr>
      <w:r>
        <w:rPr>
          <w:rFonts w:hint="eastAsia" w:ascii="宋体" w:hAnsi="宋体"/>
        </w:rPr>
        <w:t>A.</w:t>
      </w:r>
      <w:r>
        <w:rPr>
          <w:rFonts w:ascii="宋体" w:hAnsi="宋体"/>
        </w:rPr>
        <w:t xml:space="preserve">8.1 </w:t>
      </w:r>
      <w:r>
        <w:rPr>
          <w:rFonts w:hint="eastAsia" w:ascii="宋体" w:hAnsi="宋体"/>
        </w:rPr>
        <w:t>能力评估服务内容</w:t>
      </w:r>
    </w:p>
    <w:p w14:paraId="52C867E3">
      <w:pPr>
        <w:ind w:firstLine="420" w:firstLineChars="200"/>
        <w:rPr>
          <w:rFonts w:ascii="宋体" w:hAnsi="宋体"/>
        </w:rPr>
      </w:pPr>
      <w:r>
        <w:rPr>
          <w:rFonts w:ascii="宋体" w:hAnsi="宋体"/>
        </w:rPr>
        <w:t>应根据服务对象的服务需求对老年人的生理、心理状况和服务需求进行评估</w:t>
      </w:r>
      <w:r>
        <w:rPr>
          <w:rFonts w:hint="eastAsia" w:ascii="宋体" w:hAnsi="宋体"/>
        </w:rPr>
        <w:t>。能力评估指标按</w:t>
      </w:r>
      <w:r>
        <w:rPr>
          <w:rFonts w:ascii="宋体" w:hAnsi="宋体"/>
        </w:rPr>
        <w:t>GB/T 42195</w:t>
      </w:r>
      <w:r>
        <w:rPr>
          <w:rFonts w:hint="eastAsia" w:ascii="宋体" w:hAnsi="宋体"/>
        </w:rPr>
        <w:t>-</w:t>
      </w:r>
      <w:r>
        <w:rPr>
          <w:rFonts w:ascii="宋体" w:hAnsi="宋体"/>
        </w:rPr>
        <w:t>2022</w:t>
      </w:r>
      <w:r>
        <w:rPr>
          <w:rFonts w:hint="eastAsia" w:ascii="宋体" w:hAnsi="宋体"/>
        </w:rPr>
        <w:t>《老年人能力评估规范》标准附录B进行。</w:t>
      </w:r>
    </w:p>
    <w:p w14:paraId="133DB718">
      <w:pPr>
        <w:rPr>
          <w:rFonts w:ascii="宋体" w:hAnsi="宋体"/>
        </w:rPr>
      </w:pPr>
      <w:r>
        <w:rPr>
          <w:rFonts w:ascii="宋体" w:hAnsi="宋体"/>
        </w:rPr>
        <w:t>A.8.2</w:t>
      </w:r>
      <w:r>
        <w:rPr>
          <w:rFonts w:hint="eastAsia" w:ascii="宋体" w:hAnsi="宋体"/>
        </w:rPr>
        <w:t>能力评估服务要求</w:t>
      </w:r>
    </w:p>
    <w:p w14:paraId="33C77BE1">
      <w:pPr>
        <w:ind w:firstLine="420" w:firstLineChars="200"/>
        <w:rPr>
          <w:rFonts w:ascii="宋体" w:hAnsi="宋体"/>
        </w:rPr>
      </w:pPr>
      <w:r>
        <w:rPr>
          <w:rFonts w:hint="eastAsia" w:ascii="宋体" w:hAnsi="宋体"/>
        </w:rPr>
        <w:t>——</w:t>
      </w:r>
      <w:r>
        <w:rPr>
          <w:rFonts w:ascii="宋体" w:hAnsi="宋体"/>
        </w:rPr>
        <w:t>能力评估</w:t>
      </w:r>
      <w:r>
        <w:rPr>
          <w:rFonts w:hint="eastAsia" w:ascii="宋体" w:hAnsi="宋体"/>
        </w:rPr>
        <w:t>应</w:t>
      </w:r>
      <w:r>
        <w:rPr>
          <w:rFonts w:ascii="宋体" w:hAnsi="宋体"/>
        </w:rPr>
        <w:t>按照GB/T42195</w:t>
      </w:r>
      <w:r>
        <w:rPr>
          <w:rFonts w:hint="eastAsia" w:ascii="宋体" w:hAnsi="宋体"/>
        </w:rPr>
        <w:t>-</w:t>
      </w:r>
      <w:r>
        <w:rPr>
          <w:rFonts w:ascii="宋体" w:hAnsi="宋体"/>
        </w:rPr>
        <w:t>2022的要求实施</w:t>
      </w:r>
      <w:r>
        <w:rPr>
          <w:rFonts w:hint="eastAsia" w:ascii="宋体" w:hAnsi="宋体"/>
        </w:rPr>
        <w:t>，编制能力评估报告，报告满足</w:t>
      </w:r>
      <w:r>
        <w:rPr>
          <w:rFonts w:ascii="宋体" w:hAnsi="宋体"/>
        </w:rPr>
        <w:t>GB/T 42195</w:t>
      </w:r>
      <w:r>
        <w:rPr>
          <w:rFonts w:hint="eastAsia" w:ascii="宋体" w:hAnsi="宋体"/>
        </w:rPr>
        <w:t>-</w:t>
      </w:r>
      <w:r>
        <w:rPr>
          <w:rFonts w:ascii="宋体" w:hAnsi="宋体"/>
        </w:rPr>
        <w:t>2022</w:t>
      </w:r>
      <w:r>
        <w:rPr>
          <w:rFonts w:hint="eastAsia" w:ascii="宋体" w:hAnsi="宋体"/>
        </w:rPr>
        <w:t>附录C的要求。</w:t>
      </w:r>
    </w:p>
    <w:p w14:paraId="09957B20">
      <w:pPr>
        <w:ind w:firstLine="420" w:firstLineChars="200"/>
      </w:pPr>
      <w:r>
        <w:rPr>
          <w:rFonts w:hint="eastAsia"/>
        </w:rPr>
        <w:t>——</w:t>
      </w:r>
      <w:r>
        <w:t>评估员应具有医学或护理学学历背景，或获得社会工作者资格证书，或获得高级养老护理员资格证书，并经过专门培训获得评估员资格认证。</w:t>
      </w:r>
    </w:p>
    <w:p w14:paraId="667DCBC2">
      <w:pPr>
        <w:rPr>
          <w:rFonts w:ascii="黑体" w:hAnsi="黑体" w:eastAsia="黑体"/>
        </w:rPr>
      </w:pPr>
      <w:r>
        <w:rPr>
          <w:rFonts w:hint="eastAsia" w:ascii="黑体" w:hAnsi="黑体" w:eastAsia="黑体"/>
        </w:rPr>
        <w:t>A.9适老化改造服务要求</w:t>
      </w:r>
    </w:p>
    <w:p w14:paraId="3BA38673">
      <w:pPr>
        <w:rPr>
          <w:rFonts w:ascii="宋体" w:hAnsi="宋体"/>
        </w:rPr>
      </w:pPr>
      <w:r>
        <w:rPr>
          <w:rFonts w:hint="eastAsia" w:ascii="宋体" w:hAnsi="宋体"/>
        </w:rPr>
        <w:t>A.9</w:t>
      </w:r>
      <w:r>
        <w:rPr>
          <w:rFonts w:ascii="宋体" w:hAnsi="宋体"/>
        </w:rPr>
        <w:t>.1</w:t>
      </w:r>
      <w:r>
        <w:rPr>
          <w:rFonts w:hint="eastAsia" w:ascii="宋体" w:hAnsi="宋体"/>
        </w:rPr>
        <w:t>应根据老年人需求提供适老化改造服务，包括但不限于居室改造和适配改造等。</w:t>
      </w:r>
    </w:p>
    <w:p w14:paraId="3AAED7D4">
      <w:pPr>
        <w:rPr>
          <w:rFonts w:ascii="宋体" w:hAnsi="宋体"/>
        </w:rPr>
      </w:pPr>
      <w:r>
        <w:rPr>
          <w:rFonts w:hint="eastAsia" w:ascii="黑体" w:hAnsi="黑体" w:eastAsia="黑体"/>
        </w:rPr>
        <w:t>A.9.</w:t>
      </w:r>
      <w:r>
        <w:rPr>
          <w:rFonts w:ascii="黑体" w:hAnsi="黑体" w:eastAsia="黑体"/>
        </w:rPr>
        <w:t>2</w:t>
      </w:r>
      <w:r>
        <w:rPr>
          <w:rFonts w:hint="eastAsia" w:ascii="宋体" w:hAnsi="宋体"/>
        </w:rPr>
        <w:t>居室改造服务包括但不限于以下内容：</w:t>
      </w:r>
    </w:p>
    <w:p w14:paraId="507BFFD0">
      <w:pPr>
        <w:ind w:firstLine="420" w:firstLineChars="200"/>
        <w:rPr>
          <w:rFonts w:ascii="宋体" w:hAnsi="宋体"/>
        </w:rPr>
      </w:pPr>
      <w:r>
        <w:rPr>
          <w:rFonts w:hint="eastAsia" w:ascii="宋体" w:hAnsi="宋体"/>
        </w:rPr>
        <w:t>a）基础改造：墙体、高差、过道、地面、墙面、扶手、插座、开关、照明及窗户；</w:t>
      </w:r>
    </w:p>
    <w:p w14:paraId="41D6E96B">
      <w:pPr>
        <w:ind w:firstLine="420" w:firstLineChars="200"/>
        <w:rPr>
          <w:rFonts w:ascii="宋体" w:hAnsi="宋体"/>
        </w:rPr>
      </w:pPr>
      <w:r>
        <w:rPr>
          <w:rFonts w:hint="eastAsia" w:ascii="宋体" w:hAnsi="宋体"/>
        </w:rPr>
        <w:t>b）空间改造：入户空间、起居空间、卧室空间、洗漱空间、厨房空间。</w:t>
      </w:r>
    </w:p>
    <w:p w14:paraId="500FF31F">
      <w:pPr>
        <w:rPr>
          <w:rFonts w:ascii="宋体" w:hAnsi="宋体"/>
        </w:rPr>
      </w:pPr>
      <w:r>
        <w:rPr>
          <w:rFonts w:hint="eastAsia" w:ascii="黑体" w:hAnsi="黑体" w:eastAsia="黑体"/>
        </w:rPr>
        <w:t>A.9.</w:t>
      </w:r>
      <w:r>
        <w:rPr>
          <w:rFonts w:ascii="黑体" w:hAnsi="黑体" w:eastAsia="黑体"/>
        </w:rPr>
        <w:t>3</w:t>
      </w:r>
      <w:r>
        <w:rPr>
          <w:rFonts w:hint="eastAsia" w:ascii="宋体" w:hAnsi="宋体"/>
        </w:rPr>
        <w:t>适配改造服务包括但不限于以下内容：</w:t>
      </w:r>
    </w:p>
    <w:p w14:paraId="01D11795">
      <w:pPr>
        <w:ind w:firstLine="420" w:firstLineChars="200"/>
        <w:rPr>
          <w:rFonts w:ascii="宋体" w:hAnsi="宋体"/>
        </w:rPr>
      </w:pPr>
      <w:r>
        <w:rPr>
          <w:rFonts w:hint="eastAsia" w:ascii="宋体" w:hAnsi="宋体"/>
        </w:rPr>
        <w:t>a）适老家具配置；</w:t>
      </w:r>
    </w:p>
    <w:p w14:paraId="2D820AE2">
      <w:pPr>
        <w:ind w:firstLine="420" w:firstLineChars="200"/>
        <w:rPr>
          <w:rFonts w:ascii="宋体" w:hAnsi="宋体"/>
        </w:rPr>
      </w:pPr>
      <w:r>
        <w:rPr>
          <w:rFonts w:hint="eastAsia" w:ascii="宋体" w:hAnsi="宋体"/>
        </w:rPr>
        <w:t>b）智能化产品配置；</w:t>
      </w:r>
    </w:p>
    <w:p w14:paraId="1EC70F98">
      <w:pPr>
        <w:ind w:firstLine="420" w:firstLineChars="200"/>
        <w:rPr>
          <w:rFonts w:ascii="宋体" w:hAnsi="宋体"/>
        </w:rPr>
      </w:pPr>
      <w:r>
        <w:rPr>
          <w:rFonts w:hint="eastAsia" w:ascii="宋体" w:hAnsi="宋体"/>
        </w:rPr>
        <w:t>c）辅助器具配置。</w:t>
      </w:r>
    </w:p>
    <w:p w14:paraId="30562394">
      <w:pPr>
        <w:rPr>
          <w:rFonts w:ascii="宋体" w:hAnsi="宋体"/>
        </w:rPr>
      </w:pPr>
      <w:r>
        <w:rPr>
          <w:rFonts w:hint="eastAsia" w:ascii="黑体" w:hAnsi="黑体" w:eastAsia="黑体"/>
        </w:rPr>
        <w:t>A.9.</w:t>
      </w:r>
      <w:r>
        <w:rPr>
          <w:rFonts w:ascii="黑体" w:hAnsi="黑体" w:eastAsia="黑体"/>
        </w:rPr>
        <w:t>4</w:t>
      </w:r>
      <w:r>
        <w:rPr>
          <w:rFonts w:ascii="宋体" w:hAnsi="宋体"/>
        </w:rPr>
        <w:t>应根据老年人或相关第三方的改造意愿，以及老年人能力、家庭状况、建筑与居住环境和辅助器具需求的综合评估结果，提供适老化改造方案。</w:t>
      </w:r>
    </w:p>
    <w:p w14:paraId="48DE214C">
      <w:pPr>
        <w:rPr>
          <w:rFonts w:ascii="宋体" w:hAnsi="宋体"/>
        </w:rPr>
      </w:pPr>
      <w:r>
        <w:rPr>
          <w:rFonts w:hint="eastAsia" w:ascii="黑体" w:hAnsi="黑体" w:eastAsia="黑体"/>
        </w:rPr>
        <w:t>A.9.</w:t>
      </w:r>
      <w:r>
        <w:rPr>
          <w:rFonts w:ascii="黑体" w:hAnsi="黑体" w:eastAsia="黑体"/>
        </w:rPr>
        <w:t>5</w:t>
      </w:r>
      <w:r>
        <w:rPr>
          <w:rFonts w:ascii="宋体" w:hAnsi="宋体"/>
        </w:rPr>
        <w:t>应</w:t>
      </w:r>
      <w:r>
        <w:rPr>
          <w:rFonts w:hint="eastAsia" w:ascii="宋体" w:hAnsi="宋体"/>
        </w:rPr>
        <w:t>制定并按照施工方案和施工进度计划表开展适老化改造，</w:t>
      </w:r>
    </w:p>
    <w:p w14:paraId="0B3B783A">
      <w:pPr>
        <w:rPr>
          <w:rFonts w:ascii="宋体" w:hAnsi="宋体"/>
        </w:rPr>
      </w:pPr>
      <w:r>
        <w:rPr>
          <w:rFonts w:hint="eastAsia" w:ascii="黑体" w:hAnsi="黑体" w:eastAsia="黑体"/>
        </w:rPr>
        <w:t>A.9.</w:t>
      </w:r>
      <w:r>
        <w:rPr>
          <w:rFonts w:ascii="黑体" w:hAnsi="黑体" w:eastAsia="黑体"/>
        </w:rPr>
        <w:t>6</w:t>
      </w:r>
      <w:r>
        <w:rPr>
          <w:rFonts w:ascii="宋体" w:hAnsi="宋体"/>
        </w:rPr>
        <w:t>适老化改造完成后，应提供使用指导，定期回访，及时提供维护维修等售后服务。</w:t>
      </w:r>
    </w:p>
    <w:p w14:paraId="28FC9C69">
      <w:pPr>
        <w:rPr>
          <w:rFonts w:ascii="黑体" w:hAnsi="黑体" w:eastAsia="黑体"/>
        </w:rPr>
      </w:pPr>
      <w:r>
        <w:rPr>
          <w:rFonts w:hint="eastAsia" w:ascii="黑体" w:hAnsi="黑体" w:eastAsia="黑体"/>
        </w:rPr>
        <w:t>A.1</w:t>
      </w:r>
      <w:r>
        <w:rPr>
          <w:rFonts w:ascii="黑体" w:hAnsi="黑体" w:eastAsia="黑体"/>
        </w:rPr>
        <w:t xml:space="preserve">0 </w:t>
      </w:r>
      <w:r>
        <w:rPr>
          <w:rFonts w:hint="eastAsia" w:ascii="宋体" w:hAnsi="宋体"/>
        </w:rPr>
        <w:t>康复辅助器具租赁</w:t>
      </w:r>
    </w:p>
    <w:p w14:paraId="045FF5AE">
      <w:pPr>
        <w:rPr>
          <w:rFonts w:ascii="宋体" w:hAnsi="宋体"/>
        </w:rPr>
      </w:pPr>
      <w:r>
        <w:rPr>
          <w:rFonts w:hint="eastAsia" w:ascii="黑体" w:hAnsi="黑体" w:eastAsia="黑体"/>
        </w:rPr>
        <w:t>A.10.1</w:t>
      </w:r>
      <w:r>
        <w:rPr>
          <w:rFonts w:hint="eastAsia" w:ascii="宋体" w:hAnsi="宋体"/>
        </w:rPr>
        <w:t>康复辅助器具租赁包括但不限于：移动辅助、康复护理、防护辅助等多品种，</w:t>
      </w:r>
      <w:r>
        <w:rPr>
          <w:rFonts w:ascii="MicrosoftYaHei" w:hAnsi="MicrosoftYaHei"/>
          <w:color w:val="333333"/>
          <w:spacing w:val="8"/>
          <w:shd w:val="clear" w:color="auto" w:fill="F8F9F9"/>
        </w:rPr>
        <w:t>以民政部颁布的《中国康复辅助器具目录》为参照</w:t>
      </w:r>
      <w:r>
        <w:rPr>
          <w:rFonts w:ascii="宋体" w:hAnsi="宋体"/>
        </w:rPr>
        <w:t>。</w:t>
      </w:r>
    </w:p>
    <w:p w14:paraId="6E9C3701">
      <w:pPr>
        <w:rPr>
          <w:rFonts w:hint="eastAsia" w:ascii="MicrosoftYaHei" w:hAnsi="MicrosoftYaHei"/>
          <w:color w:val="333333"/>
          <w:spacing w:val="8"/>
          <w:shd w:val="clear" w:color="auto" w:fill="F8F9F9"/>
        </w:rPr>
      </w:pPr>
      <w:r>
        <w:rPr>
          <w:rFonts w:hint="eastAsia" w:ascii="黑体" w:hAnsi="黑体" w:eastAsia="黑体"/>
        </w:rPr>
        <w:t>A.10.2</w:t>
      </w:r>
      <w:r>
        <w:rPr>
          <w:rFonts w:hint="eastAsia" w:ascii="MicrosoftYaHei" w:hAnsi="MicrosoftYaHei"/>
          <w:color w:val="333333"/>
          <w:spacing w:val="8"/>
          <w:shd w:val="clear" w:color="auto" w:fill="F8F9F9"/>
        </w:rPr>
        <w:t>康复辅助器具租赁服务机构的要求但不限于：</w:t>
      </w:r>
    </w:p>
    <w:p w14:paraId="016C3E22">
      <w:pPr>
        <w:ind w:firstLine="678" w:firstLineChars="300"/>
        <w:rPr>
          <w:rFonts w:hint="eastAsia" w:ascii="MicrosoftYaHei" w:hAnsi="MicrosoftYaHei"/>
          <w:color w:val="333333"/>
          <w:spacing w:val="8"/>
          <w:shd w:val="clear" w:color="auto" w:fill="F8F9F9"/>
        </w:rPr>
      </w:pPr>
      <w:r>
        <w:rPr>
          <w:rFonts w:hint="eastAsia" w:ascii="MicrosoftYaHei" w:hAnsi="MicrosoftYaHei"/>
          <w:color w:val="333333"/>
          <w:spacing w:val="8"/>
          <w:shd w:val="clear" w:color="auto" w:fill="F8F9F9"/>
        </w:rPr>
        <w:t>a</w:t>
      </w:r>
      <w:r>
        <w:rPr>
          <w:rFonts w:ascii="MicrosoftYaHei" w:hAnsi="MicrosoftYaHei"/>
          <w:color w:val="333333"/>
          <w:spacing w:val="8"/>
          <w:shd w:val="clear" w:color="auto" w:fill="F8F9F9"/>
        </w:rPr>
        <w:t xml:space="preserve">) </w:t>
      </w:r>
      <w:r>
        <w:rPr>
          <w:rFonts w:hint="eastAsia" w:ascii="MicrosoftYaHei" w:hAnsi="MicrosoftYaHei"/>
          <w:color w:val="333333"/>
          <w:spacing w:val="8"/>
          <w:shd w:val="clear" w:color="auto" w:fill="F8F9F9"/>
        </w:rPr>
        <w:t>具有《医疗器械经营企业许可证》或《医疗器械经营备案凭证》</w:t>
      </w:r>
      <w:r>
        <w:rPr>
          <w:rFonts w:ascii="MicrosoftYaHei" w:hAnsi="MicrosoftYaHei"/>
          <w:color w:val="333333"/>
          <w:spacing w:val="8"/>
          <w:shd w:val="clear" w:color="auto" w:fill="F8F9F9"/>
        </w:rPr>
        <w:t>;</w:t>
      </w:r>
    </w:p>
    <w:p w14:paraId="600F775A">
      <w:pPr>
        <w:ind w:firstLine="678" w:firstLineChars="300"/>
        <w:rPr>
          <w:rFonts w:hint="eastAsia" w:ascii="MicrosoftYaHei" w:hAnsi="MicrosoftYaHei"/>
          <w:color w:val="333333"/>
          <w:spacing w:val="8"/>
          <w:shd w:val="clear" w:color="auto" w:fill="F8F9F9"/>
        </w:rPr>
      </w:pPr>
      <w:r>
        <w:rPr>
          <w:rFonts w:hint="eastAsia" w:ascii="MicrosoftYaHei" w:hAnsi="MicrosoftYaHei"/>
          <w:color w:val="333333"/>
          <w:spacing w:val="8"/>
          <w:shd w:val="clear" w:color="auto" w:fill="F8F9F9"/>
        </w:rPr>
        <w:t>b</w:t>
      </w:r>
      <w:r>
        <w:rPr>
          <w:rFonts w:ascii="MicrosoftYaHei" w:hAnsi="MicrosoftYaHei"/>
          <w:color w:val="333333"/>
          <w:spacing w:val="8"/>
          <w:shd w:val="clear" w:color="auto" w:fill="F8F9F9"/>
        </w:rPr>
        <w:t xml:space="preserve">) </w:t>
      </w:r>
      <w:r>
        <w:rPr>
          <w:rFonts w:hint="eastAsia" w:ascii="MicrosoftYaHei" w:hAnsi="MicrosoftYaHei"/>
          <w:color w:val="333333"/>
          <w:spacing w:val="8"/>
          <w:shd w:val="clear" w:color="auto" w:fill="F8F9F9"/>
        </w:rPr>
        <w:t>专业技术服务能力和专业服务人员；</w:t>
      </w:r>
    </w:p>
    <w:p w14:paraId="627812B6">
      <w:pPr>
        <w:ind w:firstLine="678" w:firstLineChars="300"/>
        <w:rPr>
          <w:rFonts w:hint="eastAsia" w:ascii="MicrosoftYaHei" w:hAnsi="MicrosoftYaHei"/>
          <w:color w:val="333333"/>
          <w:spacing w:val="8"/>
          <w:shd w:val="clear" w:color="auto" w:fill="F8F9F9"/>
        </w:rPr>
      </w:pPr>
      <w:r>
        <w:rPr>
          <w:rFonts w:hint="eastAsia" w:ascii="MicrosoftYaHei" w:hAnsi="MicrosoftYaHei"/>
          <w:color w:val="333333"/>
          <w:spacing w:val="8"/>
          <w:shd w:val="clear" w:color="auto" w:fill="F8F9F9"/>
        </w:rPr>
        <w:t>c</w:t>
      </w:r>
      <w:r>
        <w:rPr>
          <w:rFonts w:ascii="MicrosoftYaHei" w:hAnsi="MicrosoftYaHei"/>
          <w:color w:val="333333"/>
          <w:spacing w:val="8"/>
          <w:shd w:val="clear" w:color="auto" w:fill="F8F9F9"/>
        </w:rPr>
        <w:t xml:space="preserve">) </w:t>
      </w:r>
      <w:r>
        <w:rPr>
          <w:rFonts w:hint="eastAsia" w:ascii="MicrosoftYaHei" w:hAnsi="MicrosoftYaHei"/>
          <w:color w:val="333333"/>
          <w:spacing w:val="8"/>
          <w:shd w:val="clear" w:color="auto" w:fill="F8F9F9"/>
        </w:rPr>
        <w:t>具有所开展的租赁业务相适应的场地面积（如3</w:t>
      </w:r>
      <w:r>
        <w:rPr>
          <w:rFonts w:ascii="MicrosoftYaHei" w:hAnsi="MicrosoftYaHei"/>
          <w:color w:val="333333"/>
          <w:spacing w:val="8"/>
          <w:shd w:val="clear" w:color="auto" w:fill="F8F9F9"/>
        </w:rPr>
        <w:t>0</w:t>
      </w:r>
      <w:r>
        <w:rPr>
          <w:rFonts w:hint="eastAsia" w:ascii="MicrosoftYaHei" w:hAnsi="MicrosoftYaHei"/>
          <w:color w:val="333333"/>
          <w:spacing w:val="8"/>
          <w:shd w:val="clear" w:color="auto" w:fill="F8F9F9"/>
        </w:rPr>
        <w:t>㎡），便于展示和体验。</w:t>
      </w:r>
    </w:p>
    <w:p w14:paraId="7A5808B2">
      <w:pPr>
        <w:rPr>
          <w:rFonts w:hint="eastAsia" w:ascii="MicrosoftYaHei" w:hAnsi="MicrosoftYaHei"/>
          <w:color w:val="333333"/>
          <w:spacing w:val="8"/>
          <w:shd w:val="clear" w:color="auto" w:fill="F8F9F9"/>
        </w:rPr>
      </w:pPr>
    </w:p>
    <w:p w14:paraId="289AA03D">
      <w:pPr>
        <w:rPr>
          <w:rFonts w:ascii="黑体" w:hAnsi="黑体" w:eastAsia="黑体"/>
        </w:rPr>
      </w:pPr>
    </w:p>
    <w:p w14:paraId="23E73084">
      <w:pPr>
        <w:rPr>
          <w:rFonts w:ascii="黑体" w:hAnsi="黑体" w:eastAsia="黑体"/>
        </w:rPr>
      </w:pPr>
    </w:p>
    <w:p w14:paraId="02A0C4FD">
      <w:pPr>
        <w:rPr>
          <w:rFonts w:ascii="黑体" w:hAnsi="黑体" w:eastAsia="黑体"/>
        </w:rPr>
      </w:pPr>
    </w:p>
    <w:p w14:paraId="0CBA34C7">
      <w:pPr>
        <w:rPr>
          <w:rFonts w:ascii="黑体" w:hAnsi="黑体" w:eastAsia="黑体"/>
        </w:rPr>
      </w:pPr>
    </w:p>
    <w:p w14:paraId="6A1E1909">
      <w:pPr>
        <w:rPr>
          <w:rFonts w:ascii="黑体" w:hAnsi="黑体" w:eastAsia="黑体"/>
        </w:rPr>
      </w:pPr>
    </w:p>
    <w:p w14:paraId="3C19D046">
      <w:pPr>
        <w:rPr>
          <w:rFonts w:ascii="黑体" w:hAnsi="黑体" w:eastAsia="黑体"/>
        </w:rPr>
      </w:pPr>
    </w:p>
    <w:p w14:paraId="3B2C62FC">
      <w:pPr>
        <w:rPr>
          <w:rFonts w:ascii="黑体" w:hAnsi="黑体" w:eastAsia="黑体"/>
        </w:rPr>
      </w:pPr>
    </w:p>
    <w:p w14:paraId="0D6046D9">
      <w:pPr>
        <w:rPr>
          <w:rFonts w:ascii="黑体" w:hAnsi="黑体" w:eastAsia="黑体"/>
        </w:rPr>
      </w:pPr>
    </w:p>
    <w:p w14:paraId="077A60A4">
      <w:pPr>
        <w:rPr>
          <w:rFonts w:ascii="黑体" w:hAnsi="黑体" w:eastAsia="黑体"/>
        </w:rPr>
      </w:pPr>
    </w:p>
    <w:p w14:paraId="2614FF5D">
      <w:pPr>
        <w:rPr>
          <w:rFonts w:ascii="黑体" w:hAnsi="黑体" w:eastAsia="黑体"/>
        </w:rPr>
      </w:pPr>
    </w:p>
    <w:p w14:paraId="5B684FB4">
      <w:pPr>
        <w:rPr>
          <w:rFonts w:ascii="黑体" w:hAnsi="黑体" w:eastAsia="黑体"/>
        </w:rPr>
      </w:pPr>
    </w:p>
    <w:p w14:paraId="3CF4E2F8">
      <w:pPr>
        <w:pStyle w:val="3"/>
        <w:jc w:val="center"/>
        <w:rPr>
          <w:rFonts w:ascii="黑体" w:hAnsi="黑体" w:eastAsia="黑体"/>
          <w:sz w:val="28"/>
          <w:szCs w:val="28"/>
        </w:rPr>
      </w:pPr>
      <w:bookmarkStart w:id="57" w:name="_Toc186446329"/>
      <w:r>
        <w:rPr>
          <w:rFonts w:hint="eastAsia" w:ascii="黑体" w:hAnsi="黑体" w:eastAsia="黑体"/>
          <w:sz w:val="28"/>
          <w:szCs w:val="28"/>
        </w:rPr>
        <w:t>附录 B</w:t>
      </w:r>
      <w:bookmarkEnd w:id="57"/>
    </w:p>
    <w:p w14:paraId="5AA85524">
      <w:pPr>
        <w:jc w:val="center"/>
        <w:rPr>
          <w:rFonts w:ascii="黑体" w:hAnsi="黑体" w:eastAsia="黑体"/>
          <w:sz w:val="28"/>
          <w:szCs w:val="28"/>
        </w:rPr>
      </w:pPr>
      <w:r>
        <w:rPr>
          <w:rFonts w:hint="eastAsia" w:ascii="黑体" w:hAnsi="黑体" w:eastAsia="黑体"/>
          <w:sz w:val="28"/>
          <w:szCs w:val="28"/>
        </w:rPr>
        <w:t>（资料性附录）</w:t>
      </w:r>
    </w:p>
    <w:p w14:paraId="1AE58D6C">
      <w:pPr>
        <w:pStyle w:val="4"/>
        <w:jc w:val="center"/>
        <w:rPr>
          <w:rFonts w:ascii="黑体" w:hAnsi="黑体"/>
          <w:sz w:val="24"/>
          <w:szCs w:val="24"/>
        </w:rPr>
      </w:pPr>
      <w:bookmarkStart w:id="58" w:name="_Toc186446330"/>
      <w:r>
        <w:rPr>
          <w:rFonts w:hint="eastAsia" w:ascii="黑体" w:hAnsi="黑体"/>
          <w:sz w:val="24"/>
          <w:szCs w:val="24"/>
        </w:rPr>
        <w:t>社区居家养老服务特性测评工具</w:t>
      </w:r>
      <w:bookmarkEnd w:id="58"/>
    </w:p>
    <w:p w14:paraId="36D9B29E">
      <w:pPr>
        <w:rPr>
          <w:rFonts w:ascii="黑体" w:hAnsi="黑体" w:eastAsia="黑体"/>
        </w:rPr>
      </w:pPr>
      <w:r>
        <w:rPr>
          <w:rFonts w:hint="eastAsia" w:ascii="黑体" w:hAnsi="黑体" w:eastAsia="黑体"/>
        </w:rPr>
        <w:t>B.1社区居家养老服务特性为本文件附录A的指标测评。</w:t>
      </w:r>
    </w:p>
    <w:p w14:paraId="03A61A9D">
      <w:pPr>
        <w:rPr>
          <w:rFonts w:ascii="黑体" w:hAnsi="黑体" w:eastAsia="黑体"/>
        </w:rPr>
      </w:pPr>
      <w:r>
        <w:rPr>
          <w:rFonts w:hint="eastAsia" w:ascii="黑体" w:hAnsi="黑体" w:eastAsia="黑体"/>
        </w:rPr>
        <w:t>B.2根据服务项目和服务要求分别赋值，具体见表B.1</w:t>
      </w:r>
    </w:p>
    <w:p w14:paraId="7BBA6FF5">
      <w:pPr>
        <w:jc w:val="center"/>
      </w:pPr>
    </w:p>
    <w:p w14:paraId="320B42E2">
      <w:pPr>
        <w:jc w:val="center"/>
        <w:rPr>
          <w:rFonts w:ascii="黑体" w:hAnsi="黑体" w:eastAsia="黑体"/>
          <w:b/>
          <w:bCs/>
          <w:sz w:val="24"/>
          <w:szCs w:val="24"/>
        </w:rPr>
      </w:pPr>
      <w:r>
        <w:rPr>
          <w:rFonts w:hint="eastAsia"/>
          <w:b/>
          <w:bCs/>
          <w:sz w:val="24"/>
          <w:szCs w:val="24"/>
        </w:rPr>
        <w:t>表B.1社区居家养老服务</w:t>
      </w:r>
      <w:r>
        <w:rPr>
          <w:b/>
          <w:bCs/>
          <w:sz w:val="24"/>
          <w:szCs w:val="24"/>
        </w:rPr>
        <w:t>-</w:t>
      </w:r>
      <w:r>
        <w:rPr>
          <w:rFonts w:hint="eastAsia"/>
          <w:b/>
          <w:bCs/>
          <w:sz w:val="30"/>
          <w:szCs w:val="30"/>
        </w:rPr>
        <w:t>生活照料</w:t>
      </w:r>
      <w:r>
        <w:rPr>
          <w:rFonts w:hint="eastAsia"/>
          <w:b/>
          <w:bCs/>
          <w:sz w:val="24"/>
          <w:szCs w:val="24"/>
        </w:rPr>
        <w:t>特性测评工具</w:t>
      </w:r>
    </w:p>
    <w:tbl>
      <w:tblPr>
        <w:tblStyle w:val="28"/>
        <w:tblW w:w="10201" w:type="dxa"/>
        <w:tblInd w:w="-289" w:type="dxa"/>
        <w:tblLayout w:type="autofit"/>
        <w:tblCellMar>
          <w:top w:w="0" w:type="dxa"/>
          <w:left w:w="108" w:type="dxa"/>
          <w:bottom w:w="0" w:type="dxa"/>
          <w:right w:w="108" w:type="dxa"/>
        </w:tblCellMar>
      </w:tblPr>
      <w:tblGrid>
        <w:gridCol w:w="704"/>
        <w:gridCol w:w="851"/>
        <w:gridCol w:w="2080"/>
        <w:gridCol w:w="1040"/>
        <w:gridCol w:w="1132"/>
        <w:gridCol w:w="851"/>
        <w:gridCol w:w="1042"/>
        <w:gridCol w:w="942"/>
        <w:gridCol w:w="1559"/>
      </w:tblGrid>
      <w:tr w14:paraId="4EEE2F9E">
        <w:tblPrEx>
          <w:tblCellMar>
            <w:top w:w="0" w:type="dxa"/>
            <w:left w:w="108" w:type="dxa"/>
            <w:bottom w:w="0" w:type="dxa"/>
            <w:right w:w="108" w:type="dxa"/>
          </w:tblCellMar>
        </w:tblPrEx>
        <w:trPr>
          <w:trHeight w:val="560" w:hRule="atLeast"/>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22B13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851" w:type="dxa"/>
            <w:tcBorders>
              <w:top w:val="single" w:color="auto" w:sz="4" w:space="0"/>
              <w:left w:val="nil"/>
              <w:bottom w:val="single" w:color="auto" w:sz="4" w:space="0"/>
              <w:right w:val="single" w:color="auto" w:sz="4" w:space="0"/>
            </w:tcBorders>
            <w:shd w:val="clear" w:color="auto" w:fill="auto"/>
            <w:vAlign w:val="center"/>
          </w:tcPr>
          <w:p w14:paraId="3758A33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评价项目 （分值）</w:t>
            </w:r>
          </w:p>
        </w:tc>
        <w:tc>
          <w:tcPr>
            <w:tcW w:w="4252" w:type="dxa"/>
            <w:gridSpan w:val="3"/>
            <w:tcBorders>
              <w:top w:val="single" w:color="auto" w:sz="4" w:space="0"/>
              <w:left w:val="nil"/>
              <w:bottom w:val="single" w:color="auto" w:sz="4" w:space="0"/>
              <w:right w:val="single" w:color="auto" w:sz="4" w:space="0"/>
            </w:tcBorders>
            <w:shd w:val="clear" w:color="auto" w:fill="auto"/>
            <w:noWrap/>
            <w:vAlign w:val="center"/>
          </w:tcPr>
          <w:p w14:paraId="5D2975E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1" w:type="dxa"/>
            <w:tcBorders>
              <w:top w:val="single" w:color="auto" w:sz="4" w:space="0"/>
              <w:left w:val="nil"/>
              <w:bottom w:val="single" w:color="auto" w:sz="4" w:space="0"/>
              <w:right w:val="single" w:color="auto" w:sz="4" w:space="0"/>
            </w:tcBorders>
            <w:shd w:val="clear" w:color="auto" w:fill="auto"/>
            <w:vAlign w:val="center"/>
          </w:tcPr>
          <w:p w14:paraId="333709B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1042" w:type="dxa"/>
            <w:tcBorders>
              <w:top w:val="single" w:color="auto" w:sz="4" w:space="0"/>
              <w:left w:val="nil"/>
              <w:bottom w:val="single" w:color="auto" w:sz="4" w:space="0"/>
              <w:right w:val="single" w:color="auto" w:sz="4" w:space="0"/>
            </w:tcBorders>
            <w:shd w:val="clear" w:color="auto" w:fill="auto"/>
            <w:vAlign w:val="center"/>
          </w:tcPr>
          <w:p w14:paraId="2049725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942" w:type="dxa"/>
            <w:tcBorders>
              <w:top w:val="single" w:color="auto" w:sz="4" w:space="0"/>
              <w:left w:val="nil"/>
              <w:bottom w:val="single" w:color="auto" w:sz="4" w:space="0"/>
              <w:right w:val="single" w:color="auto" w:sz="4" w:space="0"/>
            </w:tcBorders>
            <w:shd w:val="clear" w:color="auto" w:fill="auto"/>
            <w:vAlign w:val="center"/>
          </w:tcPr>
          <w:p w14:paraId="7F2D9E9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1559" w:type="dxa"/>
            <w:tcBorders>
              <w:top w:val="single" w:color="auto" w:sz="4" w:space="0"/>
              <w:left w:val="nil"/>
              <w:bottom w:val="single" w:color="auto" w:sz="4" w:space="0"/>
              <w:right w:val="single" w:color="auto" w:sz="4" w:space="0"/>
            </w:tcBorders>
            <w:shd w:val="clear" w:color="auto" w:fill="auto"/>
            <w:vAlign w:val="center"/>
          </w:tcPr>
          <w:p w14:paraId="1EE83E88">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44056E4C">
        <w:tblPrEx>
          <w:tblCellMar>
            <w:top w:w="0" w:type="dxa"/>
            <w:left w:w="108" w:type="dxa"/>
            <w:bottom w:w="0" w:type="dxa"/>
            <w:right w:w="108" w:type="dxa"/>
          </w:tblCellMar>
        </w:tblPrEx>
        <w:trPr>
          <w:trHeight w:val="510" w:hRule="atLeast"/>
        </w:trPr>
        <w:tc>
          <w:tcPr>
            <w:tcW w:w="10201" w:type="dxa"/>
            <w:gridSpan w:val="9"/>
            <w:tcBorders>
              <w:top w:val="single" w:color="auto" w:sz="4" w:space="0"/>
              <w:left w:val="single" w:color="auto" w:sz="4" w:space="0"/>
              <w:bottom w:val="single" w:color="auto" w:sz="4" w:space="0"/>
              <w:right w:val="single" w:color="000000" w:sz="4" w:space="0"/>
            </w:tcBorders>
            <w:shd w:val="clear" w:color="000000" w:fill="auto"/>
            <w:noWrap/>
            <w:vAlign w:val="center"/>
          </w:tcPr>
          <w:p w14:paraId="003000A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 生活照料服务要求</w:t>
            </w:r>
          </w:p>
        </w:tc>
      </w:tr>
      <w:tr w14:paraId="54085D70">
        <w:tblPrEx>
          <w:tblCellMar>
            <w:top w:w="0" w:type="dxa"/>
            <w:left w:w="108" w:type="dxa"/>
            <w:bottom w:w="0" w:type="dxa"/>
            <w:right w:w="108" w:type="dxa"/>
          </w:tblCellMar>
        </w:tblPrEx>
        <w:trPr>
          <w:trHeight w:val="500" w:hRule="atLeast"/>
        </w:trPr>
        <w:tc>
          <w:tcPr>
            <w:tcW w:w="10201" w:type="dxa"/>
            <w:gridSpan w:val="9"/>
            <w:tcBorders>
              <w:top w:val="single" w:color="auto" w:sz="4" w:space="0"/>
              <w:left w:val="single" w:color="auto" w:sz="4" w:space="0"/>
              <w:bottom w:val="single" w:color="auto" w:sz="4" w:space="0"/>
              <w:right w:val="single" w:color="000000" w:sz="4" w:space="0"/>
            </w:tcBorders>
            <w:shd w:val="clear" w:color="000000" w:fill="auto"/>
            <w:noWrap/>
            <w:vAlign w:val="center"/>
          </w:tcPr>
          <w:p w14:paraId="3DD6E712">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1-1</w:t>
            </w:r>
            <w:r>
              <w:rPr>
                <w:rFonts w:hint="eastAsia" w:ascii="等线" w:hAnsi="等线" w:eastAsia="等线" w:cs="宋体"/>
                <w:color w:val="000000"/>
                <w:kern w:val="0"/>
                <w:sz w:val="22"/>
                <w:szCs w:val="22"/>
              </w:rPr>
              <w:t>生活照料服务（100分）</w:t>
            </w:r>
          </w:p>
        </w:tc>
      </w:tr>
      <w:tr w14:paraId="78C34169">
        <w:tblPrEx>
          <w:tblCellMar>
            <w:top w:w="0" w:type="dxa"/>
            <w:left w:w="108" w:type="dxa"/>
            <w:bottom w:w="0" w:type="dxa"/>
            <w:right w:w="108" w:type="dxa"/>
          </w:tblCellMar>
        </w:tblPrEx>
        <w:trPr>
          <w:trHeight w:val="90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378BBB6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51" w:type="dxa"/>
            <w:tcBorders>
              <w:top w:val="nil"/>
              <w:left w:val="nil"/>
              <w:bottom w:val="single" w:color="auto" w:sz="4" w:space="0"/>
              <w:right w:val="single" w:color="auto" w:sz="4" w:space="0"/>
            </w:tcBorders>
            <w:shd w:val="clear" w:color="auto" w:fill="auto"/>
            <w:vAlign w:val="center"/>
          </w:tcPr>
          <w:p w14:paraId="3B5E97F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252" w:type="dxa"/>
            <w:gridSpan w:val="3"/>
            <w:tcBorders>
              <w:top w:val="single" w:color="auto" w:sz="4" w:space="0"/>
              <w:left w:val="nil"/>
              <w:bottom w:val="single" w:color="auto" w:sz="4" w:space="0"/>
              <w:right w:val="single" w:color="auto" w:sz="4" w:space="0"/>
            </w:tcBorders>
            <w:shd w:val="clear" w:color="auto" w:fill="auto"/>
            <w:vAlign w:val="center"/>
          </w:tcPr>
          <w:p w14:paraId="357F807D">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生活护理，包括个人卫生护理、生活起居护理；</w:t>
            </w:r>
          </w:p>
        </w:tc>
        <w:tc>
          <w:tcPr>
            <w:tcW w:w="851" w:type="dxa"/>
            <w:tcBorders>
              <w:top w:val="nil"/>
              <w:left w:val="nil"/>
              <w:bottom w:val="single" w:color="auto" w:sz="4" w:space="0"/>
              <w:right w:val="single" w:color="auto" w:sz="4" w:space="0"/>
            </w:tcBorders>
            <w:shd w:val="clear" w:color="auto" w:fill="auto"/>
            <w:noWrap/>
            <w:vAlign w:val="center"/>
          </w:tcPr>
          <w:p w14:paraId="6BF5986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1042" w:type="dxa"/>
            <w:tcBorders>
              <w:top w:val="nil"/>
              <w:left w:val="nil"/>
              <w:bottom w:val="single" w:color="auto" w:sz="4" w:space="0"/>
              <w:right w:val="single" w:color="auto" w:sz="4" w:space="0"/>
            </w:tcBorders>
            <w:shd w:val="clear" w:color="auto" w:fill="auto"/>
            <w:noWrap/>
            <w:vAlign w:val="center"/>
          </w:tcPr>
          <w:p w14:paraId="57CE4AB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942" w:type="dxa"/>
            <w:tcBorders>
              <w:top w:val="nil"/>
              <w:left w:val="nil"/>
              <w:bottom w:val="single" w:color="auto" w:sz="4" w:space="0"/>
              <w:right w:val="single" w:color="auto" w:sz="4" w:space="0"/>
            </w:tcBorders>
            <w:shd w:val="clear" w:color="auto" w:fill="auto"/>
            <w:noWrap/>
            <w:vAlign w:val="center"/>
          </w:tcPr>
          <w:p w14:paraId="2B64FBC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noWrap/>
            <w:vAlign w:val="center"/>
          </w:tcPr>
          <w:p w14:paraId="688C33D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r>
      <w:tr w14:paraId="1984DF74">
        <w:tblPrEx>
          <w:tblCellMar>
            <w:top w:w="0" w:type="dxa"/>
            <w:left w:w="108" w:type="dxa"/>
            <w:bottom w:w="0" w:type="dxa"/>
            <w:right w:w="108" w:type="dxa"/>
          </w:tblCellMar>
        </w:tblPrEx>
        <w:trPr>
          <w:trHeight w:val="55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505D6D8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51" w:type="dxa"/>
            <w:vMerge w:val="restart"/>
            <w:tcBorders>
              <w:top w:val="nil"/>
              <w:left w:val="single" w:color="auto" w:sz="4" w:space="0"/>
              <w:bottom w:val="single" w:color="000000" w:sz="4" w:space="0"/>
              <w:right w:val="single" w:color="auto" w:sz="4" w:space="0"/>
            </w:tcBorders>
            <w:shd w:val="clear" w:color="auto" w:fill="auto"/>
            <w:vAlign w:val="center"/>
          </w:tcPr>
          <w:p w14:paraId="3A0C77A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252" w:type="dxa"/>
            <w:gridSpan w:val="3"/>
            <w:tcBorders>
              <w:top w:val="single" w:color="auto" w:sz="4" w:space="0"/>
              <w:left w:val="nil"/>
              <w:bottom w:val="single" w:color="auto" w:sz="4" w:space="0"/>
              <w:right w:val="single" w:color="auto" w:sz="4" w:space="0"/>
            </w:tcBorders>
            <w:shd w:val="clear" w:color="auto" w:fill="auto"/>
            <w:vAlign w:val="center"/>
          </w:tcPr>
          <w:p w14:paraId="06D6564C">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协助老人进行洗漱等个人卫生护理，应做到容貌整洁、衣着适度、指（趾）甲整洁、无异味。</w:t>
            </w:r>
          </w:p>
        </w:tc>
        <w:tc>
          <w:tcPr>
            <w:tcW w:w="851" w:type="dxa"/>
            <w:tcBorders>
              <w:top w:val="nil"/>
              <w:left w:val="nil"/>
              <w:bottom w:val="single" w:color="auto" w:sz="4" w:space="0"/>
              <w:right w:val="single" w:color="auto" w:sz="4" w:space="0"/>
            </w:tcBorders>
            <w:shd w:val="clear" w:color="auto" w:fill="auto"/>
            <w:noWrap/>
            <w:vAlign w:val="center"/>
          </w:tcPr>
          <w:p w14:paraId="1581E7A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1042" w:type="dxa"/>
            <w:tcBorders>
              <w:top w:val="nil"/>
              <w:left w:val="nil"/>
              <w:bottom w:val="single" w:color="auto" w:sz="4" w:space="0"/>
              <w:right w:val="single" w:color="auto" w:sz="4" w:space="0"/>
            </w:tcBorders>
            <w:shd w:val="clear" w:color="auto" w:fill="auto"/>
            <w:noWrap/>
            <w:vAlign w:val="center"/>
          </w:tcPr>
          <w:p w14:paraId="310E6ED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942" w:type="dxa"/>
            <w:tcBorders>
              <w:top w:val="nil"/>
              <w:left w:val="nil"/>
              <w:bottom w:val="single" w:color="auto" w:sz="4" w:space="0"/>
              <w:right w:val="single" w:color="auto" w:sz="4" w:space="0"/>
            </w:tcBorders>
            <w:shd w:val="clear" w:color="auto" w:fill="auto"/>
            <w:noWrap/>
            <w:vAlign w:val="center"/>
          </w:tcPr>
          <w:p w14:paraId="6F6EBB2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noWrap/>
            <w:vAlign w:val="center"/>
          </w:tcPr>
          <w:p w14:paraId="0838BF40">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r>
      <w:tr w14:paraId="03496785">
        <w:tblPrEx>
          <w:tblCellMar>
            <w:top w:w="0" w:type="dxa"/>
            <w:left w:w="108" w:type="dxa"/>
            <w:bottom w:w="0" w:type="dxa"/>
            <w:right w:w="108" w:type="dxa"/>
          </w:tblCellMar>
        </w:tblPrEx>
        <w:trPr>
          <w:trHeight w:val="140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090EE46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51" w:type="dxa"/>
            <w:vMerge w:val="continue"/>
            <w:tcBorders>
              <w:top w:val="nil"/>
              <w:left w:val="single" w:color="auto" w:sz="4" w:space="0"/>
              <w:bottom w:val="single" w:color="000000" w:sz="4" w:space="0"/>
              <w:right w:val="single" w:color="auto" w:sz="4" w:space="0"/>
            </w:tcBorders>
            <w:vAlign w:val="center"/>
          </w:tcPr>
          <w:p w14:paraId="66555D95">
            <w:pPr>
              <w:widowControl/>
              <w:adjustRightInd/>
              <w:spacing w:line="240" w:lineRule="auto"/>
              <w:jc w:val="left"/>
              <w:rPr>
                <w:rFonts w:ascii="等线" w:hAnsi="等线" w:eastAsia="等线" w:cs="宋体"/>
                <w:color w:val="000000"/>
                <w:kern w:val="0"/>
                <w:sz w:val="22"/>
                <w:szCs w:val="22"/>
              </w:rPr>
            </w:pPr>
          </w:p>
        </w:tc>
        <w:tc>
          <w:tcPr>
            <w:tcW w:w="4252" w:type="dxa"/>
            <w:gridSpan w:val="3"/>
            <w:tcBorders>
              <w:top w:val="single" w:color="auto" w:sz="4" w:space="0"/>
              <w:left w:val="nil"/>
              <w:bottom w:val="single" w:color="auto" w:sz="4" w:space="0"/>
              <w:right w:val="single" w:color="auto" w:sz="4" w:space="0"/>
            </w:tcBorders>
            <w:shd w:val="clear" w:color="auto" w:fill="auto"/>
            <w:vAlign w:val="center"/>
          </w:tcPr>
          <w:p w14:paraId="0CD19F1C">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协助老人饮食，用餐前老年人和服务人员须洗手，应根据老人的不同身体状态，提供相应的协助服务，如有咀嚼和吞咽功能障碍的老年人，要将食物切碎、搅拌等，确保老年人有充分时间咀嚼吞服，防止呛噎。</w:t>
            </w:r>
          </w:p>
        </w:tc>
        <w:tc>
          <w:tcPr>
            <w:tcW w:w="851" w:type="dxa"/>
            <w:tcBorders>
              <w:top w:val="nil"/>
              <w:left w:val="nil"/>
              <w:bottom w:val="single" w:color="auto" w:sz="4" w:space="0"/>
              <w:right w:val="single" w:color="auto" w:sz="4" w:space="0"/>
            </w:tcBorders>
            <w:shd w:val="clear" w:color="auto" w:fill="auto"/>
            <w:noWrap/>
            <w:vAlign w:val="center"/>
          </w:tcPr>
          <w:p w14:paraId="0764548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1042" w:type="dxa"/>
            <w:tcBorders>
              <w:top w:val="nil"/>
              <w:left w:val="nil"/>
              <w:bottom w:val="single" w:color="auto" w:sz="4" w:space="0"/>
              <w:right w:val="single" w:color="auto" w:sz="4" w:space="0"/>
            </w:tcBorders>
            <w:shd w:val="clear" w:color="auto" w:fill="auto"/>
            <w:noWrap/>
            <w:vAlign w:val="center"/>
          </w:tcPr>
          <w:p w14:paraId="3925B8D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942" w:type="dxa"/>
            <w:tcBorders>
              <w:top w:val="nil"/>
              <w:left w:val="nil"/>
              <w:bottom w:val="single" w:color="auto" w:sz="4" w:space="0"/>
              <w:right w:val="single" w:color="auto" w:sz="4" w:space="0"/>
            </w:tcBorders>
            <w:shd w:val="clear" w:color="auto" w:fill="auto"/>
            <w:noWrap/>
            <w:vAlign w:val="center"/>
          </w:tcPr>
          <w:p w14:paraId="1A3A087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noWrap/>
            <w:vAlign w:val="center"/>
          </w:tcPr>
          <w:p w14:paraId="1BA484D8">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r>
      <w:tr w14:paraId="5AF3FCA5">
        <w:tblPrEx>
          <w:tblCellMar>
            <w:top w:w="0" w:type="dxa"/>
            <w:left w:w="108" w:type="dxa"/>
            <w:bottom w:w="0" w:type="dxa"/>
            <w:right w:w="108" w:type="dxa"/>
          </w:tblCellMar>
        </w:tblPrEx>
        <w:trPr>
          <w:trHeight w:val="107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495289D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51" w:type="dxa"/>
            <w:vMerge w:val="continue"/>
            <w:tcBorders>
              <w:top w:val="nil"/>
              <w:left w:val="single" w:color="auto" w:sz="4" w:space="0"/>
              <w:bottom w:val="single" w:color="000000" w:sz="4" w:space="0"/>
              <w:right w:val="single" w:color="auto" w:sz="4" w:space="0"/>
            </w:tcBorders>
            <w:vAlign w:val="center"/>
          </w:tcPr>
          <w:p w14:paraId="6B693A2A">
            <w:pPr>
              <w:widowControl/>
              <w:adjustRightInd/>
              <w:spacing w:line="240" w:lineRule="auto"/>
              <w:jc w:val="left"/>
              <w:rPr>
                <w:rFonts w:ascii="等线" w:hAnsi="等线" w:eastAsia="等线" w:cs="宋体"/>
                <w:color w:val="000000"/>
                <w:kern w:val="0"/>
                <w:sz w:val="22"/>
                <w:szCs w:val="22"/>
              </w:rPr>
            </w:pPr>
          </w:p>
        </w:tc>
        <w:tc>
          <w:tcPr>
            <w:tcW w:w="4252" w:type="dxa"/>
            <w:gridSpan w:val="3"/>
            <w:tcBorders>
              <w:top w:val="single" w:color="auto" w:sz="4" w:space="0"/>
              <w:left w:val="nil"/>
              <w:bottom w:val="single" w:color="auto" w:sz="4" w:space="0"/>
              <w:right w:val="single" w:color="auto" w:sz="4" w:space="0"/>
            </w:tcBorders>
            <w:shd w:val="clear" w:color="auto" w:fill="auto"/>
            <w:vAlign w:val="center"/>
          </w:tcPr>
          <w:p w14:paraId="2DFF8E1E">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协助老人如厕时，应根据老人的身体状况，提供相应的协助完成相应的应协助到位，应保持老人皮肤清洁干燥，衣物无污迹，环境无污染，同时保护老人隐私。</w:t>
            </w:r>
          </w:p>
        </w:tc>
        <w:tc>
          <w:tcPr>
            <w:tcW w:w="851" w:type="dxa"/>
            <w:tcBorders>
              <w:top w:val="nil"/>
              <w:left w:val="nil"/>
              <w:bottom w:val="single" w:color="auto" w:sz="4" w:space="0"/>
              <w:right w:val="single" w:color="auto" w:sz="4" w:space="0"/>
            </w:tcBorders>
            <w:shd w:val="clear" w:color="auto" w:fill="auto"/>
            <w:noWrap/>
            <w:vAlign w:val="center"/>
          </w:tcPr>
          <w:p w14:paraId="3720BFE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1042" w:type="dxa"/>
            <w:tcBorders>
              <w:top w:val="nil"/>
              <w:left w:val="nil"/>
              <w:bottom w:val="single" w:color="auto" w:sz="4" w:space="0"/>
              <w:right w:val="single" w:color="auto" w:sz="4" w:space="0"/>
            </w:tcBorders>
            <w:shd w:val="clear" w:color="auto" w:fill="auto"/>
            <w:noWrap/>
            <w:vAlign w:val="center"/>
          </w:tcPr>
          <w:p w14:paraId="12CAC1E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942" w:type="dxa"/>
            <w:tcBorders>
              <w:top w:val="nil"/>
              <w:left w:val="nil"/>
              <w:bottom w:val="single" w:color="auto" w:sz="4" w:space="0"/>
              <w:right w:val="single" w:color="auto" w:sz="4" w:space="0"/>
            </w:tcBorders>
            <w:shd w:val="clear" w:color="auto" w:fill="auto"/>
            <w:noWrap/>
            <w:vAlign w:val="center"/>
          </w:tcPr>
          <w:p w14:paraId="1DD17E9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noWrap/>
            <w:vAlign w:val="center"/>
          </w:tcPr>
          <w:p w14:paraId="15EA31EE">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r>
      <w:tr w14:paraId="68608E75">
        <w:tblPrEx>
          <w:tblCellMar>
            <w:top w:w="0" w:type="dxa"/>
            <w:left w:w="108" w:type="dxa"/>
            <w:bottom w:w="0" w:type="dxa"/>
            <w:right w:w="108" w:type="dxa"/>
          </w:tblCellMar>
        </w:tblPrEx>
        <w:trPr>
          <w:trHeight w:val="64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02BAACB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51" w:type="dxa"/>
            <w:vMerge w:val="continue"/>
            <w:tcBorders>
              <w:top w:val="nil"/>
              <w:left w:val="single" w:color="auto" w:sz="4" w:space="0"/>
              <w:bottom w:val="single" w:color="000000" w:sz="4" w:space="0"/>
              <w:right w:val="single" w:color="auto" w:sz="4" w:space="0"/>
            </w:tcBorders>
            <w:vAlign w:val="center"/>
          </w:tcPr>
          <w:p w14:paraId="77BCC60B">
            <w:pPr>
              <w:widowControl/>
              <w:adjustRightInd/>
              <w:spacing w:line="240" w:lineRule="auto"/>
              <w:jc w:val="left"/>
              <w:rPr>
                <w:rFonts w:ascii="等线" w:hAnsi="等线" w:eastAsia="等线" w:cs="宋体"/>
                <w:color w:val="000000"/>
                <w:kern w:val="0"/>
                <w:sz w:val="22"/>
                <w:szCs w:val="22"/>
              </w:rPr>
            </w:pPr>
          </w:p>
        </w:tc>
        <w:tc>
          <w:tcPr>
            <w:tcW w:w="4252" w:type="dxa"/>
            <w:gridSpan w:val="3"/>
            <w:tcBorders>
              <w:top w:val="single" w:color="auto" w:sz="4" w:space="0"/>
              <w:left w:val="nil"/>
              <w:bottom w:val="single" w:color="auto" w:sz="4" w:space="0"/>
              <w:right w:val="single" w:color="auto" w:sz="4" w:space="0"/>
            </w:tcBorders>
            <w:shd w:val="clear" w:color="auto" w:fill="auto"/>
            <w:vAlign w:val="center"/>
          </w:tcPr>
          <w:p w14:paraId="46D54146">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定期翻晒、更换床上用品，保持床铺清洁、平整。</w:t>
            </w:r>
          </w:p>
        </w:tc>
        <w:tc>
          <w:tcPr>
            <w:tcW w:w="851" w:type="dxa"/>
            <w:tcBorders>
              <w:top w:val="nil"/>
              <w:left w:val="nil"/>
              <w:bottom w:val="single" w:color="auto" w:sz="4" w:space="0"/>
              <w:right w:val="single" w:color="auto" w:sz="4" w:space="0"/>
            </w:tcBorders>
            <w:shd w:val="clear" w:color="auto" w:fill="auto"/>
            <w:noWrap/>
            <w:vAlign w:val="center"/>
          </w:tcPr>
          <w:p w14:paraId="7C0198D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1042" w:type="dxa"/>
            <w:tcBorders>
              <w:top w:val="nil"/>
              <w:left w:val="nil"/>
              <w:bottom w:val="single" w:color="auto" w:sz="4" w:space="0"/>
              <w:right w:val="single" w:color="auto" w:sz="4" w:space="0"/>
            </w:tcBorders>
            <w:shd w:val="clear" w:color="auto" w:fill="auto"/>
            <w:noWrap/>
            <w:vAlign w:val="center"/>
          </w:tcPr>
          <w:p w14:paraId="21D1F75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942" w:type="dxa"/>
            <w:tcBorders>
              <w:top w:val="nil"/>
              <w:left w:val="nil"/>
              <w:bottom w:val="single" w:color="auto" w:sz="4" w:space="0"/>
              <w:right w:val="single" w:color="auto" w:sz="4" w:space="0"/>
            </w:tcBorders>
            <w:shd w:val="clear" w:color="auto" w:fill="auto"/>
            <w:noWrap/>
            <w:vAlign w:val="center"/>
          </w:tcPr>
          <w:p w14:paraId="7951F61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noWrap/>
            <w:vAlign w:val="center"/>
          </w:tcPr>
          <w:p w14:paraId="586D164C">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r>
      <w:tr w14:paraId="66C6A3BC">
        <w:tblPrEx>
          <w:tblCellMar>
            <w:top w:w="0" w:type="dxa"/>
            <w:left w:w="108" w:type="dxa"/>
            <w:bottom w:w="0" w:type="dxa"/>
            <w:right w:w="108" w:type="dxa"/>
          </w:tblCellMar>
        </w:tblPrEx>
        <w:trPr>
          <w:trHeight w:val="68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1A640F4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w:t>
            </w:r>
          </w:p>
        </w:tc>
        <w:tc>
          <w:tcPr>
            <w:tcW w:w="851" w:type="dxa"/>
            <w:vMerge w:val="continue"/>
            <w:tcBorders>
              <w:top w:val="nil"/>
              <w:left w:val="single" w:color="auto" w:sz="4" w:space="0"/>
              <w:bottom w:val="single" w:color="000000" w:sz="4" w:space="0"/>
              <w:right w:val="single" w:color="auto" w:sz="4" w:space="0"/>
            </w:tcBorders>
            <w:vAlign w:val="center"/>
          </w:tcPr>
          <w:p w14:paraId="2A116A0C">
            <w:pPr>
              <w:widowControl/>
              <w:adjustRightInd/>
              <w:spacing w:line="240" w:lineRule="auto"/>
              <w:jc w:val="left"/>
              <w:rPr>
                <w:rFonts w:ascii="等线" w:hAnsi="等线" w:eastAsia="等线" w:cs="宋体"/>
                <w:color w:val="000000"/>
                <w:kern w:val="0"/>
                <w:sz w:val="22"/>
                <w:szCs w:val="22"/>
              </w:rPr>
            </w:pPr>
          </w:p>
        </w:tc>
        <w:tc>
          <w:tcPr>
            <w:tcW w:w="4252" w:type="dxa"/>
            <w:gridSpan w:val="3"/>
            <w:tcBorders>
              <w:top w:val="single" w:color="auto" w:sz="4" w:space="0"/>
              <w:left w:val="nil"/>
              <w:bottom w:val="single" w:color="auto" w:sz="4" w:space="0"/>
              <w:right w:val="single" w:color="auto" w:sz="4" w:space="0"/>
            </w:tcBorders>
            <w:shd w:val="clear" w:color="auto" w:fill="auto"/>
            <w:vAlign w:val="center"/>
          </w:tcPr>
          <w:p w14:paraId="18AC5B0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用于生活护理的个人用具应保持清洁。</w:t>
            </w:r>
          </w:p>
        </w:tc>
        <w:tc>
          <w:tcPr>
            <w:tcW w:w="851" w:type="dxa"/>
            <w:tcBorders>
              <w:top w:val="nil"/>
              <w:left w:val="nil"/>
              <w:bottom w:val="single" w:color="auto" w:sz="4" w:space="0"/>
              <w:right w:val="single" w:color="auto" w:sz="4" w:space="0"/>
            </w:tcBorders>
            <w:shd w:val="clear" w:color="auto" w:fill="auto"/>
            <w:noWrap/>
            <w:vAlign w:val="center"/>
          </w:tcPr>
          <w:p w14:paraId="1409AE7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1042" w:type="dxa"/>
            <w:tcBorders>
              <w:top w:val="nil"/>
              <w:left w:val="nil"/>
              <w:bottom w:val="single" w:color="auto" w:sz="4" w:space="0"/>
              <w:right w:val="single" w:color="auto" w:sz="4" w:space="0"/>
            </w:tcBorders>
            <w:shd w:val="clear" w:color="auto" w:fill="auto"/>
            <w:noWrap/>
            <w:vAlign w:val="center"/>
          </w:tcPr>
          <w:p w14:paraId="4EF8D3F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942" w:type="dxa"/>
            <w:tcBorders>
              <w:top w:val="nil"/>
              <w:left w:val="nil"/>
              <w:bottom w:val="single" w:color="auto" w:sz="4" w:space="0"/>
              <w:right w:val="single" w:color="auto" w:sz="4" w:space="0"/>
            </w:tcBorders>
            <w:shd w:val="clear" w:color="auto" w:fill="auto"/>
            <w:noWrap/>
            <w:vAlign w:val="center"/>
          </w:tcPr>
          <w:p w14:paraId="46EA5C9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noWrap/>
            <w:vAlign w:val="center"/>
          </w:tcPr>
          <w:p w14:paraId="56B92CBE">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r>
      <w:tr w14:paraId="66A11FDC">
        <w:tblPrEx>
          <w:tblCellMar>
            <w:top w:w="0" w:type="dxa"/>
            <w:left w:w="108" w:type="dxa"/>
            <w:bottom w:w="0" w:type="dxa"/>
            <w:right w:w="108" w:type="dxa"/>
          </w:tblCellMar>
        </w:tblPrEx>
        <w:trPr>
          <w:trHeight w:val="64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28BED17A">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103" w:type="dxa"/>
            <w:gridSpan w:val="4"/>
            <w:tcBorders>
              <w:top w:val="single" w:color="auto" w:sz="4" w:space="0"/>
              <w:left w:val="nil"/>
              <w:bottom w:val="single" w:color="auto" w:sz="4" w:space="0"/>
              <w:right w:val="single" w:color="auto" w:sz="4" w:space="0"/>
            </w:tcBorders>
            <w:shd w:val="clear" w:color="auto" w:fill="auto"/>
            <w:noWrap/>
            <w:vAlign w:val="center"/>
          </w:tcPr>
          <w:p w14:paraId="5102737F">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851" w:type="dxa"/>
            <w:tcBorders>
              <w:top w:val="nil"/>
              <w:left w:val="nil"/>
              <w:bottom w:val="single" w:color="auto" w:sz="4" w:space="0"/>
              <w:right w:val="single" w:color="auto" w:sz="4" w:space="0"/>
            </w:tcBorders>
            <w:shd w:val="clear" w:color="auto" w:fill="auto"/>
            <w:noWrap/>
            <w:vAlign w:val="center"/>
          </w:tcPr>
          <w:p w14:paraId="0389411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1042" w:type="dxa"/>
            <w:tcBorders>
              <w:top w:val="nil"/>
              <w:left w:val="nil"/>
              <w:bottom w:val="single" w:color="auto" w:sz="4" w:space="0"/>
              <w:right w:val="single" w:color="auto" w:sz="4" w:space="0"/>
            </w:tcBorders>
            <w:shd w:val="clear" w:color="auto" w:fill="auto"/>
            <w:noWrap/>
            <w:vAlign w:val="bottom"/>
          </w:tcPr>
          <w:p w14:paraId="3AC5C8A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942" w:type="dxa"/>
            <w:tcBorders>
              <w:top w:val="nil"/>
              <w:left w:val="nil"/>
              <w:bottom w:val="single" w:color="auto" w:sz="4" w:space="0"/>
              <w:right w:val="single" w:color="auto" w:sz="4" w:space="0"/>
            </w:tcBorders>
            <w:shd w:val="clear" w:color="auto" w:fill="auto"/>
            <w:noWrap/>
            <w:vAlign w:val="bottom"/>
          </w:tcPr>
          <w:p w14:paraId="4D39088F">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0</w:t>
            </w:r>
          </w:p>
        </w:tc>
        <w:tc>
          <w:tcPr>
            <w:tcW w:w="1559" w:type="dxa"/>
            <w:tcBorders>
              <w:top w:val="nil"/>
              <w:left w:val="nil"/>
              <w:bottom w:val="single" w:color="auto" w:sz="4" w:space="0"/>
              <w:right w:val="single" w:color="auto" w:sz="4" w:space="0"/>
            </w:tcBorders>
            <w:shd w:val="clear" w:color="auto" w:fill="auto"/>
            <w:noWrap/>
            <w:vAlign w:val="bottom"/>
          </w:tcPr>
          <w:p w14:paraId="0023549C">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F9B7BF8">
        <w:tblPrEx>
          <w:tblCellMar>
            <w:top w:w="0" w:type="dxa"/>
            <w:left w:w="108" w:type="dxa"/>
            <w:bottom w:w="0" w:type="dxa"/>
            <w:right w:w="108" w:type="dxa"/>
          </w:tblCellMar>
        </w:tblPrEx>
        <w:trPr>
          <w:trHeight w:val="588" w:hRule="atLeast"/>
        </w:trPr>
        <w:tc>
          <w:tcPr>
            <w:tcW w:w="15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06A8DF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572F1332">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17E46364">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1132" w:type="dxa"/>
            <w:tcBorders>
              <w:top w:val="single" w:color="auto" w:sz="4" w:space="0"/>
              <w:left w:val="nil"/>
              <w:bottom w:val="single" w:color="auto" w:sz="4" w:space="0"/>
              <w:right w:val="single" w:color="auto" w:sz="4" w:space="0"/>
            </w:tcBorders>
            <w:shd w:val="clear" w:color="auto" w:fill="auto"/>
            <w:vAlign w:val="center"/>
          </w:tcPr>
          <w:p w14:paraId="0A2A5E70">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893" w:type="dxa"/>
            <w:gridSpan w:val="2"/>
            <w:tcBorders>
              <w:top w:val="single" w:color="auto" w:sz="4" w:space="0"/>
              <w:left w:val="nil"/>
              <w:bottom w:val="single" w:color="auto" w:sz="4" w:space="0"/>
              <w:right w:val="single" w:color="auto" w:sz="4" w:space="0"/>
            </w:tcBorders>
            <w:shd w:val="clear" w:color="auto" w:fill="auto"/>
            <w:noWrap/>
            <w:vAlign w:val="center"/>
          </w:tcPr>
          <w:p w14:paraId="45B6AF5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942" w:type="dxa"/>
            <w:tcBorders>
              <w:top w:val="nil"/>
              <w:left w:val="nil"/>
              <w:bottom w:val="single" w:color="auto" w:sz="4" w:space="0"/>
              <w:right w:val="single" w:color="auto" w:sz="4" w:space="0"/>
            </w:tcBorders>
            <w:shd w:val="clear" w:color="auto" w:fill="auto"/>
            <w:noWrap/>
            <w:vAlign w:val="center"/>
          </w:tcPr>
          <w:p w14:paraId="0389C15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noWrap/>
            <w:vAlign w:val="bottom"/>
          </w:tcPr>
          <w:p w14:paraId="67F13769">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090BB521">
      <w:pPr>
        <w:rPr>
          <w:rFonts w:ascii="黑体" w:hAnsi="黑体" w:eastAsia="黑体"/>
        </w:rPr>
      </w:pPr>
    </w:p>
    <w:p w14:paraId="36D7B077">
      <w:pPr>
        <w:jc w:val="center"/>
        <w:rPr>
          <w:rFonts w:ascii="黑体" w:hAnsi="黑体"/>
          <w:sz w:val="24"/>
          <w:szCs w:val="24"/>
        </w:rPr>
      </w:pPr>
      <w:r>
        <w:rPr>
          <w:rFonts w:hint="eastAsia" w:ascii="黑体" w:hAnsi="黑体"/>
          <w:b/>
          <w:bCs/>
          <w:sz w:val="24"/>
          <w:szCs w:val="24"/>
        </w:rPr>
        <w:t>表B.1社区居家养老服务</w:t>
      </w:r>
      <w:r>
        <w:rPr>
          <w:rFonts w:ascii="黑体" w:hAnsi="黑体"/>
          <w:b/>
          <w:bCs/>
          <w:sz w:val="24"/>
          <w:szCs w:val="24"/>
        </w:rPr>
        <w:t>-</w:t>
      </w:r>
      <w:r>
        <w:rPr>
          <w:rFonts w:hint="eastAsia" w:ascii="黑体" w:hAnsi="黑体"/>
          <w:b/>
          <w:bCs/>
          <w:sz w:val="30"/>
          <w:szCs w:val="30"/>
        </w:rPr>
        <w:t>生活照料</w:t>
      </w:r>
      <w:r>
        <w:rPr>
          <w:rFonts w:hint="eastAsia" w:ascii="黑体" w:hAnsi="黑体"/>
          <w:b/>
          <w:bCs/>
          <w:sz w:val="24"/>
          <w:szCs w:val="24"/>
        </w:rPr>
        <w:t>特性测评工具（续</w:t>
      </w:r>
      <w:r>
        <w:rPr>
          <w:rFonts w:ascii="黑体" w:hAnsi="黑体"/>
          <w:b/>
          <w:bCs/>
          <w:sz w:val="24"/>
          <w:szCs w:val="24"/>
        </w:rPr>
        <w:t>）</w:t>
      </w:r>
    </w:p>
    <w:p w14:paraId="7EEF06C0">
      <w:pPr>
        <w:jc w:val="center"/>
        <w:rPr>
          <w:rFonts w:ascii="黑体" w:hAnsi="黑体"/>
          <w:sz w:val="24"/>
          <w:szCs w:val="24"/>
        </w:rPr>
      </w:pPr>
    </w:p>
    <w:p w14:paraId="21AD03ED">
      <w:pPr>
        <w:jc w:val="center"/>
        <w:rPr>
          <w:rFonts w:ascii="黑体" w:hAnsi="黑体" w:eastAsia="黑体"/>
          <w:b/>
          <w:bCs/>
          <w:sz w:val="24"/>
          <w:szCs w:val="24"/>
        </w:rPr>
      </w:pPr>
    </w:p>
    <w:tbl>
      <w:tblPr>
        <w:tblStyle w:val="28"/>
        <w:tblpPr w:leftFromText="180" w:rightFromText="180" w:vertAnchor="page" w:horzAnchor="margin" w:tblpY="4382"/>
        <w:tblW w:w="9728" w:type="dxa"/>
        <w:tblInd w:w="0" w:type="dxa"/>
        <w:tblLayout w:type="autofit"/>
        <w:tblCellMar>
          <w:top w:w="0" w:type="dxa"/>
          <w:left w:w="108" w:type="dxa"/>
          <w:bottom w:w="0" w:type="dxa"/>
          <w:right w:w="108" w:type="dxa"/>
        </w:tblCellMar>
      </w:tblPr>
      <w:tblGrid>
        <w:gridCol w:w="421"/>
        <w:gridCol w:w="661"/>
        <w:gridCol w:w="2211"/>
        <w:gridCol w:w="1264"/>
        <w:gridCol w:w="1202"/>
        <w:gridCol w:w="736"/>
        <w:gridCol w:w="682"/>
        <w:gridCol w:w="1040"/>
        <w:gridCol w:w="1511"/>
      </w:tblGrid>
      <w:tr w14:paraId="73769719">
        <w:tblPrEx>
          <w:tblCellMar>
            <w:top w:w="0" w:type="dxa"/>
            <w:left w:w="108" w:type="dxa"/>
            <w:bottom w:w="0" w:type="dxa"/>
            <w:right w:w="108" w:type="dxa"/>
          </w:tblCellMar>
        </w:tblPrEx>
        <w:trPr>
          <w:trHeight w:val="550" w:hRule="atLeast"/>
        </w:trPr>
        <w:tc>
          <w:tcPr>
            <w:tcW w:w="9728"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2E227F21">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 xml:space="preserve">1-2 </w:t>
            </w:r>
            <w:r>
              <w:rPr>
                <w:rFonts w:hint="eastAsia" w:ascii="等线" w:hAnsi="等线" w:eastAsia="等线" w:cs="宋体"/>
                <w:color w:val="000000"/>
                <w:kern w:val="0"/>
                <w:sz w:val="22"/>
                <w:szCs w:val="22"/>
              </w:rPr>
              <w:t>助餐服务（100分）</w:t>
            </w:r>
          </w:p>
        </w:tc>
      </w:tr>
      <w:tr w14:paraId="211E178C">
        <w:tblPrEx>
          <w:tblCellMar>
            <w:top w:w="0" w:type="dxa"/>
            <w:left w:w="108" w:type="dxa"/>
            <w:bottom w:w="0" w:type="dxa"/>
            <w:right w:w="108" w:type="dxa"/>
          </w:tblCellMar>
        </w:tblPrEx>
        <w:trPr>
          <w:trHeight w:val="820" w:hRule="atLeast"/>
        </w:trPr>
        <w:tc>
          <w:tcPr>
            <w:tcW w:w="421" w:type="dxa"/>
            <w:tcBorders>
              <w:top w:val="nil"/>
              <w:left w:val="single" w:color="auto" w:sz="4" w:space="0"/>
              <w:bottom w:val="single" w:color="auto" w:sz="4" w:space="0"/>
              <w:right w:val="single" w:color="auto" w:sz="4" w:space="0"/>
            </w:tcBorders>
            <w:shd w:val="clear" w:color="auto" w:fill="auto"/>
            <w:noWrap/>
            <w:vAlign w:val="center"/>
          </w:tcPr>
          <w:p w14:paraId="628AD60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661" w:type="dxa"/>
            <w:tcBorders>
              <w:top w:val="nil"/>
              <w:left w:val="nil"/>
              <w:bottom w:val="single" w:color="auto" w:sz="4" w:space="0"/>
              <w:right w:val="single" w:color="auto" w:sz="4" w:space="0"/>
            </w:tcBorders>
            <w:shd w:val="clear" w:color="auto" w:fill="auto"/>
            <w:vAlign w:val="center"/>
          </w:tcPr>
          <w:p w14:paraId="565343A2">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677" w:type="dxa"/>
            <w:gridSpan w:val="3"/>
            <w:tcBorders>
              <w:top w:val="single" w:color="auto" w:sz="4" w:space="0"/>
              <w:left w:val="nil"/>
              <w:bottom w:val="single" w:color="auto" w:sz="4" w:space="0"/>
              <w:right w:val="single" w:color="auto" w:sz="4" w:space="0"/>
            </w:tcBorders>
            <w:shd w:val="clear" w:color="auto" w:fill="auto"/>
            <w:vAlign w:val="center"/>
          </w:tcPr>
          <w:p w14:paraId="7141C091">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应根据老年人需求提供多种形式的助餐服务，包括但不限于集中用餐、上门送餐等。</w:t>
            </w:r>
          </w:p>
        </w:tc>
        <w:tc>
          <w:tcPr>
            <w:tcW w:w="736" w:type="dxa"/>
            <w:tcBorders>
              <w:top w:val="nil"/>
              <w:left w:val="nil"/>
              <w:bottom w:val="single" w:color="auto" w:sz="4" w:space="0"/>
              <w:right w:val="single" w:color="auto" w:sz="4" w:space="0"/>
            </w:tcBorders>
            <w:shd w:val="clear" w:color="auto" w:fill="auto"/>
            <w:noWrap/>
            <w:vAlign w:val="center"/>
          </w:tcPr>
          <w:p w14:paraId="3F71D49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682" w:type="dxa"/>
            <w:tcBorders>
              <w:top w:val="nil"/>
              <w:left w:val="nil"/>
              <w:bottom w:val="single" w:color="auto" w:sz="4" w:space="0"/>
              <w:right w:val="single" w:color="auto" w:sz="4" w:space="0"/>
            </w:tcBorders>
            <w:shd w:val="clear" w:color="auto" w:fill="auto"/>
            <w:noWrap/>
            <w:vAlign w:val="center"/>
          </w:tcPr>
          <w:p w14:paraId="1629A96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55C1412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tcPr>
          <w:p w14:paraId="41C057CB">
            <w:pPr>
              <w:widowControl/>
              <w:adjustRightInd/>
              <w:spacing w:line="240" w:lineRule="auto"/>
              <w:jc w:val="left"/>
              <w:rPr>
                <w:rFonts w:ascii="等线" w:hAnsi="等线" w:eastAsia="等线" w:cs="宋体"/>
                <w:color w:val="FF0000"/>
                <w:kern w:val="0"/>
                <w:sz w:val="16"/>
                <w:szCs w:val="16"/>
              </w:rPr>
            </w:pPr>
            <w:r>
              <w:rPr>
                <w:rFonts w:hint="eastAsia" w:ascii="等线" w:hAnsi="等线" w:eastAsia="等线" w:cs="宋体"/>
                <w:color w:val="FF0000"/>
                <w:kern w:val="0"/>
                <w:sz w:val="16"/>
                <w:szCs w:val="16"/>
              </w:rPr>
              <w:t>　</w:t>
            </w:r>
          </w:p>
        </w:tc>
      </w:tr>
      <w:tr w14:paraId="5120B780">
        <w:tblPrEx>
          <w:tblCellMar>
            <w:top w:w="0" w:type="dxa"/>
            <w:left w:w="108" w:type="dxa"/>
            <w:bottom w:w="0" w:type="dxa"/>
            <w:right w:w="108" w:type="dxa"/>
          </w:tblCellMar>
        </w:tblPrEx>
        <w:trPr>
          <w:trHeight w:val="480" w:hRule="atLeast"/>
        </w:trPr>
        <w:tc>
          <w:tcPr>
            <w:tcW w:w="421" w:type="dxa"/>
            <w:tcBorders>
              <w:top w:val="nil"/>
              <w:left w:val="single" w:color="auto" w:sz="4" w:space="0"/>
              <w:bottom w:val="single" w:color="auto" w:sz="4" w:space="0"/>
              <w:right w:val="single" w:color="auto" w:sz="4" w:space="0"/>
            </w:tcBorders>
            <w:shd w:val="clear" w:color="auto" w:fill="auto"/>
            <w:noWrap/>
            <w:vAlign w:val="center"/>
          </w:tcPr>
          <w:p w14:paraId="582BF4F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661" w:type="dxa"/>
            <w:vMerge w:val="restart"/>
            <w:tcBorders>
              <w:top w:val="nil"/>
              <w:left w:val="single" w:color="auto" w:sz="4" w:space="0"/>
              <w:bottom w:val="single" w:color="000000" w:sz="4" w:space="0"/>
              <w:right w:val="single" w:color="auto" w:sz="4" w:space="0"/>
            </w:tcBorders>
            <w:shd w:val="clear" w:color="auto" w:fill="auto"/>
            <w:vAlign w:val="center"/>
          </w:tcPr>
          <w:p w14:paraId="29842F3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677" w:type="dxa"/>
            <w:gridSpan w:val="3"/>
            <w:tcBorders>
              <w:top w:val="single" w:color="auto" w:sz="4" w:space="0"/>
              <w:left w:val="nil"/>
              <w:bottom w:val="single" w:color="auto" w:sz="4" w:space="0"/>
              <w:right w:val="single" w:color="auto" w:sz="4" w:space="0"/>
            </w:tcBorders>
            <w:shd w:val="clear" w:color="auto" w:fill="auto"/>
            <w:vAlign w:val="center"/>
          </w:tcPr>
          <w:p w14:paraId="053FE145">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应符合国家和常州市食品安全法律法规的要求，完成餐饮制作，保证制作过程安全、卫生。</w:t>
            </w:r>
          </w:p>
        </w:tc>
        <w:tc>
          <w:tcPr>
            <w:tcW w:w="736" w:type="dxa"/>
            <w:tcBorders>
              <w:top w:val="nil"/>
              <w:left w:val="nil"/>
              <w:bottom w:val="single" w:color="auto" w:sz="4" w:space="0"/>
              <w:right w:val="single" w:color="auto" w:sz="4" w:space="0"/>
            </w:tcBorders>
            <w:shd w:val="clear" w:color="auto" w:fill="auto"/>
            <w:noWrap/>
            <w:vAlign w:val="center"/>
          </w:tcPr>
          <w:p w14:paraId="4375844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682" w:type="dxa"/>
            <w:tcBorders>
              <w:top w:val="nil"/>
              <w:left w:val="nil"/>
              <w:bottom w:val="single" w:color="auto" w:sz="4" w:space="0"/>
              <w:right w:val="single" w:color="auto" w:sz="4" w:space="0"/>
            </w:tcBorders>
            <w:shd w:val="clear" w:color="auto" w:fill="auto"/>
            <w:noWrap/>
            <w:vAlign w:val="center"/>
          </w:tcPr>
          <w:p w14:paraId="5E8D5D4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4D48AE0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tcPr>
          <w:p w14:paraId="1367AF81">
            <w:pPr>
              <w:widowControl/>
              <w:adjustRightInd/>
              <w:spacing w:line="240" w:lineRule="auto"/>
              <w:jc w:val="left"/>
              <w:rPr>
                <w:rFonts w:ascii="等线" w:hAnsi="等线" w:eastAsia="等线" w:cs="宋体"/>
                <w:color w:val="FF0000"/>
                <w:kern w:val="0"/>
                <w:sz w:val="16"/>
                <w:szCs w:val="16"/>
              </w:rPr>
            </w:pPr>
            <w:r>
              <w:rPr>
                <w:rFonts w:hint="eastAsia" w:ascii="等线" w:hAnsi="等线" w:eastAsia="等线" w:cs="宋体"/>
                <w:color w:val="FF0000"/>
                <w:kern w:val="0"/>
                <w:sz w:val="16"/>
                <w:szCs w:val="16"/>
              </w:rPr>
              <w:t>　</w:t>
            </w:r>
          </w:p>
        </w:tc>
      </w:tr>
      <w:tr w14:paraId="4C55995E">
        <w:tblPrEx>
          <w:tblCellMar>
            <w:top w:w="0" w:type="dxa"/>
            <w:left w:w="108" w:type="dxa"/>
            <w:bottom w:w="0" w:type="dxa"/>
            <w:right w:w="108" w:type="dxa"/>
          </w:tblCellMar>
        </w:tblPrEx>
        <w:trPr>
          <w:trHeight w:val="1310" w:hRule="atLeast"/>
        </w:trPr>
        <w:tc>
          <w:tcPr>
            <w:tcW w:w="421" w:type="dxa"/>
            <w:tcBorders>
              <w:top w:val="nil"/>
              <w:left w:val="single" w:color="auto" w:sz="4" w:space="0"/>
              <w:bottom w:val="single" w:color="auto" w:sz="4" w:space="0"/>
              <w:right w:val="single" w:color="auto" w:sz="4" w:space="0"/>
            </w:tcBorders>
            <w:shd w:val="clear" w:color="auto" w:fill="auto"/>
            <w:noWrap/>
            <w:vAlign w:val="center"/>
          </w:tcPr>
          <w:p w14:paraId="764E900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661" w:type="dxa"/>
            <w:vMerge w:val="continue"/>
            <w:tcBorders>
              <w:top w:val="nil"/>
              <w:left w:val="single" w:color="auto" w:sz="4" w:space="0"/>
              <w:bottom w:val="single" w:color="000000" w:sz="4" w:space="0"/>
              <w:right w:val="single" w:color="auto" w:sz="4" w:space="0"/>
            </w:tcBorders>
            <w:shd w:val="clear" w:color="auto" w:fill="auto"/>
            <w:vAlign w:val="center"/>
          </w:tcPr>
          <w:p w14:paraId="750800F8">
            <w:pPr>
              <w:widowControl/>
              <w:adjustRightInd/>
              <w:spacing w:line="240" w:lineRule="auto"/>
              <w:jc w:val="left"/>
              <w:rPr>
                <w:rFonts w:ascii="等线" w:hAnsi="等线" w:eastAsia="等线" w:cs="宋体"/>
                <w:color w:val="000000"/>
                <w:kern w:val="0"/>
                <w:sz w:val="22"/>
                <w:szCs w:val="22"/>
              </w:rPr>
            </w:pPr>
          </w:p>
        </w:tc>
        <w:tc>
          <w:tcPr>
            <w:tcW w:w="4677" w:type="dxa"/>
            <w:gridSpan w:val="3"/>
            <w:tcBorders>
              <w:top w:val="single" w:color="auto" w:sz="4" w:space="0"/>
              <w:left w:val="nil"/>
              <w:bottom w:val="single" w:color="auto" w:sz="4" w:space="0"/>
              <w:right w:val="single" w:color="auto" w:sz="4" w:space="0"/>
            </w:tcBorders>
            <w:shd w:val="clear" w:color="auto" w:fill="auto"/>
            <w:vAlign w:val="center"/>
          </w:tcPr>
          <w:p w14:paraId="7F629368">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应尊重老年人需求、地域特点、民族和宗教等习惯，制定多样化食谱并提前公布。</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注：老年人的食物选择参考WS/T 556—2017中第5章的要求。 </w:t>
            </w:r>
          </w:p>
        </w:tc>
        <w:tc>
          <w:tcPr>
            <w:tcW w:w="736" w:type="dxa"/>
            <w:tcBorders>
              <w:top w:val="nil"/>
              <w:left w:val="nil"/>
              <w:bottom w:val="single" w:color="auto" w:sz="4" w:space="0"/>
              <w:right w:val="single" w:color="auto" w:sz="4" w:space="0"/>
            </w:tcBorders>
            <w:shd w:val="clear" w:color="auto" w:fill="auto"/>
            <w:noWrap/>
            <w:vAlign w:val="center"/>
          </w:tcPr>
          <w:p w14:paraId="7BFC203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682" w:type="dxa"/>
            <w:tcBorders>
              <w:top w:val="nil"/>
              <w:left w:val="nil"/>
              <w:bottom w:val="single" w:color="auto" w:sz="4" w:space="0"/>
              <w:right w:val="single" w:color="auto" w:sz="4" w:space="0"/>
            </w:tcBorders>
            <w:shd w:val="clear" w:color="auto" w:fill="auto"/>
            <w:noWrap/>
            <w:vAlign w:val="center"/>
          </w:tcPr>
          <w:p w14:paraId="0C11505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1E18D57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tcPr>
          <w:p w14:paraId="7390905A">
            <w:pPr>
              <w:widowControl/>
              <w:adjustRightInd/>
              <w:spacing w:line="240" w:lineRule="auto"/>
              <w:jc w:val="left"/>
              <w:rPr>
                <w:rFonts w:ascii="等线" w:hAnsi="等线" w:eastAsia="等线" w:cs="宋体"/>
                <w:color w:val="000000"/>
                <w:kern w:val="0"/>
                <w:sz w:val="16"/>
                <w:szCs w:val="16"/>
              </w:rPr>
            </w:pPr>
            <w:r>
              <w:rPr>
                <w:rFonts w:hint="eastAsia" w:ascii="等线" w:hAnsi="等线" w:eastAsia="等线" w:cs="宋体"/>
                <w:color w:val="000000"/>
                <w:kern w:val="0"/>
                <w:sz w:val="16"/>
                <w:szCs w:val="16"/>
              </w:rPr>
              <w:t>　</w:t>
            </w:r>
          </w:p>
        </w:tc>
      </w:tr>
      <w:tr w14:paraId="3B070AE8">
        <w:tblPrEx>
          <w:tblCellMar>
            <w:top w:w="0" w:type="dxa"/>
            <w:left w:w="108" w:type="dxa"/>
            <w:bottom w:w="0" w:type="dxa"/>
            <w:right w:w="108" w:type="dxa"/>
          </w:tblCellMar>
        </w:tblPrEx>
        <w:trPr>
          <w:trHeight w:val="850" w:hRule="atLeast"/>
        </w:trPr>
        <w:tc>
          <w:tcPr>
            <w:tcW w:w="421" w:type="dxa"/>
            <w:tcBorders>
              <w:top w:val="nil"/>
              <w:left w:val="single" w:color="auto" w:sz="4" w:space="0"/>
              <w:bottom w:val="single" w:color="auto" w:sz="4" w:space="0"/>
              <w:right w:val="single" w:color="auto" w:sz="4" w:space="0"/>
            </w:tcBorders>
            <w:shd w:val="clear" w:color="auto" w:fill="auto"/>
            <w:noWrap/>
            <w:vAlign w:val="center"/>
          </w:tcPr>
          <w:p w14:paraId="58FF419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661" w:type="dxa"/>
            <w:vMerge w:val="continue"/>
            <w:tcBorders>
              <w:top w:val="nil"/>
              <w:left w:val="single" w:color="auto" w:sz="4" w:space="0"/>
              <w:bottom w:val="single" w:color="000000" w:sz="4" w:space="0"/>
              <w:right w:val="single" w:color="auto" w:sz="4" w:space="0"/>
            </w:tcBorders>
            <w:shd w:val="clear" w:color="auto" w:fill="auto"/>
            <w:vAlign w:val="center"/>
          </w:tcPr>
          <w:p w14:paraId="6AD08F34">
            <w:pPr>
              <w:widowControl/>
              <w:adjustRightInd/>
              <w:spacing w:line="240" w:lineRule="auto"/>
              <w:jc w:val="left"/>
              <w:rPr>
                <w:rFonts w:ascii="等线" w:hAnsi="等线" w:eastAsia="等线" w:cs="宋体"/>
                <w:color w:val="000000"/>
                <w:kern w:val="0"/>
                <w:sz w:val="22"/>
                <w:szCs w:val="22"/>
              </w:rPr>
            </w:pPr>
          </w:p>
        </w:tc>
        <w:tc>
          <w:tcPr>
            <w:tcW w:w="4677" w:type="dxa"/>
            <w:gridSpan w:val="3"/>
            <w:tcBorders>
              <w:top w:val="single" w:color="auto" w:sz="4" w:space="0"/>
              <w:left w:val="nil"/>
              <w:bottom w:val="single" w:color="auto" w:sz="4" w:space="0"/>
              <w:right w:val="single" w:color="auto" w:sz="4" w:space="0"/>
            </w:tcBorders>
            <w:shd w:val="clear" w:color="auto" w:fill="auto"/>
            <w:vAlign w:val="center"/>
          </w:tcPr>
          <w:p w14:paraId="5C208D0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分餐前应做好清洁与消毒，穿着工作服、工作帽，配单卫生手套与口罩。</w:t>
            </w:r>
          </w:p>
        </w:tc>
        <w:tc>
          <w:tcPr>
            <w:tcW w:w="736" w:type="dxa"/>
            <w:tcBorders>
              <w:top w:val="nil"/>
              <w:left w:val="nil"/>
              <w:bottom w:val="single" w:color="auto" w:sz="4" w:space="0"/>
              <w:right w:val="single" w:color="auto" w:sz="4" w:space="0"/>
            </w:tcBorders>
            <w:shd w:val="clear" w:color="auto" w:fill="auto"/>
            <w:noWrap/>
            <w:vAlign w:val="center"/>
          </w:tcPr>
          <w:p w14:paraId="17F6E51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682" w:type="dxa"/>
            <w:tcBorders>
              <w:top w:val="nil"/>
              <w:left w:val="nil"/>
              <w:bottom w:val="single" w:color="auto" w:sz="4" w:space="0"/>
              <w:right w:val="single" w:color="auto" w:sz="4" w:space="0"/>
            </w:tcBorders>
            <w:shd w:val="clear" w:color="auto" w:fill="auto"/>
            <w:noWrap/>
            <w:vAlign w:val="center"/>
          </w:tcPr>
          <w:p w14:paraId="0AA1A7C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531EE8C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tcPr>
          <w:p w14:paraId="772C3180">
            <w:pPr>
              <w:widowControl/>
              <w:adjustRightInd/>
              <w:spacing w:line="240" w:lineRule="auto"/>
              <w:jc w:val="left"/>
              <w:rPr>
                <w:rFonts w:ascii="等线" w:hAnsi="等线" w:eastAsia="等线" w:cs="宋体"/>
                <w:color w:val="000000"/>
                <w:kern w:val="0"/>
                <w:sz w:val="16"/>
                <w:szCs w:val="16"/>
              </w:rPr>
            </w:pPr>
            <w:r>
              <w:rPr>
                <w:rFonts w:hint="eastAsia" w:ascii="等线" w:hAnsi="等线" w:eastAsia="等线" w:cs="宋体"/>
                <w:color w:val="000000"/>
                <w:kern w:val="0"/>
                <w:sz w:val="16"/>
                <w:szCs w:val="16"/>
              </w:rPr>
              <w:t>　</w:t>
            </w:r>
          </w:p>
        </w:tc>
      </w:tr>
      <w:tr w14:paraId="080C7C64">
        <w:tblPrEx>
          <w:tblCellMar>
            <w:top w:w="0" w:type="dxa"/>
            <w:left w:w="108" w:type="dxa"/>
            <w:bottom w:w="0" w:type="dxa"/>
            <w:right w:w="108" w:type="dxa"/>
          </w:tblCellMar>
        </w:tblPrEx>
        <w:trPr>
          <w:trHeight w:val="1250" w:hRule="atLeast"/>
        </w:trPr>
        <w:tc>
          <w:tcPr>
            <w:tcW w:w="421" w:type="dxa"/>
            <w:tcBorders>
              <w:top w:val="nil"/>
              <w:left w:val="single" w:color="auto" w:sz="4" w:space="0"/>
              <w:bottom w:val="single" w:color="auto" w:sz="4" w:space="0"/>
              <w:right w:val="single" w:color="auto" w:sz="4" w:space="0"/>
            </w:tcBorders>
            <w:shd w:val="clear" w:color="auto" w:fill="auto"/>
            <w:noWrap/>
            <w:vAlign w:val="center"/>
          </w:tcPr>
          <w:p w14:paraId="07B21B6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661" w:type="dxa"/>
            <w:vMerge w:val="continue"/>
            <w:tcBorders>
              <w:top w:val="nil"/>
              <w:left w:val="single" w:color="auto" w:sz="4" w:space="0"/>
              <w:bottom w:val="single" w:color="000000" w:sz="4" w:space="0"/>
              <w:right w:val="single" w:color="auto" w:sz="4" w:space="0"/>
            </w:tcBorders>
            <w:shd w:val="clear" w:color="auto" w:fill="auto"/>
            <w:vAlign w:val="center"/>
          </w:tcPr>
          <w:p w14:paraId="506FE150">
            <w:pPr>
              <w:widowControl/>
              <w:adjustRightInd/>
              <w:spacing w:line="240" w:lineRule="auto"/>
              <w:jc w:val="left"/>
              <w:rPr>
                <w:rFonts w:ascii="等线" w:hAnsi="等线" w:eastAsia="等线" w:cs="宋体"/>
                <w:color w:val="000000"/>
                <w:kern w:val="0"/>
                <w:sz w:val="22"/>
                <w:szCs w:val="22"/>
              </w:rPr>
            </w:pPr>
          </w:p>
        </w:tc>
        <w:tc>
          <w:tcPr>
            <w:tcW w:w="4677" w:type="dxa"/>
            <w:gridSpan w:val="3"/>
            <w:tcBorders>
              <w:top w:val="single" w:color="auto" w:sz="4" w:space="0"/>
              <w:left w:val="nil"/>
              <w:bottom w:val="single" w:color="auto" w:sz="4" w:space="0"/>
              <w:right w:val="single" w:color="auto" w:sz="4" w:space="0"/>
            </w:tcBorders>
            <w:shd w:val="clear" w:color="auto" w:fill="auto"/>
            <w:vAlign w:val="center"/>
          </w:tcPr>
          <w:p w14:paraId="7269AC59">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助餐点应配置符合老年人特点额无障碍设施，就餐环境有序、清洁卫生，无安全隐患；</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提供充足的就餐座位和用餐时间，提供餐巾纸、洗手液、消毒液等并放置于便于拿取的位置。</w:t>
            </w:r>
          </w:p>
        </w:tc>
        <w:tc>
          <w:tcPr>
            <w:tcW w:w="736" w:type="dxa"/>
            <w:tcBorders>
              <w:top w:val="nil"/>
              <w:left w:val="nil"/>
              <w:bottom w:val="single" w:color="auto" w:sz="4" w:space="0"/>
              <w:right w:val="single" w:color="auto" w:sz="4" w:space="0"/>
            </w:tcBorders>
            <w:shd w:val="clear" w:color="auto" w:fill="auto"/>
            <w:noWrap/>
            <w:vAlign w:val="center"/>
          </w:tcPr>
          <w:p w14:paraId="1B37FB8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682" w:type="dxa"/>
            <w:tcBorders>
              <w:top w:val="nil"/>
              <w:left w:val="nil"/>
              <w:bottom w:val="single" w:color="auto" w:sz="4" w:space="0"/>
              <w:right w:val="single" w:color="auto" w:sz="4" w:space="0"/>
            </w:tcBorders>
            <w:shd w:val="clear" w:color="auto" w:fill="auto"/>
            <w:noWrap/>
            <w:vAlign w:val="center"/>
          </w:tcPr>
          <w:p w14:paraId="3957B59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5535675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tcPr>
          <w:p w14:paraId="0B923163">
            <w:pPr>
              <w:widowControl/>
              <w:adjustRightInd/>
              <w:spacing w:line="240" w:lineRule="auto"/>
              <w:jc w:val="left"/>
              <w:rPr>
                <w:rFonts w:ascii="等线" w:hAnsi="等线" w:eastAsia="等线" w:cs="宋体"/>
                <w:color w:val="000000"/>
                <w:kern w:val="0"/>
                <w:sz w:val="16"/>
                <w:szCs w:val="16"/>
              </w:rPr>
            </w:pPr>
            <w:r>
              <w:rPr>
                <w:rFonts w:hint="eastAsia" w:ascii="等线" w:hAnsi="等线" w:eastAsia="等线" w:cs="宋体"/>
                <w:color w:val="000000"/>
                <w:kern w:val="0"/>
                <w:sz w:val="16"/>
                <w:szCs w:val="16"/>
              </w:rPr>
              <w:t>　</w:t>
            </w:r>
          </w:p>
        </w:tc>
      </w:tr>
      <w:tr w14:paraId="7FE8CF93">
        <w:tblPrEx>
          <w:tblCellMar>
            <w:top w:w="0" w:type="dxa"/>
            <w:left w:w="108" w:type="dxa"/>
            <w:bottom w:w="0" w:type="dxa"/>
            <w:right w:w="108" w:type="dxa"/>
          </w:tblCellMar>
        </w:tblPrEx>
        <w:trPr>
          <w:trHeight w:val="910" w:hRule="atLeast"/>
        </w:trPr>
        <w:tc>
          <w:tcPr>
            <w:tcW w:w="421" w:type="dxa"/>
            <w:tcBorders>
              <w:top w:val="nil"/>
              <w:left w:val="single" w:color="auto" w:sz="4" w:space="0"/>
              <w:bottom w:val="single" w:color="auto" w:sz="4" w:space="0"/>
              <w:right w:val="single" w:color="auto" w:sz="4" w:space="0"/>
            </w:tcBorders>
            <w:shd w:val="clear" w:color="auto" w:fill="auto"/>
            <w:noWrap/>
            <w:vAlign w:val="center"/>
          </w:tcPr>
          <w:p w14:paraId="4B01365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w:t>
            </w:r>
          </w:p>
        </w:tc>
        <w:tc>
          <w:tcPr>
            <w:tcW w:w="661" w:type="dxa"/>
            <w:vMerge w:val="continue"/>
            <w:tcBorders>
              <w:top w:val="nil"/>
              <w:left w:val="single" w:color="auto" w:sz="4" w:space="0"/>
              <w:bottom w:val="single" w:color="000000" w:sz="4" w:space="0"/>
              <w:right w:val="single" w:color="auto" w:sz="4" w:space="0"/>
            </w:tcBorders>
            <w:shd w:val="clear" w:color="auto" w:fill="auto"/>
            <w:vAlign w:val="center"/>
          </w:tcPr>
          <w:p w14:paraId="5C9A948E">
            <w:pPr>
              <w:widowControl/>
              <w:adjustRightInd/>
              <w:spacing w:line="240" w:lineRule="auto"/>
              <w:jc w:val="left"/>
              <w:rPr>
                <w:rFonts w:ascii="等线" w:hAnsi="等线" w:eastAsia="等线" w:cs="宋体"/>
                <w:color w:val="000000"/>
                <w:kern w:val="0"/>
                <w:sz w:val="22"/>
                <w:szCs w:val="22"/>
              </w:rPr>
            </w:pPr>
          </w:p>
        </w:tc>
        <w:tc>
          <w:tcPr>
            <w:tcW w:w="4677" w:type="dxa"/>
            <w:gridSpan w:val="3"/>
            <w:tcBorders>
              <w:top w:val="single" w:color="auto" w:sz="4" w:space="0"/>
              <w:left w:val="nil"/>
              <w:bottom w:val="single" w:color="auto" w:sz="4" w:space="0"/>
              <w:right w:val="single" w:color="auto" w:sz="4" w:space="0"/>
            </w:tcBorders>
            <w:shd w:val="clear" w:color="auto" w:fill="auto"/>
            <w:vAlign w:val="center"/>
          </w:tcPr>
          <w:p w14:paraId="4CC9B950">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应配备专门的服务人员随时注意观察老年人用餐安全，发现异常时应及时处理。</w:t>
            </w:r>
          </w:p>
        </w:tc>
        <w:tc>
          <w:tcPr>
            <w:tcW w:w="736" w:type="dxa"/>
            <w:tcBorders>
              <w:top w:val="nil"/>
              <w:left w:val="nil"/>
              <w:bottom w:val="single" w:color="auto" w:sz="4" w:space="0"/>
              <w:right w:val="single" w:color="auto" w:sz="4" w:space="0"/>
            </w:tcBorders>
            <w:shd w:val="clear" w:color="auto" w:fill="auto"/>
            <w:noWrap/>
            <w:vAlign w:val="center"/>
          </w:tcPr>
          <w:p w14:paraId="2943650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682" w:type="dxa"/>
            <w:tcBorders>
              <w:top w:val="nil"/>
              <w:left w:val="nil"/>
              <w:bottom w:val="single" w:color="auto" w:sz="4" w:space="0"/>
              <w:right w:val="single" w:color="auto" w:sz="4" w:space="0"/>
            </w:tcBorders>
            <w:shd w:val="clear" w:color="auto" w:fill="auto"/>
            <w:vAlign w:val="center"/>
          </w:tcPr>
          <w:p w14:paraId="368A7D2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vAlign w:val="center"/>
          </w:tcPr>
          <w:p w14:paraId="6D2B4CC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tcPr>
          <w:p w14:paraId="6E751AA3">
            <w:pPr>
              <w:widowControl/>
              <w:adjustRightInd/>
              <w:spacing w:line="240" w:lineRule="auto"/>
              <w:jc w:val="left"/>
              <w:rPr>
                <w:rFonts w:ascii="等线" w:hAnsi="等线" w:eastAsia="等线" w:cs="宋体"/>
                <w:color w:val="000000"/>
                <w:kern w:val="0"/>
                <w:sz w:val="16"/>
                <w:szCs w:val="16"/>
              </w:rPr>
            </w:pPr>
            <w:r>
              <w:rPr>
                <w:rFonts w:hint="eastAsia" w:ascii="等线" w:hAnsi="等线" w:eastAsia="等线" w:cs="宋体"/>
                <w:color w:val="000000"/>
                <w:kern w:val="0"/>
                <w:sz w:val="16"/>
                <w:szCs w:val="16"/>
              </w:rPr>
              <w:t>　</w:t>
            </w:r>
          </w:p>
        </w:tc>
      </w:tr>
      <w:tr w14:paraId="729DB62F">
        <w:tblPrEx>
          <w:tblCellMar>
            <w:top w:w="0" w:type="dxa"/>
            <w:left w:w="108" w:type="dxa"/>
            <w:bottom w:w="0" w:type="dxa"/>
            <w:right w:w="108" w:type="dxa"/>
          </w:tblCellMar>
        </w:tblPrEx>
        <w:trPr>
          <w:trHeight w:val="1190" w:hRule="atLeast"/>
        </w:trPr>
        <w:tc>
          <w:tcPr>
            <w:tcW w:w="421" w:type="dxa"/>
            <w:tcBorders>
              <w:top w:val="nil"/>
              <w:left w:val="single" w:color="auto" w:sz="4" w:space="0"/>
              <w:bottom w:val="single" w:color="auto" w:sz="4" w:space="0"/>
              <w:right w:val="single" w:color="auto" w:sz="4" w:space="0"/>
            </w:tcBorders>
            <w:shd w:val="clear" w:color="auto" w:fill="auto"/>
            <w:noWrap/>
            <w:vAlign w:val="center"/>
          </w:tcPr>
          <w:p w14:paraId="4D96080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7</w:t>
            </w:r>
          </w:p>
        </w:tc>
        <w:tc>
          <w:tcPr>
            <w:tcW w:w="661" w:type="dxa"/>
            <w:vMerge w:val="continue"/>
            <w:tcBorders>
              <w:top w:val="nil"/>
              <w:left w:val="single" w:color="auto" w:sz="4" w:space="0"/>
              <w:bottom w:val="single" w:color="000000" w:sz="4" w:space="0"/>
              <w:right w:val="single" w:color="auto" w:sz="4" w:space="0"/>
            </w:tcBorders>
            <w:shd w:val="clear" w:color="auto" w:fill="auto"/>
            <w:vAlign w:val="center"/>
          </w:tcPr>
          <w:p w14:paraId="7C485DEF">
            <w:pPr>
              <w:widowControl/>
              <w:adjustRightInd/>
              <w:spacing w:line="240" w:lineRule="auto"/>
              <w:jc w:val="left"/>
              <w:rPr>
                <w:rFonts w:ascii="等线" w:hAnsi="等线" w:eastAsia="等线" w:cs="宋体"/>
                <w:color w:val="000000"/>
                <w:kern w:val="0"/>
                <w:sz w:val="22"/>
                <w:szCs w:val="22"/>
              </w:rPr>
            </w:pPr>
          </w:p>
        </w:tc>
        <w:tc>
          <w:tcPr>
            <w:tcW w:w="4677" w:type="dxa"/>
            <w:gridSpan w:val="3"/>
            <w:tcBorders>
              <w:top w:val="single" w:color="auto" w:sz="4" w:space="0"/>
              <w:left w:val="nil"/>
              <w:bottom w:val="single" w:color="auto" w:sz="4" w:space="0"/>
              <w:right w:val="single" w:color="auto" w:sz="4" w:space="0"/>
            </w:tcBorders>
            <w:shd w:val="clear" w:color="auto" w:fill="auto"/>
            <w:vAlign w:val="center"/>
          </w:tcPr>
          <w:p w14:paraId="4135EE3C">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送餐时，饮食应满足保温、保鲜、密封、防止细菌滋生等食品安全要求；</w:t>
            </w:r>
            <w:r>
              <w:rPr>
                <w:rFonts w:hint="eastAsia" w:ascii="等线" w:hAnsi="等线" w:eastAsia="等线" w:cs="宋体"/>
                <w:kern w:val="0"/>
                <w:sz w:val="18"/>
                <w:szCs w:val="18"/>
              </w:rPr>
              <w:br w:type="textWrapping"/>
            </w:r>
            <w:r>
              <w:rPr>
                <w:rFonts w:hint="eastAsia" w:ascii="等线" w:hAnsi="等线" w:eastAsia="等线" w:cs="宋体"/>
                <w:kern w:val="0"/>
                <w:sz w:val="18"/>
                <w:szCs w:val="18"/>
              </w:rPr>
              <w:t>运输工具应保持卫生，确保及时、准确、安全将餐饮送至指定地点，并与服务对象确认姓名、住址、菜品名称与数量等。</w:t>
            </w:r>
          </w:p>
        </w:tc>
        <w:tc>
          <w:tcPr>
            <w:tcW w:w="736" w:type="dxa"/>
            <w:tcBorders>
              <w:top w:val="nil"/>
              <w:left w:val="nil"/>
              <w:bottom w:val="single" w:color="auto" w:sz="4" w:space="0"/>
              <w:right w:val="single" w:color="auto" w:sz="4" w:space="0"/>
            </w:tcBorders>
            <w:shd w:val="clear" w:color="auto" w:fill="auto"/>
            <w:noWrap/>
            <w:vAlign w:val="center"/>
          </w:tcPr>
          <w:p w14:paraId="7B5511F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682" w:type="dxa"/>
            <w:tcBorders>
              <w:top w:val="nil"/>
              <w:left w:val="nil"/>
              <w:bottom w:val="single" w:color="auto" w:sz="4" w:space="0"/>
              <w:right w:val="single" w:color="auto" w:sz="4" w:space="0"/>
            </w:tcBorders>
            <w:shd w:val="clear" w:color="auto" w:fill="auto"/>
            <w:noWrap/>
            <w:vAlign w:val="center"/>
          </w:tcPr>
          <w:p w14:paraId="285C671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0F448A6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tcPr>
          <w:p w14:paraId="06E833F3">
            <w:pPr>
              <w:widowControl/>
              <w:adjustRightInd/>
              <w:spacing w:line="240" w:lineRule="auto"/>
              <w:jc w:val="left"/>
              <w:rPr>
                <w:rFonts w:ascii="等线" w:hAnsi="等线" w:eastAsia="等线" w:cs="宋体"/>
                <w:color w:val="000000"/>
                <w:kern w:val="0"/>
                <w:sz w:val="16"/>
                <w:szCs w:val="16"/>
              </w:rPr>
            </w:pPr>
            <w:r>
              <w:rPr>
                <w:rFonts w:hint="eastAsia" w:ascii="等线" w:hAnsi="等线" w:eastAsia="等线" w:cs="宋体"/>
                <w:color w:val="000000"/>
                <w:kern w:val="0"/>
                <w:sz w:val="16"/>
                <w:szCs w:val="16"/>
              </w:rPr>
              <w:t>　</w:t>
            </w:r>
          </w:p>
        </w:tc>
      </w:tr>
      <w:tr w14:paraId="5D2C1B4F">
        <w:tblPrEx>
          <w:tblCellMar>
            <w:top w:w="0" w:type="dxa"/>
            <w:left w:w="108" w:type="dxa"/>
            <w:bottom w:w="0" w:type="dxa"/>
            <w:right w:w="108" w:type="dxa"/>
          </w:tblCellMar>
        </w:tblPrEx>
        <w:trPr>
          <w:trHeight w:val="500" w:hRule="atLeast"/>
        </w:trPr>
        <w:tc>
          <w:tcPr>
            <w:tcW w:w="421" w:type="dxa"/>
            <w:tcBorders>
              <w:top w:val="nil"/>
              <w:left w:val="single" w:color="auto" w:sz="4" w:space="0"/>
              <w:bottom w:val="single" w:color="auto" w:sz="4" w:space="0"/>
              <w:right w:val="single" w:color="auto" w:sz="4" w:space="0"/>
            </w:tcBorders>
            <w:shd w:val="clear" w:color="auto" w:fill="auto"/>
            <w:noWrap/>
            <w:vAlign w:val="center"/>
          </w:tcPr>
          <w:p w14:paraId="2A4BB36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w:t>
            </w:r>
          </w:p>
        </w:tc>
        <w:tc>
          <w:tcPr>
            <w:tcW w:w="661" w:type="dxa"/>
            <w:vMerge w:val="continue"/>
            <w:tcBorders>
              <w:top w:val="nil"/>
              <w:left w:val="single" w:color="auto" w:sz="4" w:space="0"/>
              <w:bottom w:val="single" w:color="000000" w:sz="4" w:space="0"/>
              <w:right w:val="single" w:color="auto" w:sz="4" w:space="0"/>
            </w:tcBorders>
            <w:shd w:val="clear" w:color="auto" w:fill="auto"/>
            <w:vAlign w:val="center"/>
          </w:tcPr>
          <w:p w14:paraId="7A828EB5">
            <w:pPr>
              <w:widowControl/>
              <w:adjustRightInd/>
              <w:spacing w:line="240" w:lineRule="auto"/>
              <w:jc w:val="left"/>
              <w:rPr>
                <w:rFonts w:ascii="等线" w:hAnsi="等线" w:eastAsia="等线" w:cs="宋体"/>
                <w:color w:val="000000"/>
                <w:kern w:val="0"/>
                <w:sz w:val="22"/>
                <w:szCs w:val="22"/>
              </w:rPr>
            </w:pPr>
          </w:p>
        </w:tc>
        <w:tc>
          <w:tcPr>
            <w:tcW w:w="4677" w:type="dxa"/>
            <w:gridSpan w:val="3"/>
            <w:tcBorders>
              <w:top w:val="single" w:color="auto" w:sz="4" w:space="0"/>
              <w:left w:val="nil"/>
              <w:bottom w:val="single" w:color="auto" w:sz="4" w:space="0"/>
              <w:right w:val="single" w:color="auto" w:sz="4" w:space="0"/>
            </w:tcBorders>
            <w:shd w:val="clear" w:color="auto" w:fill="auto"/>
            <w:vAlign w:val="center"/>
          </w:tcPr>
          <w:p w14:paraId="5391AEE1">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用餐结束后应及时清理，确保就餐环境清洁卫生。</w:t>
            </w:r>
          </w:p>
        </w:tc>
        <w:tc>
          <w:tcPr>
            <w:tcW w:w="736" w:type="dxa"/>
            <w:tcBorders>
              <w:top w:val="nil"/>
              <w:left w:val="nil"/>
              <w:bottom w:val="single" w:color="auto" w:sz="4" w:space="0"/>
              <w:right w:val="single" w:color="auto" w:sz="4" w:space="0"/>
            </w:tcBorders>
            <w:shd w:val="clear" w:color="auto" w:fill="auto"/>
            <w:noWrap/>
            <w:vAlign w:val="center"/>
          </w:tcPr>
          <w:p w14:paraId="78D8483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682" w:type="dxa"/>
            <w:tcBorders>
              <w:top w:val="nil"/>
              <w:left w:val="nil"/>
              <w:bottom w:val="single" w:color="auto" w:sz="4" w:space="0"/>
              <w:right w:val="single" w:color="auto" w:sz="4" w:space="0"/>
            </w:tcBorders>
            <w:shd w:val="clear" w:color="auto" w:fill="auto"/>
            <w:noWrap/>
            <w:vAlign w:val="center"/>
          </w:tcPr>
          <w:p w14:paraId="7A7C258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1093BE4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tcPr>
          <w:p w14:paraId="15C59C24">
            <w:pPr>
              <w:widowControl/>
              <w:adjustRightInd/>
              <w:spacing w:line="240" w:lineRule="auto"/>
              <w:jc w:val="left"/>
              <w:rPr>
                <w:rFonts w:ascii="等线" w:hAnsi="等线" w:eastAsia="等线" w:cs="宋体"/>
                <w:color w:val="000000"/>
                <w:kern w:val="0"/>
                <w:sz w:val="16"/>
                <w:szCs w:val="16"/>
              </w:rPr>
            </w:pPr>
            <w:r>
              <w:rPr>
                <w:rFonts w:hint="eastAsia" w:ascii="等线" w:hAnsi="等线" w:eastAsia="等线" w:cs="宋体"/>
                <w:color w:val="000000"/>
                <w:kern w:val="0"/>
                <w:sz w:val="16"/>
                <w:szCs w:val="16"/>
              </w:rPr>
              <w:t>　</w:t>
            </w:r>
          </w:p>
        </w:tc>
      </w:tr>
      <w:tr w14:paraId="1DA72E10">
        <w:tblPrEx>
          <w:tblCellMar>
            <w:top w:w="0" w:type="dxa"/>
            <w:left w:w="108" w:type="dxa"/>
            <w:bottom w:w="0" w:type="dxa"/>
            <w:right w:w="108" w:type="dxa"/>
          </w:tblCellMar>
        </w:tblPrEx>
        <w:trPr>
          <w:trHeight w:val="589" w:hRule="atLeast"/>
        </w:trPr>
        <w:tc>
          <w:tcPr>
            <w:tcW w:w="421" w:type="dxa"/>
            <w:tcBorders>
              <w:top w:val="nil"/>
              <w:left w:val="single" w:color="auto" w:sz="4" w:space="0"/>
              <w:bottom w:val="single" w:color="auto" w:sz="4" w:space="0"/>
              <w:right w:val="single" w:color="auto" w:sz="4" w:space="0"/>
            </w:tcBorders>
            <w:shd w:val="clear" w:color="auto" w:fill="auto"/>
            <w:noWrap/>
            <w:vAlign w:val="center"/>
          </w:tcPr>
          <w:p w14:paraId="2CEAECF5">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338" w:type="dxa"/>
            <w:gridSpan w:val="4"/>
            <w:tcBorders>
              <w:top w:val="single" w:color="auto" w:sz="4" w:space="0"/>
              <w:left w:val="nil"/>
              <w:bottom w:val="single" w:color="auto" w:sz="4" w:space="0"/>
              <w:right w:val="single" w:color="auto" w:sz="4" w:space="0"/>
            </w:tcBorders>
            <w:shd w:val="clear" w:color="auto" w:fill="auto"/>
            <w:noWrap/>
            <w:vAlign w:val="center"/>
          </w:tcPr>
          <w:p w14:paraId="323B7982">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736" w:type="dxa"/>
            <w:tcBorders>
              <w:top w:val="nil"/>
              <w:left w:val="nil"/>
              <w:bottom w:val="single" w:color="auto" w:sz="4" w:space="0"/>
              <w:right w:val="single" w:color="auto" w:sz="4" w:space="0"/>
            </w:tcBorders>
            <w:shd w:val="clear" w:color="auto" w:fill="auto"/>
            <w:noWrap/>
            <w:vAlign w:val="center"/>
          </w:tcPr>
          <w:p w14:paraId="090A2D3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682" w:type="dxa"/>
            <w:tcBorders>
              <w:top w:val="nil"/>
              <w:left w:val="nil"/>
              <w:bottom w:val="single" w:color="auto" w:sz="4" w:space="0"/>
              <w:right w:val="single" w:color="auto" w:sz="4" w:space="0"/>
            </w:tcBorders>
            <w:shd w:val="clear" w:color="auto" w:fill="auto"/>
            <w:noWrap/>
            <w:vAlign w:val="bottom"/>
          </w:tcPr>
          <w:p w14:paraId="5D389349">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bottom"/>
          </w:tcPr>
          <w:p w14:paraId="0C4CF667">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noWrap/>
            <w:vAlign w:val="bottom"/>
          </w:tcPr>
          <w:p w14:paraId="352FAA89">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DD73B49">
        <w:tblPrEx>
          <w:tblCellMar>
            <w:top w:w="0" w:type="dxa"/>
            <w:left w:w="108" w:type="dxa"/>
            <w:bottom w:w="0" w:type="dxa"/>
            <w:right w:w="108" w:type="dxa"/>
          </w:tblCellMar>
        </w:tblPrEx>
        <w:trPr>
          <w:trHeight w:val="711" w:hRule="atLeast"/>
        </w:trPr>
        <w:tc>
          <w:tcPr>
            <w:tcW w:w="108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1BE9CF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211" w:type="dxa"/>
            <w:tcBorders>
              <w:top w:val="single" w:color="auto" w:sz="4" w:space="0"/>
              <w:left w:val="nil"/>
              <w:bottom w:val="single" w:color="auto" w:sz="4" w:space="0"/>
              <w:right w:val="single" w:color="auto" w:sz="4" w:space="0"/>
            </w:tcBorders>
            <w:shd w:val="clear" w:color="auto" w:fill="auto"/>
            <w:vAlign w:val="center"/>
          </w:tcPr>
          <w:p w14:paraId="2EDBBCC8">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264" w:type="dxa"/>
            <w:tcBorders>
              <w:top w:val="nil"/>
              <w:left w:val="nil"/>
              <w:bottom w:val="single" w:color="auto" w:sz="4" w:space="0"/>
              <w:right w:val="single" w:color="auto" w:sz="4" w:space="0"/>
            </w:tcBorders>
            <w:shd w:val="clear" w:color="auto" w:fill="auto"/>
            <w:vAlign w:val="center"/>
          </w:tcPr>
          <w:p w14:paraId="3ACDFE8F">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1202" w:type="dxa"/>
            <w:tcBorders>
              <w:top w:val="single" w:color="auto" w:sz="4" w:space="0"/>
              <w:left w:val="nil"/>
              <w:bottom w:val="single" w:color="auto" w:sz="4" w:space="0"/>
              <w:right w:val="single" w:color="auto" w:sz="4" w:space="0"/>
            </w:tcBorders>
            <w:shd w:val="clear" w:color="auto" w:fill="auto"/>
            <w:vAlign w:val="center"/>
          </w:tcPr>
          <w:p w14:paraId="5277CD33">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418" w:type="dxa"/>
            <w:gridSpan w:val="2"/>
            <w:tcBorders>
              <w:top w:val="single" w:color="auto" w:sz="4" w:space="0"/>
              <w:left w:val="nil"/>
              <w:bottom w:val="single" w:color="auto" w:sz="4" w:space="0"/>
              <w:right w:val="single" w:color="auto" w:sz="4" w:space="0"/>
            </w:tcBorders>
            <w:shd w:val="clear" w:color="auto" w:fill="auto"/>
            <w:noWrap/>
            <w:vAlign w:val="center"/>
          </w:tcPr>
          <w:p w14:paraId="6E34F4E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1040" w:type="dxa"/>
            <w:tcBorders>
              <w:top w:val="nil"/>
              <w:left w:val="nil"/>
              <w:bottom w:val="single" w:color="auto" w:sz="4" w:space="0"/>
              <w:right w:val="single" w:color="auto" w:sz="4" w:space="0"/>
            </w:tcBorders>
            <w:shd w:val="clear" w:color="auto" w:fill="auto"/>
            <w:noWrap/>
            <w:vAlign w:val="center"/>
          </w:tcPr>
          <w:p w14:paraId="4CB28B7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1" w:type="dxa"/>
            <w:tcBorders>
              <w:top w:val="nil"/>
              <w:left w:val="nil"/>
              <w:bottom w:val="single" w:color="auto" w:sz="4" w:space="0"/>
              <w:right w:val="single" w:color="auto" w:sz="4" w:space="0"/>
            </w:tcBorders>
            <w:shd w:val="clear" w:color="auto" w:fill="auto"/>
            <w:noWrap/>
            <w:vAlign w:val="bottom"/>
          </w:tcPr>
          <w:p w14:paraId="2F75079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tbl>
      <w:tblPr>
        <w:tblStyle w:val="28"/>
        <w:tblpPr w:leftFromText="180" w:rightFromText="180" w:vertAnchor="page" w:horzAnchor="margin" w:tblpY="3140"/>
        <w:tblW w:w="9776" w:type="dxa"/>
        <w:tblInd w:w="0" w:type="dxa"/>
        <w:tblLayout w:type="autofit"/>
        <w:tblCellMar>
          <w:top w:w="0" w:type="dxa"/>
          <w:left w:w="108" w:type="dxa"/>
          <w:bottom w:w="0" w:type="dxa"/>
          <w:right w:w="108" w:type="dxa"/>
        </w:tblCellMar>
      </w:tblPr>
      <w:tblGrid>
        <w:gridCol w:w="436"/>
        <w:gridCol w:w="656"/>
        <w:gridCol w:w="4573"/>
        <w:gridCol w:w="851"/>
        <w:gridCol w:w="709"/>
        <w:gridCol w:w="992"/>
        <w:gridCol w:w="1559"/>
      </w:tblGrid>
      <w:tr w14:paraId="79765032">
        <w:tblPrEx>
          <w:tblCellMar>
            <w:top w:w="0" w:type="dxa"/>
            <w:left w:w="108" w:type="dxa"/>
            <w:bottom w:w="0" w:type="dxa"/>
            <w:right w:w="108" w:type="dxa"/>
          </w:tblCellMar>
        </w:tblPrEx>
        <w:trPr>
          <w:trHeight w:val="560" w:hRule="atLeast"/>
        </w:trPr>
        <w:tc>
          <w:tcPr>
            <w:tcW w:w="4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BF785F">
            <w:pPr>
              <w:widowControl/>
              <w:adjustRightInd/>
              <w:spacing w:line="240" w:lineRule="auto"/>
              <w:ind w:left="-110" w:leftChars="-105" w:right="-8" w:rightChars="-4" w:hanging="110" w:hangingChars="50"/>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序</w:t>
            </w:r>
          </w:p>
          <w:p w14:paraId="3F1DD656">
            <w:pPr>
              <w:widowControl/>
              <w:adjustRightInd/>
              <w:spacing w:line="240" w:lineRule="auto"/>
              <w:ind w:left="-110" w:leftChars="-105" w:right="-8" w:rightChars="-4" w:hanging="110" w:hangingChars="50"/>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号</w:t>
            </w:r>
          </w:p>
        </w:tc>
        <w:tc>
          <w:tcPr>
            <w:tcW w:w="656" w:type="dxa"/>
            <w:tcBorders>
              <w:top w:val="single" w:color="auto" w:sz="4" w:space="0"/>
              <w:left w:val="nil"/>
              <w:bottom w:val="single" w:color="auto" w:sz="4" w:space="0"/>
              <w:right w:val="single" w:color="auto" w:sz="4" w:space="0"/>
            </w:tcBorders>
            <w:shd w:val="clear" w:color="auto" w:fill="auto"/>
            <w:vAlign w:val="center"/>
          </w:tcPr>
          <w:p w14:paraId="1CC0291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评价项目 （分值）</w:t>
            </w:r>
          </w:p>
        </w:tc>
        <w:tc>
          <w:tcPr>
            <w:tcW w:w="4573" w:type="dxa"/>
            <w:tcBorders>
              <w:top w:val="single" w:color="auto" w:sz="4" w:space="0"/>
              <w:left w:val="nil"/>
              <w:bottom w:val="single" w:color="auto" w:sz="4" w:space="0"/>
              <w:right w:val="single" w:color="auto" w:sz="4" w:space="0"/>
            </w:tcBorders>
            <w:shd w:val="clear" w:color="auto" w:fill="auto"/>
            <w:noWrap/>
            <w:vAlign w:val="center"/>
          </w:tcPr>
          <w:p w14:paraId="1DD711B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1" w:type="dxa"/>
            <w:tcBorders>
              <w:top w:val="single" w:color="auto" w:sz="4" w:space="0"/>
              <w:left w:val="nil"/>
              <w:bottom w:val="single" w:color="auto" w:sz="4" w:space="0"/>
              <w:right w:val="single" w:color="auto" w:sz="4" w:space="0"/>
            </w:tcBorders>
            <w:shd w:val="clear" w:color="auto" w:fill="auto"/>
            <w:vAlign w:val="center"/>
          </w:tcPr>
          <w:p w14:paraId="2A7A12D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709" w:type="dxa"/>
            <w:tcBorders>
              <w:top w:val="single" w:color="auto" w:sz="4" w:space="0"/>
              <w:left w:val="nil"/>
              <w:bottom w:val="single" w:color="auto" w:sz="4" w:space="0"/>
              <w:right w:val="single" w:color="auto" w:sz="4" w:space="0"/>
            </w:tcBorders>
            <w:shd w:val="clear" w:color="auto" w:fill="auto"/>
            <w:vAlign w:val="center"/>
          </w:tcPr>
          <w:p w14:paraId="2DBC0AF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992" w:type="dxa"/>
            <w:tcBorders>
              <w:top w:val="single" w:color="auto" w:sz="4" w:space="0"/>
              <w:left w:val="nil"/>
              <w:bottom w:val="single" w:color="auto" w:sz="4" w:space="0"/>
              <w:right w:val="single" w:color="auto" w:sz="4" w:space="0"/>
            </w:tcBorders>
            <w:shd w:val="clear" w:color="auto" w:fill="auto"/>
            <w:vAlign w:val="center"/>
          </w:tcPr>
          <w:p w14:paraId="050DE82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p>
          <w:p w14:paraId="1148E38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得分</w:t>
            </w:r>
          </w:p>
        </w:tc>
        <w:tc>
          <w:tcPr>
            <w:tcW w:w="1559" w:type="dxa"/>
            <w:tcBorders>
              <w:top w:val="single" w:color="auto" w:sz="4" w:space="0"/>
              <w:left w:val="nil"/>
              <w:bottom w:val="single" w:color="auto" w:sz="4" w:space="0"/>
              <w:right w:val="single" w:color="auto" w:sz="4" w:space="0"/>
            </w:tcBorders>
            <w:shd w:val="clear" w:color="auto" w:fill="auto"/>
            <w:vAlign w:val="center"/>
          </w:tcPr>
          <w:p w14:paraId="3A823E4D">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bl>
    <w:p w14:paraId="7484E49D">
      <w:pPr>
        <w:rPr>
          <w:rFonts w:ascii="黑体" w:hAnsi="黑体" w:eastAsia="黑体"/>
        </w:rPr>
      </w:pPr>
    </w:p>
    <w:p w14:paraId="5BB43329">
      <w:pPr>
        <w:jc w:val="center"/>
        <w:rPr>
          <w:rFonts w:ascii="黑体" w:hAnsi="黑体"/>
          <w:sz w:val="24"/>
          <w:szCs w:val="24"/>
        </w:rPr>
      </w:pPr>
    </w:p>
    <w:p w14:paraId="120F081B">
      <w:pPr>
        <w:jc w:val="center"/>
        <w:rPr>
          <w:rFonts w:ascii="黑体" w:hAnsi="黑体"/>
          <w:sz w:val="24"/>
          <w:szCs w:val="24"/>
        </w:rPr>
      </w:pPr>
    </w:p>
    <w:p w14:paraId="581467CD">
      <w:pPr>
        <w:jc w:val="center"/>
        <w:rPr>
          <w:rFonts w:ascii="黑体" w:hAnsi="黑体"/>
          <w:sz w:val="24"/>
          <w:szCs w:val="24"/>
        </w:rPr>
      </w:pPr>
    </w:p>
    <w:p w14:paraId="2ABD949C">
      <w:pPr>
        <w:jc w:val="center"/>
        <w:rPr>
          <w:rFonts w:ascii="黑体" w:hAnsi="黑体"/>
          <w:b/>
          <w:bCs/>
          <w:sz w:val="24"/>
          <w:szCs w:val="24"/>
        </w:rPr>
      </w:pPr>
      <w:r>
        <w:rPr>
          <w:rFonts w:hint="eastAsia" w:ascii="黑体" w:hAnsi="黑体"/>
          <w:b/>
          <w:bCs/>
          <w:sz w:val="24"/>
          <w:szCs w:val="24"/>
        </w:rPr>
        <w:t>表B.1社区居家养老服务</w:t>
      </w:r>
      <w:r>
        <w:rPr>
          <w:rFonts w:ascii="黑体" w:hAnsi="黑体"/>
          <w:b/>
          <w:bCs/>
          <w:sz w:val="24"/>
          <w:szCs w:val="24"/>
        </w:rPr>
        <w:t>-</w:t>
      </w:r>
      <w:r>
        <w:rPr>
          <w:rFonts w:hint="eastAsia" w:ascii="黑体" w:hAnsi="黑体"/>
          <w:b/>
          <w:bCs/>
          <w:sz w:val="24"/>
          <w:szCs w:val="24"/>
        </w:rPr>
        <w:t>生活照料特性测评工具（续</w:t>
      </w:r>
      <w:r>
        <w:rPr>
          <w:rFonts w:ascii="黑体" w:hAnsi="黑体"/>
          <w:b/>
          <w:bCs/>
          <w:sz w:val="24"/>
          <w:szCs w:val="24"/>
        </w:rPr>
        <w:t>）</w:t>
      </w:r>
    </w:p>
    <w:p w14:paraId="64546ED7">
      <w:pPr>
        <w:jc w:val="center"/>
        <w:rPr>
          <w:rFonts w:ascii="黑体" w:hAnsi="黑体"/>
          <w:b/>
          <w:bCs/>
          <w:sz w:val="24"/>
          <w:szCs w:val="24"/>
        </w:rPr>
      </w:pPr>
    </w:p>
    <w:tbl>
      <w:tblPr>
        <w:tblStyle w:val="28"/>
        <w:tblpPr w:leftFromText="180" w:rightFromText="180" w:vertAnchor="text" w:tblpY="1"/>
        <w:tblOverlap w:val="never"/>
        <w:tblW w:w="9500" w:type="dxa"/>
        <w:tblInd w:w="0" w:type="dxa"/>
        <w:tblLayout w:type="autofit"/>
        <w:tblCellMar>
          <w:top w:w="0" w:type="dxa"/>
          <w:left w:w="108" w:type="dxa"/>
          <w:bottom w:w="0" w:type="dxa"/>
          <w:right w:w="108" w:type="dxa"/>
        </w:tblCellMar>
      </w:tblPr>
      <w:tblGrid>
        <w:gridCol w:w="704"/>
        <w:gridCol w:w="853"/>
        <w:gridCol w:w="2080"/>
        <w:gridCol w:w="1040"/>
        <w:gridCol w:w="994"/>
        <w:gridCol w:w="709"/>
        <w:gridCol w:w="850"/>
        <w:gridCol w:w="709"/>
        <w:gridCol w:w="1561"/>
      </w:tblGrid>
      <w:tr w14:paraId="29F26270">
        <w:tblPrEx>
          <w:tblCellMar>
            <w:top w:w="0" w:type="dxa"/>
            <w:left w:w="108" w:type="dxa"/>
            <w:bottom w:w="0" w:type="dxa"/>
            <w:right w:w="108" w:type="dxa"/>
          </w:tblCellMar>
        </w:tblPrEx>
        <w:trPr>
          <w:trHeight w:val="560" w:hRule="atLeast"/>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A070D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853" w:type="dxa"/>
            <w:tcBorders>
              <w:top w:val="single" w:color="auto" w:sz="4" w:space="0"/>
              <w:left w:val="nil"/>
              <w:bottom w:val="single" w:color="auto" w:sz="4" w:space="0"/>
              <w:right w:val="single" w:color="auto" w:sz="4" w:space="0"/>
            </w:tcBorders>
            <w:shd w:val="clear" w:color="auto" w:fill="auto"/>
            <w:vAlign w:val="center"/>
          </w:tcPr>
          <w:p w14:paraId="3B82869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评价项目 （分值）</w:t>
            </w:r>
          </w:p>
        </w:tc>
        <w:tc>
          <w:tcPr>
            <w:tcW w:w="4114" w:type="dxa"/>
            <w:gridSpan w:val="3"/>
            <w:tcBorders>
              <w:top w:val="single" w:color="auto" w:sz="4" w:space="0"/>
              <w:left w:val="nil"/>
              <w:bottom w:val="single" w:color="auto" w:sz="4" w:space="0"/>
              <w:right w:val="single" w:color="auto" w:sz="4" w:space="0"/>
            </w:tcBorders>
            <w:shd w:val="clear" w:color="auto" w:fill="auto"/>
            <w:noWrap/>
            <w:vAlign w:val="center"/>
          </w:tcPr>
          <w:p w14:paraId="59FB612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709" w:type="dxa"/>
            <w:tcBorders>
              <w:top w:val="single" w:color="auto" w:sz="4" w:space="0"/>
              <w:left w:val="nil"/>
              <w:bottom w:val="single" w:color="auto" w:sz="4" w:space="0"/>
              <w:right w:val="single" w:color="auto" w:sz="4" w:space="0"/>
            </w:tcBorders>
            <w:shd w:val="clear" w:color="auto" w:fill="auto"/>
            <w:vAlign w:val="center"/>
          </w:tcPr>
          <w:p w14:paraId="06651A3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850" w:type="dxa"/>
            <w:tcBorders>
              <w:top w:val="single" w:color="auto" w:sz="4" w:space="0"/>
              <w:left w:val="nil"/>
              <w:bottom w:val="single" w:color="auto" w:sz="4" w:space="0"/>
              <w:right w:val="single" w:color="auto" w:sz="4" w:space="0"/>
            </w:tcBorders>
            <w:shd w:val="clear" w:color="auto" w:fill="auto"/>
            <w:vAlign w:val="center"/>
          </w:tcPr>
          <w:p w14:paraId="48E212C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709" w:type="dxa"/>
            <w:tcBorders>
              <w:top w:val="single" w:color="auto" w:sz="4" w:space="0"/>
              <w:left w:val="nil"/>
              <w:bottom w:val="single" w:color="auto" w:sz="4" w:space="0"/>
              <w:right w:val="single" w:color="auto" w:sz="4" w:space="0"/>
            </w:tcBorders>
            <w:shd w:val="clear" w:color="auto" w:fill="auto"/>
            <w:vAlign w:val="center"/>
          </w:tcPr>
          <w:p w14:paraId="78AAAF1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1561" w:type="dxa"/>
            <w:tcBorders>
              <w:top w:val="single" w:color="auto" w:sz="4" w:space="0"/>
              <w:left w:val="nil"/>
              <w:bottom w:val="single" w:color="auto" w:sz="4" w:space="0"/>
              <w:right w:val="single" w:color="auto" w:sz="4" w:space="0"/>
            </w:tcBorders>
            <w:shd w:val="clear" w:color="auto" w:fill="auto"/>
            <w:vAlign w:val="center"/>
          </w:tcPr>
          <w:p w14:paraId="0B18D9C0">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14519A85">
        <w:tblPrEx>
          <w:tblCellMar>
            <w:top w:w="0" w:type="dxa"/>
            <w:left w:w="108" w:type="dxa"/>
            <w:bottom w:w="0" w:type="dxa"/>
            <w:right w:w="108" w:type="dxa"/>
          </w:tblCellMar>
        </w:tblPrEx>
        <w:trPr>
          <w:trHeight w:val="430" w:hRule="atLeast"/>
        </w:trPr>
        <w:tc>
          <w:tcPr>
            <w:tcW w:w="9500" w:type="dxa"/>
            <w:gridSpan w:val="9"/>
            <w:tcBorders>
              <w:top w:val="single" w:color="auto" w:sz="4" w:space="0"/>
              <w:left w:val="single" w:color="auto" w:sz="4" w:space="0"/>
              <w:bottom w:val="single" w:color="auto" w:sz="4" w:space="0"/>
            </w:tcBorders>
          </w:tcPr>
          <w:p w14:paraId="35171A60">
            <w:pPr>
              <w:widowControl/>
              <w:adjustRightInd/>
              <w:spacing w:after="240" w:line="240" w:lineRule="auto"/>
              <w:jc w:val="center"/>
            </w:pPr>
            <w:r>
              <w:rPr>
                <w:rFonts w:ascii="等线" w:hAnsi="等线" w:eastAsia="等线" w:cs="宋体"/>
                <w:color w:val="000000"/>
                <w:kern w:val="0"/>
                <w:sz w:val="22"/>
                <w:szCs w:val="22"/>
              </w:rPr>
              <w:t>1-3</w:t>
            </w:r>
            <w:r>
              <w:rPr>
                <w:rFonts w:hint="eastAsia" w:ascii="等线" w:hAnsi="等线" w:eastAsia="等线" w:cs="宋体"/>
                <w:color w:val="000000"/>
                <w:kern w:val="0"/>
                <w:sz w:val="22"/>
                <w:szCs w:val="22"/>
              </w:rPr>
              <w:t>助洁服务（100分）</w:t>
            </w:r>
          </w:p>
        </w:tc>
      </w:tr>
      <w:tr w14:paraId="13E6411D">
        <w:tblPrEx>
          <w:tblCellMar>
            <w:top w:w="0" w:type="dxa"/>
            <w:left w:w="108" w:type="dxa"/>
            <w:bottom w:w="0" w:type="dxa"/>
            <w:right w:w="108" w:type="dxa"/>
          </w:tblCellMar>
        </w:tblPrEx>
        <w:trPr>
          <w:trHeight w:val="163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291FDB2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53" w:type="dxa"/>
            <w:tcBorders>
              <w:top w:val="nil"/>
              <w:left w:val="nil"/>
              <w:bottom w:val="single" w:color="auto" w:sz="4" w:space="0"/>
              <w:right w:val="single" w:color="auto" w:sz="4" w:space="0"/>
            </w:tcBorders>
            <w:shd w:val="clear" w:color="auto" w:fill="auto"/>
            <w:vAlign w:val="center"/>
          </w:tcPr>
          <w:p w14:paraId="6246EED5">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114" w:type="dxa"/>
            <w:gridSpan w:val="3"/>
            <w:tcBorders>
              <w:top w:val="single" w:color="auto" w:sz="4" w:space="0"/>
              <w:left w:val="nil"/>
              <w:bottom w:val="single" w:color="auto" w:sz="4" w:space="0"/>
              <w:right w:val="single" w:color="auto" w:sz="4" w:space="0"/>
            </w:tcBorders>
            <w:shd w:val="clear" w:color="auto" w:fill="auto"/>
            <w:vAlign w:val="center"/>
          </w:tcPr>
          <w:p w14:paraId="156679ED">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应根据老年人需求提供多种形式的上门助洁服务，包括但不限于室内清洁、专项清洁等。</w:t>
            </w:r>
            <w:r>
              <w:rPr>
                <w:rFonts w:hint="eastAsia" w:ascii="等线" w:hAnsi="等线" w:eastAsia="等线" w:cs="宋体"/>
                <w:kern w:val="0"/>
                <w:sz w:val="18"/>
                <w:szCs w:val="18"/>
              </w:rPr>
              <w:br w:type="textWrapping"/>
            </w:r>
            <w:r>
              <w:rPr>
                <w:rFonts w:hint="eastAsia" w:ascii="等线" w:hAnsi="等线" w:eastAsia="等线" w:cs="宋体"/>
                <w:kern w:val="0"/>
                <w:sz w:val="18"/>
                <w:szCs w:val="18"/>
              </w:rPr>
              <w:t>服务实施前应：</w:t>
            </w:r>
            <w:r>
              <w:rPr>
                <w:rFonts w:hint="eastAsia" w:ascii="等线" w:hAnsi="等线" w:eastAsia="等线" w:cs="宋体"/>
                <w:kern w:val="0"/>
                <w:sz w:val="18"/>
                <w:szCs w:val="18"/>
              </w:rPr>
              <w:br w:type="textWrapping"/>
            </w:r>
            <w:r>
              <w:rPr>
                <w:rFonts w:hint="eastAsia" w:ascii="等线" w:hAnsi="等线" w:eastAsia="等线" w:cs="宋体"/>
                <w:kern w:val="0"/>
                <w:sz w:val="18"/>
                <w:szCs w:val="18"/>
              </w:rPr>
              <w:t>1）助洁服务人员经专业培训，并持健康证上岗：</w:t>
            </w:r>
            <w:r>
              <w:rPr>
                <w:rFonts w:hint="eastAsia" w:ascii="等线" w:hAnsi="等线" w:eastAsia="等线" w:cs="宋体"/>
                <w:kern w:val="0"/>
                <w:sz w:val="18"/>
                <w:szCs w:val="18"/>
              </w:rPr>
              <w:br w:type="textWrapping"/>
            </w:r>
            <w:r>
              <w:rPr>
                <w:rFonts w:hint="eastAsia" w:ascii="等线" w:hAnsi="等线" w:eastAsia="等线" w:cs="宋体"/>
                <w:kern w:val="0"/>
                <w:sz w:val="18"/>
                <w:szCs w:val="18"/>
              </w:rPr>
              <w:t>2）根据服务内容提前准备好服务工具与消耗品；</w:t>
            </w:r>
          </w:p>
        </w:tc>
        <w:tc>
          <w:tcPr>
            <w:tcW w:w="709" w:type="dxa"/>
            <w:tcBorders>
              <w:top w:val="nil"/>
              <w:left w:val="nil"/>
              <w:bottom w:val="single" w:color="auto" w:sz="4" w:space="0"/>
              <w:right w:val="single" w:color="auto" w:sz="4" w:space="0"/>
            </w:tcBorders>
            <w:shd w:val="clear" w:color="auto" w:fill="auto"/>
            <w:noWrap/>
            <w:vAlign w:val="center"/>
          </w:tcPr>
          <w:p w14:paraId="7BB88E6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850" w:type="dxa"/>
            <w:tcBorders>
              <w:top w:val="nil"/>
              <w:left w:val="nil"/>
              <w:bottom w:val="single" w:color="auto" w:sz="4" w:space="0"/>
              <w:right w:val="single" w:color="auto" w:sz="4" w:space="0"/>
            </w:tcBorders>
            <w:shd w:val="clear" w:color="auto" w:fill="auto"/>
            <w:noWrap/>
            <w:vAlign w:val="center"/>
          </w:tcPr>
          <w:p w14:paraId="27822A5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491D110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0</w:t>
            </w:r>
          </w:p>
        </w:tc>
        <w:tc>
          <w:tcPr>
            <w:tcW w:w="1561" w:type="dxa"/>
            <w:tcBorders>
              <w:top w:val="nil"/>
              <w:left w:val="nil"/>
              <w:bottom w:val="single" w:color="auto" w:sz="4" w:space="0"/>
              <w:right w:val="single" w:color="auto" w:sz="4" w:space="0"/>
            </w:tcBorders>
            <w:shd w:val="clear" w:color="auto" w:fill="auto"/>
            <w:noWrap/>
            <w:vAlign w:val="bottom"/>
          </w:tcPr>
          <w:p w14:paraId="7C81B0FD">
            <w:pPr>
              <w:widowControl/>
              <w:adjustRightInd/>
              <w:spacing w:line="240" w:lineRule="auto"/>
              <w:jc w:val="left"/>
              <w:rPr>
                <w:rFonts w:ascii="等线" w:hAnsi="等线" w:eastAsia="等线" w:cs="宋体"/>
                <w:color w:val="FF0000"/>
                <w:kern w:val="0"/>
                <w:sz w:val="22"/>
                <w:szCs w:val="22"/>
              </w:rPr>
            </w:pPr>
            <w:r>
              <w:rPr>
                <w:rFonts w:hint="eastAsia" w:ascii="等线" w:hAnsi="等线" w:eastAsia="等线" w:cs="宋体"/>
                <w:color w:val="FF0000"/>
                <w:kern w:val="0"/>
                <w:sz w:val="22"/>
                <w:szCs w:val="22"/>
              </w:rPr>
              <w:t>　</w:t>
            </w:r>
          </w:p>
        </w:tc>
      </w:tr>
      <w:tr w14:paraId="470A4C99">
        <w:tblPrEx>
          <w:tblCellMar>
            <w:top w:w="0" w:type="dxa"/>
            <w:left w:w="108" w:type="dxa"/>
            <w:bottom w:w="0" w:type="dxa"/>
            <w:right w:w="108" w:type="dxa"/>
          </w:tblCellMar>
        </w:tblPrEx>
        <w:trPr>
          <w:trHeight w:val="242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50256E9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53" w:type="dxa"/>
            <w:tcBorders>
              <w:top w:val="nil"/>
              <w:left w:val="nil"/>
              <w:bottom w:val="single" w:color="auto" w:sz="4" w:space="0"/>
              <w:right w:val="single" w:color="auto" w:sz="4" w:space="0"/>
            </w:tcBorders>
            <w:shd w:val="clear" w:color="auto" w:fill="auto"/>
            <w:vAlign w:val="center"/>
          </w:tcPr>
          <w:p w14:paraId="18AF891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室内清洁</w:t>
            </w:r>
          </w:p>
        </w:tc>
        <w:tc>
          <w:tcPr>
            <w:tcW w:w="4114" w:type="dxa"/>
            <w:gridSpan w:val="3"/>
            <w:tcBorders>
              <w:top w:val="single" w:color="auto" w:sz="4" w:space="0"/>
              <w:left w:val="nil"/>
              <w:bottom w:val="single" w:color="auto" w:sz="4" w:space="0"/>
              <w:right w:val="single" w:color="auto" w:sz="4" w:space="0"/>
            </w:tcBorders>
            <w:shd w:val="clear" w:color="auto" w:fill="auto"/>
            <w:vAlign w:val="center"/>
          </w:tcPr>
          <w:p w14:paraId="1FFB54DC">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室内清洁具体要求如下：</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①卧室、客厅整洁，地面洁净，无水渍、污渍，垃圾篓外观干净，篓内无垃圾；</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②厨房洁净，抽油烟机外表无油污；</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③卫生间马桶、浴缸、面盆洁净无异味，镜面无水雾；</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④窗面无印痕，洁净光亮，阳台入室台阶、扶手、栏杆无灰尘；</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⑤注意操作安全，踩梯作业时防止磨损地面、碰损室内的物品；</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⑥清洁时应按照由里到外，由上至下的程序完成，完工后重新检查一次服务质量，防止疏漏。</w:t>
            </w:r>
          </w:p>
        </w:tc>
        <w:tc>
          <w:tcPr>
            <w:tcW w:w="709" w:type="dxa"/>
            <w:tcBorders>
              <w:top w:val="nil"/>
              <w:left w:val="nil"/>
              <w:bottom w:val="single" w:color="auto" w:sz="4" w:space="0"/>
              <w:right w:val="single" w:color="auto" w:sz="4" w:space="0"/>
            </w:tcBorders>
            <w:shd w:val="clear" w:color="auto" w:fill="auto"/>
            <w:noWrap/>
            <w:vAlign w:val="center"/>
          </w:tcPr>
          <w:p w14:paraId="77BDF8B9">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40</w:t>
            </w:r>
          </w:p>
        </w:tc>
        <w:tc>
          <w:tcPr>
            <w:tcW w:w="850" w:type="dxa"/>
            <w:tcBorders>
              <w:top w:val="nil"/>
              <w:left w:val="nil"/>
              <w:bottom w:val="single" w:color="auto" w:sz="4" w:space="0"/>
              <w:right w:val="single" w:color="auto" w:sz="4" w:space="0"/>
            </w:tcBorders>
            <w:shd w:val="clear" w:color="auto" w:fill="auto"/>
            <w:noWrap/>
            <w:vAlign w:val="center"/>
          </w:tcPr>
          <w:p w14:paraId="1D56188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08947A1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0</w:t>
            </w:r>
          </w:p>
        </w:tc>
        <w:tc>
          <w:tcPr>
            <w:tcW w:w="1561" w:type="dxa"/>
            <w:tcBorders>
              <w:top w:val="nil"/>
              <w:left w:val="nil"/>
              <w:bottom w:val="single" w:color="auto" w:sz="4" w:space="0"/>
              <w:right w:val="single" w:color="auto" w:sz="4" w:space="0"/>
            </w:tcBorders>
            <w:shd w:val="clear" w:color="auto" w:fill="auto"/>
            <w:noWrap/>
            <w:vAlign w:val="bottom"/>
          </w:tcPr>
          <w:p w14:paraId="354DAC1A">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5893B3B3">
        <w:tblPrEx>
          <w:tblCellMar>
            <w:top w:w="0" w:type="dxa"/>
            <w:left w:w="108" w:type="dxa"/>
            <w:bottom w:w="0" w:type="dxa"/>
            <w:right w:w="108" w:type="dxa"/>
          </w:tblCellMar>
        </w:tblPrEx>
        <w:trPr>
          <w:trHeight w:val="41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5B3A65B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53" w:type="dxa"/>
            <w:tcBorders>
              <w:top w:val="nil"/>
              <w:left w:val="nil"/>
              <w:bottom w:val="single" w:color="auto" w:sz="4" w:space="0"/>
              <w:right w:val="single" w:color="auto" w:sz="4" w:space="0"/>
            </w:tcBorders>
            <w:shd w:val="clear" w:color="auto" w:fill="auto"/>
            <w:vAlign w:val="center"/>
          </w:tcPr>
          <w:p w14:paraId="26AA1421">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专项清洁</w:t>
            </w:r>
          </w:p>
        </w:tc>
        <w:tc>
          <w:tcPr>
            <w:tcW w:w="4114" w:type="dxa"/>
            <w:gridSpan w:val="3"/>
            <w:tcBorders>
              <w:top w:val="single" w:color="auto" w:sz="4" w:space="0"/>
              <w:left w:val="nil"/>
              <w:bottom w:val="single" w:color="auto" w:sz="4" w:space="0"/>
              <w:right w:val="single" w:color="auto" w:sz="4" w:space="0"/>
            </w:tcBorders>
            <w:shd w:val="clear" w:color="auto" w:fill="auto"/>
            <w:vAlign w:val="center"/>
          </w:tcPr>
          <w:p w14:paraId="2B8ED1E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专项清洁服务时应满足包括但不限于以下要求：</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① 整理被褥、枕头、床单等床上用品，按季节及时更换被褥且翻晒，夏季凉席每日擦一次；</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② 家具表面无尘，居室物品洁净、摆放有序，沙发巾、靠枕、揽枕摆放整齐；</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③ 清洁需移动物品时，须征得老年人或家属同意后方可移动，清洁完后第一时间将物品复原位；</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④ 卧床老人床铺整洁、平整，床单表面无碎屑；</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⑤ 清洁用具及时清洗、消毒，保持清洁，老人专用设备清洁后无腐蚀、污渍。</w:t>
            </w:r>
          </w:p>
        </w:tc>
        <w:tc>
          <w:tcPr>
            <w:tcW w:w="709" w:type="dxa"/>
            <w:tcBorders>
              <w:top w:val="nil"/>
              <w:left w:val="nil"/>
              <w:bottom w:val="single" w:color="auto" w:sz="4" w:space="0"/>
              <w:right w:val="single" w:color="auto" w:sz="4" w:space="0"/>
            </w:tcBorders>
            <w:shd w:val="clear" w:color="auto" w:fill="auto"/>
            <w:noWrap/>
            <w:vAlign w:val="center"/>
          </w:tcPr>
          <w:p w14:paraId="1F9BBDE7">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40</w:t>
            </w:r>
          </w:p>
        </w:tc>
        <w:tc>
          <w:tcPr>
            <w:tcW w:w="850" w:type="dxa"/>
            <w:tcBorders>
              <w:top w:val="nil"/>
              <w:left w:val="nil"/>
              <w:bottom w:val="single" w:color="auto" w:sz="4" w:space="0"/>
              <w:right w:val="single" w:color="auto" w:sz="4" w:space="0"/>
            </w:tcBorders>
            <w:shd w:val="clear" w:color="auto" w:fill="auto"/>
            <w:noWrap/>
            <w:vAlign w:val="center"/>
          </w:tcPr>
          <w:p w14:paraId="5586094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3B4C99E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0</w:t>
            </w:r>
          </w:p>
        </w:tc>
        <w:tc>
          <w:tcPr>
            <w:tcW w:w="1561" w:type="dxa"/>
            <w:tcBorders>
              <w:top w:val="nil"/>
              <w:left w:val="nil"/>
              <w:bottom w:val="single" w:color="auto" w:sz="4" w:space="0"/>
              <w:right w:val="single" w:color="auto" w:sz="4" w:space="0"/>
            </w:tcBorders>
            <w:shd w:val="clear" w:color="auto" w:fill="auto"/>
            <w:noWrap/>
            <w:vAlign w:val="bottom"/>
          </w:tcPr>
          <w:p w14:paraId="7933A5D0">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029688BF">
        <w:tblPrEx>
          <w:tblCellMar>
            <w:top w:w="0" w:type="dxa"/>
            <w:left w:w="108" w:type="dxa"/>
            <w:bottom w:w="0" w:type="dxa"/>
            <w:right w:w="108" w:type="dxa"/>
          </w:tblCellMar>
        </w:tblPrEx>
        <w:trPr>
          <w:trHeight w:val="53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16A7425E">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967" w:type="dxa"/>
            <w:gridSpan w:val="4"/>
            <w:tcBorders>
              <w:top w:val="single" w:color="auto" w:sz="4" w:space="0"/>
              <w:left w:val="nil"/>
              <w:bottom w:val="single" w:color="auto" w:sz="4" w:space="0"/>
              <w:right w:val="single" w:color="auto" w:sz="4" w:space="0"/>
            </w:tcBorders>
            <w:shd w:val="clear" w:color="auto" w:fill="auto"/>
            <w:noWrap/>
            <w:vAlign w:val="center"/>
          </w:tcPr>
          <w:p w14:paraId="37EB406E">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709" w:type="dxa"/>
            <w:tcBorders>
              <w:top w:val="nil"/>
              <w:left w:val="nil"/>
              <w:bottom w:val="single" w:color="auto" w:sz="4" w:space="0"/>
              <w:right w:val="single" w:color="auto" w:sz="4" w:space="0"/>
            </w:tcBorders>
            <w:shd w:val="clear" w:color="auto" w:fill="auto"/>
            <w:noWrap/>
            <w:vAlign w:val="center"/>
          </w:tcPr>
          <w:p w14:paraId="2CF66C6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850" w:type="dxa"/>
            <w:tcBorders>
              <w:top w:val="nil"/>
              <w:left w:val="nil"/>
              <w:bottom w:val="single" w:color="auto" w:sz="4" w:space="0"/>
              <w:right w:val="single" w:color="auto" w:sz="4" w:space="0"/>
            </w:tcBorders>
            <w:shd w:val="clear" w:color="auto" w:fill="auto"/>
            <w:noWrap/>
            <w:vAlign w:val="bottom"/>
          </w:tcPr>
          <w:p w14:paraId="5482CE0A">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3BA43A5F">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0</w:t>
            </w:r>
          </w:p>
        </w:tc>
        <w:tc>
          <w:tcPr>
            <w:tcW w:w="1561" w:type="dxa"/>
            <w:tcBorders>
              <w:top w:val="nil"/>
              <w:left w:val="nil"/>
              <w:bottom w:val="single" w:color="auto" w:sz="4" w:space="0"/>
              <w:right w:val="single" w:color="auto" w:sz="4" w:space="0"/>
            </w:tcBorders>
            <w:shd w:val="clear" w:color="auto" w:fill="auto"/>
            <w:noWrap/>
            <w:vAlign w:val="bottom"/>
          </w:tcPr>
          <w:p w14:paraId="4801886D">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3EC4A3E2">
        <w:tblPrEx>
          <w:tblCellMar>
            <w:top w:w="0" w:type="dxa"/>
            <w:left w:w="108" w:type="dxa"/>
            <w:bottom w:w="0" w:type="dxa"/>
            <w:right w:w="108" w:type="dxa"/>
          </w:tblCellMar>
        </w:tblPrEx>
        <w:trPr>
          <w:trHeight w:val="440" w:hRule="atLeast"/>
        </w:trPr>
        <w:tc>
          <w:tcPr>
            <w:tcW w:w="155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D235E2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7B79F6DA">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103921B5">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994" w:type="dxa"/>
            <w:tcBorders>
              <w:top w:val="single" w:color="auto" w:sz="4" w:space="0"/>
              <w:left w:val="nil"/>
              <w:bottom w:val="single" w:color="auto" w:sz="4" w:space="0"/>
              <w:right w:val="single" w:color="auto" w:sz="4" w:space="0"/>
            </w:tcBorders>
            <w:shd w:val="clear" w:color="auto" w:fill="auto"/>
            <w:vAlign w:val="center"/>
          </w:tcPr>
          <w:p w14:paraId="06381E19">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559" w:type="dxa"/>
            <w:gridSpan w:val="2"/>
            <w:tcBorders>
              <w:top w:val="single" w:color="auto" w:sz="4" w:space="0"/>
              <w:left w:val="nil"/>
              <w:bottom w:val="single" w:color="auto" w:sz="4" w:space="0"/>
              <w:right w:val="single" w:color="auto" w:sz="4" w:space="0"/>
            </w:tcBorders>
            <w:shd w:val="clear" w:color="auto" w:fill="auto"/>
            <w:noWrap/>
            <w:vAlign w:val="center"/>
          </w:tcPr>
          <w:p w14:paraId="7598280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709" w:type="dxa"/>
            <w:tcBorders>
              <w:top w:val="nil"/>
              <w:left w:val="nil"/>
              <w:bottom w:val="single" w:color="auto" w:sz="4" w:space="0"/>
              <w:right w:val="single" w:color="auto" w:sz="4" w:space="0"/>
            </w:tcBorders>
            <w:shd w:val="clear" w:color="auto" w:fill="auto"/>
            <w:noWrap/>
            <w:vAlign w:val="center"/>
          </w:tcPr>
          <w:p w14:paraId="6DCE347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61" w:type="dxa"/>
            <w:tcBorders>
              <w:top w:val="nil"/>
              <w:left w:val="nil"/>
              <w:bottom w:val="single" w:color="auto" w:sz="4" w:space="0"/>
              <w:right w:val="single" w:color="auto" w:sz="4" w:space="0"/>
            </w:tcBorders>
            <w:shd w:val="clear" w:color="auto" w:fill="auto"/>
            <w:noWrap/>
            <w:vAlign w:val="bottom"/>
          </w:tcPr>
          <w:p w14:paraId="1539FB2B">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bl>
    <w:p w14:paraId="4405D869">
      <w:pPr>
        <w:rPr>
          <w:rFonts w:ascii="黑体" w:hAnsi="黑体" w:eastAsia="黑体"/>
        </w:rPr>
      </w:pPr>
      <w:r>
        <w:rPr>
          <w:rFonts w:ascii="黑体" w:hAnsi="黑体" w:eastAsia="黑体"/>
        </w:rPr>
        <w:br w:type="textWrapping" w:clear="all"/>
      </w:r>
    </w:p>
    <w:p w14:paraId="40221BAA">
      <w:pPr>
        <w:rPr>
          <w:rFonts w:ascii="黑体" w:hAnsi="黑体" w:eastAsia="黑体"/>
        </w:rPr>
      </w:pPr>
    </w:p>
    <w:p w14:paraId="52A663C5">
      <w:pPr>
        <w:jc w:val="center"/>
        <w:rPr>
          <w:rFonts w:ascii="黑体" w:hAnsi="黑体"/>
          <w:b/>
          <w:bCs/>
          <w:sz w:val="24"/>
          <w:szCs w:val="24"/>
        </w:rPr>
      </w:pPr>
      <w:r>
        <w:rPr>
          <w:rFonts w:hint="eastAsia" w:ascii="黑体" w:hAnsi="黑体"/>
          <w:b/>
          <w:bCs/>
          <w:sz w:val="24"/>
          <w:szCs w:val="24"/>
        </w:rPr>
        <w:t>表B.1社区居家养老服务</w:t>
      </w:r>
      <w:r>
        <w:rPr>
          <w:rFonts w:ascii="黑体" w:hAnsi="黑体"/>
          <w:b/>
          <w:bCs/>
          <w:sz w:val="24"/>
          <w:szCs w:val="24"/>
        </w:rPr>
        <w:t>-</w:t>
      </w:r>
      <w:r>
        <w:rPr>
          <w:rFonts w:hint="eastAsia" w:ascii="黑体" w:hAnsi="黑体"/>
          <w:b/>
          <w:bCs/>
          <w:sz w:val="30"/>
          <w:szCs w:val="30"/>
        </w:rPr>
        <w:t>生活照料</w:t>
      </w:r>
      <w:r>
        <w:rPr>
          <w:rFonts w:hint="eastAsia" w:ascii="黑体" w:hAnsi="黑体"/>
          <w:b/>
          <w:bCs/>
          <w:sz w:val="24"/>
          <w:szCs w:val="24"/>
        </w:rPr>
        <w:t>特性测评工具（续</w:t>
      </w:r>
      <w:r>
        <w:rPr>
          <w:rFonts w:ascii="黑体" w:hAnsi="黑体"/>
          <w:b/>
          <w:bCs/>
          <w:sz w:val="24"/>
          <w:szCs w:val="24"/>
        </w:rPr>
        <w:t>）</w:t>
      </w:r>
    </w:p>
    <w:p w14:paraId="11F0A107">
      <w:pPr>
        <w:jc w:val="center"/>
        <w:rPr>
          <w:rFonts w:ascii="黑体" w:hAnsi="黑体"/>
          <w:b/>
          <w:bCs/>
          <w:sz w:val="24"/>
          <w:szCs w:val="24"/>
        </w:rPr>
      </w:pPr>
    </w:p>
    <w:tbl>
      <w:tblPr>
        <w:tblStyle w:val="28"/>
        <w:tblW w:w="10065" w:type="dxa"/>
        <w:tblInd w:w="-289" w:type="dxa"/>
        <w:tblLayout w:type="autofit"/>
        <w:tblCellMar>
          <w:top w:w="0" w:type="dxa"/>
          <w:left w:w="108" w:type="dxa"/>
          <w:bottom w:w="0" w:type="dxa"/>
          <w:right w:w="108" w:type="dxa"/>
        </w:tblCellMar>
      </w:tblPr>
      <w:tblGrid>
        <w:gridCol w:w="562"/>
        <w:gridCol w:w="1046"/>
        <w:gridCol w:w="2080"/>
        <w:gridCol w:w="1040"/>
        <w:gridCol w:w="943"/>
        <w:gridCol w:w="850"/>
        <w:gridCol w:w="811"/>
        <w:gridCol w:w="1040"/>
        <w:gridCol w:w="1693"/>
      </w:tblGrid>
      <w:tr w14:paraId="0A6E0652">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A477B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1046" w:type="dxa"/>
            <w:tcBorders>
              <w:top w:val="single" w:color="auto" w:sz="4" w:space="0"/>
              <w:left w:val="nil"/>
              <w:bottom w:val="single" w:color="auto" w:sz="4" w:space="0"/>
              <w:right w:val="single" w:color="auto" w:sz="4" w:space="0"/>
            </w:tcBorders>
            <w:shd w:val="clear" w:color="auto" w:fill="auto"/>
            <w:vAlign w:val="center"/>
          </w:tcPr>
          <w:p w14:paraId="1B3A78C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评价项目 （分值）</w:t>
            </w:r>
          </w:p>
        </w:tc>
        <w:tc>
          <w:tcPr>
            <w:tcW w:w="4063" w:type="dxa"/>
            <w:gridSpan w:val="3"/>
            <w:tcBorders>
              <w:top w:val="single" w:color="auto" w:sz="4" w:space="0"/>
              <w:left w:val="nil"/>
              <w:bottom w:val="single" w:color="auto" w:sz="4" w:space="0"/>
              <w:right w:val="single" w:color="auto" w:sz="4" w:space="0"/>
            </w:tcBorders>
            <w:shd w:val="clear" w:color="auto" w:fill="auto"/>
            <w:noWrap/>
            <w:vAlign w:val="center"/>
          </w:tcPr>
          <w:p w14:paraId="31C9EB3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0" w:type="dxa"/>
            <w:tcBorders>
              <w:top w:val="single" w:color="auto" w:sz="4" w:space="0"/>
              <w:left w:val="nil"/>
              <w:bottom w:val="single" w:color="auto" w:sz="4" w:space="0"/>
              <w:right w:val="single" w:color="auto" w:sz="4" w:space="0"/>
            </w:tcBorders>
            <w:shd w:val="clear" w:color="auto" w:fill="auto"/>
            <w:vAlign w:val="center"/>
          </w:tcPr>
          <w:p w14:paraId="0E5E22B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811" w:type="dxa"/>
            <w:tcBorders>
              <w:top w:val="single" w:color="auto" w:sz="4" w:space="0"/>
              <w:left w:val="nil"/>
              <w:bottom w:val="single" w:color="auto" w:sz="4" w:space="0"/>
              <w:right w:val="single" w:color="auto" w:sz="4" w:space="0"/>
            </w:tcBorders>
            <w:shd w:val="clear" w:color="auto" w:fill="auto"/>
            <w:vAlign w:val="center"/>
          </w:tcPr>
          <w:p w14:paraId="748D26D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1040" w:type="dxa"/>
            <w:tcBorders>
              <w:top w:val="single" w:color="auto" w:sz="4" w:space="0"/>
              <w:left w:val="nil"/>
              <w:bottom w:val="single" w:color="auto" w:sz="4" w:space="0"/>
              <w:right w:val="single" w:color="auto" w:sz="4" w:space="0"/>
            </w:tcBorders>
            <w:shd w:val="clear" w:color="auto" w:fill="auto"/>
            <w:vAlign w:val="center"/>
          </w:tcPr>
          <w:p w14:paraId="23F7B74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1693" w:type="dxa"/>
            <w:tcBorders>
              <w:top w:val="single" w:color="auto" w:sz="4" w:space="0"/>
              <w:left w:val="nil"/>
              <w:bottom w:val="single" w:color="auto" w:sz="4" w:space="0"/>
              <w:right w:val="single" w:color="auto" w:sz="4" w:space="0"/>
            </w:tcBorders>
            <w:shd w:val="clear" w:color="auto" w:fill="auto"/>
            <w:vAlign w:val="center"/>
          </w:tcPr>
          <w:p w14:paraId="0C4C264B">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791F496C">
        <w:tblPrEx>
          <w:tblCellMar>
            <w:top w:w="0" w:type="dxa"/>
            <w:left w:w="108" w:type="dxa"/>
            <w:bottom w:w="0" w:type="dxa"/>
            <w:right w:w="108" w:type="dxa"/>
          </w:tblCellMar>
        </w:tblPrEx>
        <w:trPr>
          <w:trHeight w:val="630" w:hRule="atLeast"/>
        </w:trPr>
        <w:tc>
          <w:tcPr>
            <w:tcW w:w="10065"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59CFD92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r>
              <w:rPr>
                <w:rFonts w:ascii="等线" w:hAnsi="等线" w:eastAsia="等线" w:cs="宋体"/>
                <w:color w:val="000000"/>
                <w:kern w:val="0"/>
                <w:sz w:val="22"/>
                <w:szCs w:val="22"/>
              </w:rPr>
              <w:t>-4</w:t>
            </w:r>
            <w:r>
              <w:rPr>
                <w:rFonts w:hint="eastAsia" w:ascii="等线" w:hAnsi="等线" w:eastAsia="等线" w:cs="宋体"/>
                <w:color w:val="000000"/>
                <w:kern w:val="0"/>
                <w:sz w:val="22"/>
                <w:szCs w:val="22"/>
              </w:rPr>
              <w:t>助浴服务（100分）</w:t>
            </w:r>
          </w:p>
        </w:tc>
      </w:tr>
      <w:tr w14:paraId="6BD2884A">
        <w:tblPrEx>
          <w:tblCellMar>
            <w:top w:w="0" w:type="dxa"/>
            <w:left w:w="108" w:type="dxa"/>
            <w:bottom w:w="0" w:type="dxa"/>
            <w:right w:w="108" w:type="dxa"/>
          </w:tblCellMar>
        </w:tblPrEx>
        <w:trPr>
          <w:trHeight w:val="10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146627C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1046" w:type="dxa"/>
            <w:tcBorders>
              <w:top w:val="nil"/>
              <w:left w:val="nil"/>
              <w:bottom w:val="single" w:color="auto" w:sz="4" w:space="0"/>
              <w:right w:val="single" w:color="auto" w:sz="4" w:space="0"/>
            </w:tcBorders>
            <w:shd w:val="clear" w:color="auto" w:fill="auto"/>
            <w:vAlign w:val="center"/>
          </w:tcPr>
          <w:p w14:paraId="60E5099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063" w:type="dxa"/>
            <w:gridSpan w:val="3"/>
            <w:tcBorders>
              <w:top w:val="single" w:color="auto" w:sz="4" w:space="0"/>
              <w:left w:val="nil"/>
              <w:bottom w:val="single" w:color="auto" w:sz="4" w:space="0"/>
              <w:right w:val="single" w:color="auto" w:sz="4" w:space="0"/>
            </w:tcBorders>
            <w:shd w:val="clear" w:color="auto" w:fill="auto"/>
            <w:vAlign w:val="center"/>
          </w:tcPr>
          <w:p w14:paraId="7AA2B88B">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应根据老年人需求提供多种形式的助浴服务，包括但不限于外出助浴和上门助浴等，进行派单、执行和回访闭环服务。</w:t>
            </w:r>
          </w:p>
        </w:tc>
        <w:tc>
          <w:tcPr>
            <w:tcW w:w="850" w:type="dxa"/>
            <w:tcBorders>
              <w:top w:val="nil"/>
              <w:left w:val="nil"/>
              <w:bottom w:val="single" w:color="auto" w:sz="4" w:space="0"/>
              <w:right w:val="single" w:color="auto" w:sz="4" w:space="0"/>
            </w:tcBorders>
            <w:shd w:val="clear" w:color="auto" w:fill="auto"/>
            <w:noWrap/>
            <w:vAlign w:val="center"/>
          </w:tcPr>
          <w:p w14:paraId="161BDE72">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10</w:t>
            </w:r>
          </w:p>
        </w:tc>
        <w:tc>
          <w:tcPr>
            <w:tcW w:w="811" w:type="dxa"/>
            <w:tcBorders>
              <w:top w:val="nil"/>
              <w:left w:val="nil"/>
              <w:bottom w:val="single" w:color="auto" w:sz="4" w:space="0"/>
              <w:right w:val="single" w:color="auto" w:sz="4" w:space="0"/>
            </w:tcBorders>
            <w:shd w:val="clear" w:color="auto" w:fill="auto"/>
            <w:noWrap/>
            <w:vAlign w:val="center"/>
          </w:tcPr>
          <w:p w14:paraId="0659E28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2461EE2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693" w:type="dxa"/>
            <w:tcBorders>
              <w:top w:val="nil"/>
              <w:left w:val="nil"/>
              <w:bottom w:val="single" w:color="auto" w:sz="4" w:space="0"/>
              <w:right w:val="single" w:color="auto" w:sz="4" w:space="0"/>
            </w:tcBorders>
            <w:shd w:val="clear" w:color="auto" w:fill="auto"/>
            <w:noWrap/>
            <w:vAlign w:val="bottom"/>
          </w:tcPr>
          <w:p w14:paraId="0C1B7A95">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66233590">
        <w:tblPrEx>
          <w:tblCellMar>
            <w:top w:w="0" w:type="dxa"/>
            <w:left w:w="108" w:type="dxa"/>
            <w:bottom w:w="0" w:type="dxa"/>
            <w:right w:w="108" w:type="dxa"/>
          </w:tblCellMar>
        </w:tblPrEx>
        <w:trPr>
          <w:trHeight w:val="195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C1FE34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1046" w:type="dxa"/>
            <w:tcBorders>
              <w:top w:val="nil"/>
              <w:left w:val="nil"/>
              <w:bottom w:val="single" w:color="auto" w:sz="4" w:space="0"/>
              <w:right w:val="single" w:color="auto" w:sz="4" w:space="0"/>
            </w:tcBorders>
            <w:shd w:val="clear" w:color="auto" w:fill="auto"/>
            <w:vAlign w:val="center"/>
          </w:tcPr>
          <w:p w14:paraId="1DBFDBF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服务通用要求</w:t>
            </w:r>
          </w:p>
        </w:tc>
        <w:tc>
          <w:tcPr>
            <w:tcW w:w="4063" w:type="dxa"/>
            <w:gridSpan w:val="3"/>
            <w:tcBorders>
              <w:top w:val="single" w:color="auto" w:sz="4" w:space="0"/>
              <w:left w:val="nil"/>
              <w:bottom w:val="single" w:color="auto" w:sz="4" w:space="0"/>
              <w:right w:val="single" w:color="auto" w:sz="4" w:space="0"/>
            </w:tcBorders>
            <w:shd w:val="clear" w:color="auto" w:fill="auto"/>
            <w:vAlign w:val="center"/>
          </w:tcPr>
          <w:p w14:paraId="534935E4">
            <w:pPr>
              <w:widowControl/>
              <w:adjustRightInd/>
              <w:spacing w:line="240" w:lineRule="auto"/>
              <w:jc w:val="left"/>
              <w:rPr>
                <w:rFonts w:ascii="等线" w:hAnsi="等线" w:eastAsia="等线" w:cs="宋体"/>
                <w:color w:val="000000"/>
                <w:kern w:val="0"/>
                <w:sz w:val="18"/>
                <w:szCs w:val="18"/>
              </w:rPr>
            </w:pPr>
            <w:r>
              <w:rPr>
                <w:rFonts w:ascii="Wingdings 2" w:hAnsi="Wingdings 2" w:eastAsia="等线" w:cs="宋体"/>
                <w:color w:val="000000"/>
                <w:kern w:val="0"/>
                <w:sz w:val="18"/>
                <w:szCs w:val="18"/>
              </w:rPr>
              <w:t></w:t>
            </w:r>
            <w:r>
              <w:rPr>
                <w:rFonts w:hint="eastAsia" w:ascii="等线" w:hAnsi="等线" w:eastAsia="等线" w:cs="宋体"/>
                <w:color w:val="000000"/>
                <w:kern w:val="0"/>
                <w:sz w:val="18"/>
                <w:szCs w:val="18"/>
              </w:rPr>
              <w:t>服务实施前，应对老年人的身体状况进行评估（包括但不限于心率、血压等测试），根据评估结果确定适宜的服务方式，应进行安全提示。不宜提供服务时，应告知原因。</w:t>
            </w:r>
            <w:r>
              <w:rPr>
                <w:rFonts w:hint="eastAsia" w:ascii="等线" w:hAnsi="等线" w:eastAsia="等线" w:cs="宋体"/>
                <w:color w:val="000000"/>
                <w:kern w:val="0"/>
                <w:sz w:val="18"/>
                <w:szCs w:val="18"/>
              </w:rPr>
              <w:br w:type="textWrapping"/>
            </w:r>
            <w:r>
              <w:rPr>
                <w:rFonts w:ascii="Wingdings 2" w:hAnsi="Wingdings 2" w:eastAsia="等线" w:cs="宋体"/>
                <w:color w:val="000000"/>
                <w:kern w:val="0"/>
                <w:sz w:val="18"/>
                <w:szCs w:val="18"/>
              </w:rPr>
              <w:t></w:t>
            </w:r>
            <w:r>
              <w:rPr>
                <w:rFonts w:hint="eastAsia" w:ascii="等线" w:hAnsi="等线" w:eastAsia="等线" w:cs="宋体"/>
                <w:color w:val="000000"/>
                <w:kern w:val="0"/>
                <w:sz w:val="18"/>
                <w:szCs w:val="18"/>
              </w:rPr>
              <w:t>助浴过程中应有家属或其他监护人在场。过程中应注意观察老年人身体情况，若出现老年人身体不适，协助采取相应应急措施。</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③服务完成后，应注意防寒保暖、防暑降温，并确认服务对象的身体情况。</w:t>
            </w:r>
          </w:p>
        </w:tc>
        <w:tc>
          <w:tcPr>
            <w:tcW w:w="850" w:type="dxa"/>
            <w:tcBorders>
              <w:top w:val="nil"/>
              <w:left w:val="nil"/>
              <w:bottom w:val="single" w:color="auto" w:sz="4" w:space="0"/>
              <w:right w:val="single" w:color="auto" w:sz="4" w:space="0"/>
            </w:tcBorders>
            <w:shd w:val="clear" w:color="auto" w:fill="auto"/>
            <w:noWrap/>
            <w:vAlign w:val="center"/>
          </w:tcPr>
          <w:p w14:paraId="194504C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w:t>
            </w:r>
          </w:p>
        </w:tc>
        <w:tc>
          <w:tcPr>
            <w:tcW w:w="811" w:type="dxa"/>
            <w:tcBorders>
              <w:top w:val="nil"/>
              <w:left w:val="nil"/>
              <w:bottom w:val="single" w:color="auto" w:sz="4" w:space="0"/>
              <w:right w:val="single" w:color="auto" w:sz="4" w:space="0"/>
            </w:tcBorders>
            <w:shd w:val="clear" w:color="auto" w:fill="auto"/>
            <w:noWrap/>
            <w:vAlign w:val="center"/>
          </w:tcPr>
          <w:p w14:paraId="055E742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3246896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693" w:type="dxa"/>
            <w:tcBorders>
              <w:top w:val="nil"/>
              <w:left w:val="nil"/>
              <w:bottom w:val="single" w:color="auto" w:sz="4" w:space="0"/>
              <w:right w:val="single" w:color="auto" w:sz="4" w:space="0"/>
            </w:tcBorders>
            <w:shd w:val="clear" w:color="auto" w:fill="auto"/>
            <w:noWrap/>
            <w:vAlign w:val="bottom"/>
          </w:tcPr>
          <w:p w14:paraId="01305380">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3AF1A335">
        <w:tblPrEx>
          <w:tblCellMar>
            <w:top w:w="0" w:type="dxa"/>
            <w:left w:w="108" w:type="dxa"/>
            <w:bottom w:w="0" w:type="dxa"/>
            <w:right w:w="108" w:type="dxa"/>
          </w:tblCellMar>
        </w:tblPrEx>
        <w:trPr>
          <w:trHeight w:val="11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724B41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1046" w:type="dxa"/>
            <w:tcBorders>
              <w:top w:val="nil"/>
              <w:left w:val="nil"/>
              <w:bottom w:val="single" w:color="auto" w:sz="4" w:space="0"/>
              <w:right w:val="single" w:color="auto" w:sz="4" w:space="0"/>
            </w:tcBorders>
            <w:shd w:val="clear" w:color="auto" w:fill="auto"/>
            <w:vAlign w:val="center"/>
          </w:tcPr>
          <w:p w14:paraId="71B6E8B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上门助浴服务</w:t>
            </w:r>
          </w:p>
        </w:tc>
        <w:tc>
          <w:tcPr>
            <w:tcW w:w="4063" w:type="dxa"/>
            <w:gridSpan w:val="3"/>
            <w:tcBorders>
              <w:top w:val="single" w:color="auto" w:sz="4" w:space="0"/>
              <w:left w:val="nil"/>
              <w:bottom w:val="single" w:color="auto" w:sz="4" w:space="0"/>
              <w:right w:val="single" w:color="auto" w:sz="4" w:space="0"/>
            </w:tcBorders>
            <w:shd w:val="clear" w:color="auto" w:fill="auto"/>
            <w:vAlign w:val="center"/>
          </w:tcPr>
          <w:p w14:paraId="770C559B">
            <w:pPr>
              <w:widowControl/>
              <w:adjustRightInd/>
              <w:spacing w:line="240" w:lineRule="auto"/>
              <w:jc w:val="left"/>
              <w:rPr>
                <w:rFonts w:ascii="等线" w:hAnsi="等线" w:eastAsia="等线" w:cs="宋体"/>
                <w:kern w:val="0"/>
                <w:sz w:val="18"/>
                <w:szCs w:val="18"/>
              </w:rPr>
            </w:pPr>
            <w:r>
              <w:rPr>
                <w:rFonts w:ascii="Wingdings 2" w:hAnsi="Wingdings 2" w:eastAsia="等线" w:cs="宋体"/>
                <w:kern w:val="0"/>
                <w:sz w:val="18"/>
                <w:szCs w:val="18"/>
              </w:rPr>
              <w:t></w:t>
            </w:r>
            <w:r>
              <w:rPr>
                <w:rFonts w:hint="eastAsia" w:ascii="等线" w:hAnsi="等线" w:eastAsia="等线" w:cs="宋体"/>
                <w:kern w:val="0"/>
                <w:sz w:val="18"/>
                <w:szCs w:val="18"/>
              </w:rPr>
              <w:t>上门助浴时应根据四季气候状况和老年人居住条件，注意防寒保暖、防暑降温及浴室内通风。。</w:t>
            </w:r>
            <w:r>
              <w:rPr>
                <w:rFonts w:hint="eastAsia" w:ascii="等线" w:hAnsi="等线" w:eastAsia="等线" w:cs="宋体"/>
                <w:kern w:val="0"/>
                <w:sz w:val="18"/>
                <w:szCs w:val="18"/>
              </w:rPr>
              <w:br w:type="textWrapping"/>
            </w:r>
            <w:r>
              <w:rPr>
                <w:rFonts w:ascii="Wingdings 2" w:hAnsi="Wingdings 2" w:eastAsia="等线" w:cs="宋体"/>
                <w:kern w:val="0"/>
                <w:sz w:val="18"/>
                <w:szCs w:val="18"/>
              </w:rPr>
              <w:t></w:t>
            </w:r>
            <w:r>
              <w:rPr>
                <w:rFonts w:hint="eastAsia" w:ascii="等线" w:hAnsi="等线" w:eastAsia="等线" w:cs="宋体"/>
                <w:kern w:val="0"/>
                <w:sz w:val="18"/>
                <w:szCs w:val="18"/>
              </w:rPr>
              <w:t>室内温度适宜，地面防滑、不积水，应检查设备设施的完好程度。</w:t>
            </w:r>
          </w:p>
        </w:tc>
        <w:tc>
          <w:tcPr>
            <w:tcW w:w="850" w:type="dxa"/>
            <w:tcBorders>
              <w:top w:val="nil"/>
              <w:left w:val="nil"/>
              <w:bottom w:val="single" w:color="auto" w:sz="4" w:space="0"/>
              <w:right w:val="single" w:color="auto" w:sz="4" w:space="0"/>
            </w:tcBorders>
            <w:shd w:val="clear" w:color="auto" w:fill="auto"/>
            <w:noWrap/>
            <w:vAlign w:val="center"/>
          </w:tcPr>
          <w:p w14:paraId="1820EA31">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30</w:t>
            </w:r>
          </w:p>
        </w:tc>
        <w:tc>
          <w:tcPr>
            <w:tcW w:w="811" w:type="dxa"/>
            <w:tcBorders>
              <w:top w:val="nil"/>
              <w:left w:val="nil"/>
              <w:bottom w:val="single" w:color="auto" w:sz="4" w:space="0"/>
              <w:right w:val="single" w:color="auto" w:sz="4" w:space="0"/>
            </w:tcBorders>
            <w:shd w:val="clear" w:color="auto" w:fill="auto"/>
            <w:noWrap/>
            <w:vAlign w:val="center"/>
          </w:tcPr>
          <w:p w14:paraId="6D39A84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1CCFD07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693" w:type="dxa"/>
            <w:tcBorders>
              <w:top w:val="nil"/>
              <w:left w:val="nil"/>
              <w:bottom w:val="single" w:color="auto" w:sz="4" w:space="0"/>
              <w:right w:val="single" w:color="auto" w:sz="4" w:space="0"/>
            </w:tcBorders>
            <w:shd w:val="clear" w:color="auto" w:fill="auto"/>
            <w:noWrap/>
            <w:vAlign w:val="bottom"/>
          </w:tcPr>
          <w:p w14:paraId="726EA5D5">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19F930A4">
        <w:tblPrEx>
          <w:tblCellMar>
            <w:top w:w="0" w:type="dxa"/>
            <w:left w:w="108" w:type="dxa"/>
            <w:bottom w:w="0" w:type="dxa"/>
            <w:right w:w="108" w:type="dxa"/>
          </w:tblCellMar>
        </w:tblPrEx>
        <w:trPr>
          <w:trHeight w:val="118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785F326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1046" w:type="dxa"/>
            <w:tcBorders>
              <w:top w:val="nil"/>
              <w:left w:val="nil"/>
              <w:bottom w:val="single" w:color="auto" w:sz="4" w:space="0"/>
              <w:right w:val="single" w:color="auto" w:sz="4" w:space="0"/>
            </w:tcBorders>
            <w:shd w:val="clear" w:color="auto" w:fill="auto"/>
            <w:vAlign w:val="center"/>
          </w:tcPr>
          <w:p w14:paraId="5895A3A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外出助浴服务</w:t>
            </w:r>
          </w:p>
        </w:tc>
        <w:tc>
          <w:tcPr>
            <w:tcW w:w="4063" w:type="dxa"/>
            <w:gridSpan w:val="3"/>
            <w:tcBorders>
              <w:top w:val="single" w:color="auto" w:sz="4" w:space="0"/>
              <w:left w:val="nil"/>
              <w:bottom w:val="single" w:color="auto" w:sz="4" w:space="0"/>
              <w:right w:val="single" w:color="auto" w:sz="4" w:space="0"/>
            </w:tcBorders>
            <w:shd w:val="clear" w:color="auto" w:fill="auto"/>
            <w:vAlign w:val="center"/>
          </w:tcPr>
          <w:p w14:paraId="4EB8AF25">
            <w:pPr>
              <w:widowControl/>
              <w:adjustRightInd/>
              <w:spacing w:line="240" w:lineRule="auto"/>
              <w:jc w:val="left"/>
              <w:rPr>
                <w:rFonts w:ascii="等线" w:hAnsi="等线" w:eastAsia="等线" w:cs="宋体"/>
                <w:color w:val="000000"/>
                <w:kern w:val="0"/>
                <w:sz w:val="18"/>
                <w:szCs w:val="18"/>
              </w:rPr>
            </w:pPr>
            <w:r>
              <w:rPr>
                <w:rFonts w:ascii="Wingdings 2" w:hAnsi="Wingdings 2" w:eastAsia="等线" w:cs="宋体"/>
                <w:color w:val="000000"/>
                <w:kern w:val="0"/>
                <w:sz w:val="18"/>
                <w:szCs w:val="18"/>
              </w:rPr>
              <w:t></w:t>
            </w:r>
            <w:r>
              <w:rPr>
                <w:rFonts w:hint="eastAsia" w:ascii="等线" w:hAnsi="等线" w:eastAsia="等线" w:cs="宋体"/>
                <w:color w:val="000000"/>
                <w:kern w:val="0"/>
                <w:sz w:val="18"/>
                <w:szCs w:val="18"/>
              </w:rPr>
              <w:t>外出助浴应选择有资质的公共洗浴场所或有公用沐浴设施的养老服务机构。</w:t>
            </w:r>
            <w:r>
              <w:rPr>
                <w:rFonts w:hint="eastAsia" w:ascii="等线" w:hAnsi="等线" w:eastAsia="等线" w:cs="宋体"/>
                <w:color w:val="000000"/>
                <w:kern w:val="0"/>
                <w:sz w:val="18"/>
                <w:szCs w:val="18"/>
              </w:rPr>
              <w:br w:type="textWrapping"/>
            </w:r>
            <w:r>
              <w:rPr>
                <w:rFonts w:ascii="Wingdings 2" w:hAnsi="Wingdings 2" w:eastAsia="等线" w:cs="宋体"/>
                <w:color w:val="000000"/>
                <w:kern w:val="0"/>
                <w:sz w:val="18"/>
                <w:szCs w:val="18"/>
              </w:rPr>
              <w:t></w:t>
            </w:r>
            <w:r>
              <w:rPr>
                <w:rFonts w:hint="eastAsia" w:ascii="等线" w:hAnsi="等线" w:eastAsia="等线" w:cs="宋体"/>
                <w:color w:val="000000"/>
                <w:kern w:val="0"/>
                <w:sz w:val="18"/>
                <w:szCs w:val="18"/>
              </w:rPr>
              <w:t>服务过程中，应随时注意现场情况，及时清理积水并向老人作出安全提示，防止老人滑到。</w:t>
            </w:r>
          </w:p>
        </w:tc>
        <w:tc>
          <w:tcPr>
            <w:tcW w:w="850" w:type="dxa"/>
            <w:tcBorders>
              <w:top w:val="nil"/>
              <w:left w:val="nil"/>
              <w:bottom w:val="single" w:color="auto" w:sz="4" w:space="0"/>
              <w:right w:val="single" w:color="auto" w:sz="4" w:space="0"/>
            </w:tcBorders>
            <w:shd w:val="clear" w:color="auto" w:fill="auto"/>
            <w:noWrap/>
            <w:vAlign w:val="center"/>
          </w:tcPr>
          <w:p w14:paraId="279F051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811" w:type="dxa"/>
            <w:tcBorders>
              <w:top w:val="nil"/>
              <w:left w:val="nil"/>
              <w:bottom w:val="single" w:color="auto" w:sz="4" w:space="0"/>
              <w:right w:val="single" w:color="auto" w:sz="4" w:space="0"/>
            </w:tcBorders>
            <w:shd w:val="clear" w:color="auto" w:fill="auto"/>
            <w:noWrap/>
            <w:vAlign w:val="center"/>
          </w:tcPr>
          <w:p w14:paraId="1AA485B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01CA8E6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693" w:type="dxa"/>
            <w:tcBorders>
              <w:top w:val="nil"/>
              <w:left w:val="nil"/>
              <w:bottom w:val="single" w:color="auto" w:sz="4" w:space="0"/>
              <w:right w:val="single" w:color="auto" w:sz="4" w:space="0"/>
            </w:tcBorders>
            <w:shd w:val="clear" w:color="auto" w:fill="auto"/>
            <w:noWrap/>
            <w:vAlign w:val="bottom"/>
          </w:tcPr>
          <w:p w14:paraId="2160D403">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202E4601">
        <w:tblPrEx>
          <w:tblCellMar>
            <w:top w:w="0" w:type="dxa"/>
            <w:left w:w="108" w:type="dxa"/>
            <w:bottom w:w="0" w:type="dxa"/>
            <w:right w:w="108" w:type="dxa"/>
          </w:tblCellMar>
        </w:tblPrEx>
        <w:trPr>
          <w:trHeight w:val="34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2B9ECAC9">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109" w:type="dxa"/>
            <w:gridSpan w:val="4"/>
            <w:tcBorders>
              <w:top w:val="single" w:color="auto" w:sz="4" w:space="0"/>
              <w:left w:val="nil"/>
              <w:bottom w:val="single" w:color="auto" w:sz="4" w:space="0"/>
              <w:right w:val="single" w:color="auto" w:sz="4" w:space="0"/>
            </w:tcBorders>
            <w:shd w:val="clear" w:color="auto" w:fill="auto"/>
            <w:noWrap/>
            <w:vAlign w:val="center"/>
          </w:tcPr>
          <w:p w14:paraId="0FF479A1">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850" w:type="dxa"/>
            <w:tcBorders>
              <w:top w:val="nil"/>
              <w:left w:val="nil"/>
              <w:bottom w:val="single" w:color="auto" w:sz="4" w:space="0"/>
              <w:right w:val="single" w:color="auto" w:sz="4" w:space="0"/>
            </w:tcBorders>
            <w:shd w:val="clear" w:color="auto" w:fill="auto"/>
            <w:noWrap/>
            <w:vAlign w:val="center"/>
          </w:tcPr>
          <w:p w14:paraId="4130238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811" w:type="dxa"/>
            <w:tcBorders>
              <w:top w:val="nil"/>
              <w:left w:val="nil"/>
              <w:bottom w:val="single" w:color="auto" w:sz="4" w:space="0"/>
              <w:right w:val="single" w:color="auto" w:sz="4" w:space="0"/>
            </w:tcBorders>
            <w:shd w:val="clear" w:color="auto" w:fill="auto"/>
            <w:noWrap/>
            <w:vAlign w:val="bottom"/>
          </w:tcPr>
          <w:p w14:paraId="22B8DCC3">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bottom"/>
          </w:tcPr>
          <w:p w14:paraId="266051FC">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0</w:t>
            </w:r>
          </w:p>
        </w:tc>
        <w:tc>
          <w:tcPr>
            <w:tcW w:w="1693" w:type="dxa"/>
            <w:tcBorders>
              <w:top w:val="nil"/>
              <w:left w:val="nil"/>
              <w:bottom w:val="single" w:color="auto" w:sz="4" w:space="0"/>
              <w:right w:val="single" w:color="auto" w:sz="4" w:space="0"/>
            </w:tcBorders>
            <w:shd w:val="clear" w:color="auto" w:fill="auto"/>
            <w:noWrap/>
            <w:vAlign w:val="bottom"/>
          </w:tcPr>
          <w:p w14:paraId="7529B2CB">
            <w:pPr>
              <w:widowControl/>
              <w:adjustRightInd/>
              <w:spacing w:line="240" w:lineRule="auto"/>
              <w:jc w:val="left"/>
              <w:rPr>
                <w:rFonts w:ascii="等线" w:hAnsi="等线" w:eastAsia="等线" w:cs="宋体"/>
                <w:color w:val="FF0000"/>
                <w:kern w:val="0"/>
                <w:sz w:val="22"/>
                <w:szCs w:val="22"/>
              </w:rPr>
            </w:pPr>
            <w:r>
              <w:rPr>
                <w:rFonts w:hint="eastAsia" w:ascii="等线" w:hAnsi="等线" w:eastAsia="等线" w:cs="宋体"/>
                <w:color w:val="FF0000"/>
                <w:kern w:val="0"/>
                <w:sz w:val="22"/>
                <w:szCs w:val="22"/>
              </w:rPr>
              <w:t>　</w:t>
            </w:r>
          </w:p>
        </w:tc>
      </w:tr>
      <w:tr w14:paraId="1CF434B0">
        <w:tblPrEx>
          <w:tblCellMar>
            <w:top w:w="0" w:type="dxa"/>
            <w:left w:w="108" w:type="dxa"/>
            <w:bottom w:w="0" w:type="dxa"/>
            <w:right w:w="108" w:type="dxa"/>
          </w:tblCellMar>
        </w:tblPrEx>
        <w:trPr>
          <w:trHeight w:val="340" w:hRule="atLeast"/>
        </w:trPr>
        <w:tc>
          <w:tcPr>
            <w:tcW w:w="160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4853CE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735B2926">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77F1F432">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943" w:type="dxa"/>
            <w:tcBorders>
              <w:top w:val="single" w:color="auto" w:sz="4" w:space="0"/>
              <w:left w:val="nil"/>
              <w:bottom w:val="single" w:color="auto" w:sz="4" w:space="0"/>
              <w:right w:val="single" w:color="auto" w:sz="4" w:space="0"/>
            </w:tcBorders>
            <w:shd w:val="clear" w:color="auto" w:fill="auto"/>
            <w:vAlign w:val="center"/>
          </w:tcPr>
          <w:p w14:paraId="03A8CF40">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661" w:type="dxa"/>
            <w:gridSpan w:val="2"/>
            <w:tcBorders>
              <w:top w:val="single" w:color="auto" w:sz="4" w:space="0"/>
              <w:left w:val="nil"/>
              <w:bottom w:val="single" w:color="auto" w:sz="4" w:space="0"/>
              <w:right w:val="single" w:color="auto" w:sz="4" w:space="0"/>
            </w:tcBorders>
            <w:shd w:val="clear" w:color="auto" w:fill="auto"/>
            <w:noWrap/>
            <w:vAlign w:val="center"/>
          </w:tcPr>
          <w:p w14:paraId="2C2365E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1040" w:type="dxa"/>
            <w:tcBorders>
              <w:top w:val="nil"/>
              <w:left w:val="nil"/>
              <w:bottom w:val="single" w:color="auto" w:sz="4" w:space="0"/>
              <w:right w:val="single" w:color="auto" w:sz="4" w:space="0"/>
            </w:tcBorders>
            <w:shd w:val="clear" w:color="auto" w:fill="auto"/>
            <w:noWrap/>
            <w:vAlign w:val="center"/>
          </w:tcPr>
          <w:p w14:paraId="02C82C4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693" w:type="dxa"/>
            <w:tcBorders>
              <w:top w:val="nil"/>
              <w:left w:val="nil"/>
              <w:bottom w:val="single" w:color="auto" w:sz="4" w:space="0"/>
              <w:right w:val="single" w:color="auto" w:sz="4" w:space="0"/>
            </w:tcBorders>
            <w:shd w:val="clear" w:color="auto" w:fill="auto"/>
            <w:noWrap/>
            <w:vAlign w:val="bottom"/>
          </w:tcPr>
          <w:p w14:paraId="7C38D679">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bl>
    <w:p w14:paraId="1B2227F3">
      <w:pPr>
        <w:rPr>
          <w:rFonts w:ascii="黑体" w:hAnsi="黑体" w:eastAsia="黑体"/>
        </w:rPr>
      </w:pPr>
    </w:p>
    <w:p w14:paraId="2BEC4C1D">
      <w:pPr>
        <w:rPr>
          <w:rFonts w:ascii="黑体" w:hAnsi="黑体" w:eastAsia="黑体"/>
        </w:rPr>
      </w:pPr>
    </w:p>
    <w:p w14:paraId="051F9A3B">
      <w:pPr>
        <w:rPr>
          <w:rFonts w:ascii="黑体" w:hAnsi="黑体" w:eastAsia="黑体"/>
        </w:rPr>
      </w:pPr>
    </w:p>
    <w:p w14:paraId="760EEDBA">
      <w:pPr>
        <w:pStyle w:val="2"/>
        <w:rPr>
          <w:rFonts w:ascii="黑体" w:hAnsi="黑体" w:eastAsia="黑体"/>
        </w:rPr>
      </w:pPr>
    </w:p>
    <w:p w14:paraId="694A9A43">
      <w:pPr>
        <w:pStyle w:val="2"/>
        <w:rPr>
          <w:rFonts w:ascii="黑体" w:hAnsi="黑体" w:eastAsia="黑体"/>
        </w:rPr>
      </w:pPr>
    </w:p>
    <w:p w14:paraId="0E1AD4DB">
      <w:pPr>
        <w:pStyle w:val="2"/>
        <w:rPr>
          <w:rFonts w:ascii="黑体" w:hAnsi="黑体" w:eastAsia="黑体"/>
        </w:rPr>
      </w:pPr>
    </w:p>
    <w:p w14:paraId="0CA01C38">
      <w:pPr>
        <w:rPr>
          <w:rFonts w:ascii="黑体" w:hAnsi="黑体" w:eastAsia="黑体"/>
        </w:rPr>
      </w:pPr>
    </w:p>
    <w:p w14:paraId="45172CCF">
      <w:pPr>
        <w:rPr>
          <w:rFonts w:ascii="黑体" w:hAnsi="黑体" w:eastAsia="黑体"/>
        </w:rPr>
      </w:pPr>
    </w:p>
    <w:p w14:paraId="4153623E">
      <w:pPr>
        <w:jc w:val="center"/>
        <w:rPr>
          <w:rFonts w:hint="eastAsia" w:ascii="黑体" w:hAnsi="黑体"/>
          <w:b/>
          <w:bCs/>
          <w:sz w:val="24"/>
          <w:szCs w:val="24"/>
        </w:rPr>
      </w:pPr>
      <w:r>
        <w:rPr>
          <w:rFonts w:hint="eastAsia" w:ascii="黑体" w:hAnsi="黑体"/>
          <w:b/>
          <w:bCs/>
          <w:sz w:val="24"/>
          <w:szCs w:val="24"/>
        </w:rPr>
        <w:t>表B.1社区居家养老服务-生活照料特性测评工具（续）</w:t>
      </w:r>
    </w:p>
    <w:p w14:paraId="02A1CC03">
      <w:pPr>
        <w:jc w:val="center"/>
        <w:rPr>
          <w:rFonts w:hint="eastAsia" w:ascii="黑体" w:hAnsi="黑体"/>
          <w:b/>
          <w:bCs/>
          <w:sz w:val="24"/>
          <w:szCs w:val="24"/>
        </w:rPr>
      </w:pPr>
    </w:p>
    <w:tbl>
      <w:tblPr>
        <w:tblStyle w:val="28"/>
        <w:tblW w:w="9905" w:type="dxa"/>
        <w:tblInd w:w="-147" w:type="dxa"/>
        <w:tblLayout w:type="autofit"/>
        <w:tblCellMar>
          <w:top w:w="0" w:type="dxa"/>
          <w:left w:w="108" w:type="dxa"/>
          <w:bottom w:w="0" w:type="dxa"/>
          <w:right w:w="108" w:type="dxa"/>
        </w:tblCellMar>
      </w:tblPr>
      <w:tblGrid>
        <w:gridCol w:w="562"/>
        <w:gridCol w:w="1046"/>
        <w:gridCol w:w="2080"/>
        <w:gridCol w:w="1040"/>
        <w:gridCol w:w="1231"/>
        <w:gridCol w:w="709"/>
        <w:gridCol w:w="863"/>
        <w:gridCol w:w="838"/>
        <w:gridCol w:w="1536"/>
      </w:tblGrid>
      <w:tr w14:paraId="124E71EA">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41F76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1046" w:type="dxa"/>
            <w:tcBorders>
              <w:top w:val="single" w:color="auto" w:sz="4" w:space="0"/>
              <w:left w:val="nil"/>
              <w:bottom w:val="single" w:color="auto" w:sz="4" w:space="0"/>
              <w:right w:val="single" w:color="auto" w:sz="4" w:space="0"/>
            </w:tcBorders>
            <w:shd w:val="clear" w:color="auto" w:fill="auto"/>
            <w:vAlign w:val="center"/>
          </w:tcPr>
          <w:p w14:paraId="711A21A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评价项目 （分值）</w:t>
            </w:r>
          </w:p>
        </w:tc>
        <w:tc>
          <w:tcPr>
            <w:tcW w:w="4351" w:type="dxa"/>
            <w:gridSpan w:val="3"/>
            <w:tcBorders>
              <w:top w:val="single" w:color="auto" w:sz="4" w:space="0"/>
              <w:left w:val="nil"/>
              <w:bottom w:val="single" w:color="auto" w:sz="4" w:space="0"/>
              <w:right w:val="single" w:color="auto" w:sz="4" w:space="0"/>
            </w:tcBorders>
            <w:shd w:val="clear" w:color="auto" w:fill="auto"/>
            <w:noWrap/>
            <w:vAlign w:val="center"/>
          </w:tcPr>
          <w:p w14:paraId="08F3CA6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709" w:type="dxa"/>
            <w:tcBorders>
              <w:top w:val="single" w:color="auto" w:sz="4" w:space="0"/>
              <w:left w:val="nil"/>
              <w:bottom w:val="single" w:color="auto" w:sz="4" w:space="0"/>
              <w:right w:val="single" w:color="auto" w:sz="4" w:space="0"/>
            </w:tcBorders>
            <w:shd w:val="clear" w:color="auto" w:fill="auto"/>
            <w:vAlign w:val="center"/>
          </w:tcPr>
          <w:p w14:paraId="38E84CA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863" w:type="dxa"/>
            <w:tcBorders>
              <w:top w:val="single" w:color="auto" w:sz="4" w:space="0"/>
              <w:left w:val="nil"/>
              <w:bottom w:val="single" w:color="auto" w:sz="4" w:space="0"/>
              <w:right w:val="single" w:color="auto" w:sz="4" w:space="0"/>
            </w:tcBorders>
            <w:shd w:val="clear" w:color="auto" w:fill="auto"/>
            <w:vAlign w:val="center"/>
          </w:tcPr>
          <w:p w14:paraId="7CD0E22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838" w:type="dxa"/>
            <w:tcBorders>
              <w:top w:val="single" w:color="auto" w:sz="4" w:space="0"/>
              <w:left w:val="nil"/>
              <w:bottom w:val="single" w:color="auto" w:sz="4" w:space="0"/>
              <w:right w:val="single" w:color="auto" w:sz="4" w:space="0"/>
            </w:tcBorders>
            <w:shd w:val="clear" w:color="auto" w:fill="auto"/>
            <w:vAlign w:val="center"/>
          </w:tcPr>
          <w:p w14:paraId="305337E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1536" w:type="dxa"/>
            <w:tcBorders>
              <w:top w:val="single" w:color="auto" w:sz="4" w:space="0"/>
              <w:left w:val="nil"/>
              <w:bottom w:val="single" w:color="auto" w:sz="4" w:space="0"/>
              <w:right w:val="single" w:color="auto" w:sz="4" w:space="0"/>
            </w:tcBorders>
            <w:shd w:val="clear" w:color="auto" w:fill="auto"/>
            <w:vAlign w:val="center"/>
          </w:tcPr>
          <w:p w14:paraId="75670FC8">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413F0969">
        <w:tblPrEx>
          <w:tblCellMar>
            <w:top w:w="0" w:type="dxa"/>
            <w:left w:w="108" w:type="dxa"/>
            <w:bottom w:w="0" w:type="dxa"/>
            <w:right w:w="108" w:type="dxa"/>
          </w:tblCellMar>
        </w:tblPrEx>
        <w:trPr>
          <w:trHeight w:val="620" w:hRule="atLeast"/>
        </w:trPr>
        <w:tc>
          <w:tcPr>
            <w:tcW w:w="9905"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1AFCBC9F">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1-5</w:t>
            </w:r>
            <w:r>
              <w:rPr>
                <w:rFonts w:hint="eastAsia" w:ascii="等线" w:hAnsi="等线" w:eastAsia="等线" w:cs="宋体"/>
                <w:color w:val="000000"/>
                <w:kern w:val="0"/>
                <w:sz w:val="22"/>
                <w:szCs w:val="22"/>
              </w:rPr>
              <w:t xml:space="preserve"> 助医服务（100分+30）</w:t>
            </w:r>
          </w:p>
        </w:tc>
      </w:tr>
      <w:tr w14:paraId="1E29161C">
        <w:tblPrEx>
          <w:tblCellMar>
            <w:top w:w="0" w:type="dxa"/>
            <w:left w:w="108" w:type="dxa"/>
            <w:bottom w:w="0" w:type="dxa"/>
            <w:right w:w="108" w:type="dxa"/>
          </w:tblCellMar>
        </w:tblPrEx>
        <w:trPr>
          <w:trHeight w:val="84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617F89D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1046" w:type="dxa"/>
            <w:tcBorders>
              <w:top w:val="nil"/>
              <w:left w:val="nil"/>
              <w:bottom w:val="single" w:color="auto" w:sz="4" w:space="0"/>
              <w:right w:val="single" w:color="auto" w:sz="4" w:space="0"/>
            </w:tcBorders>
            <w:shd w:val="clear" w:color="auto" w:fill="auto"/>
            <w:vAlign w:val="center"/>
          </w:tcPr>
          <w:p w14:paraId="20B1615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通用要求</w:t>
            </w:r>
          </w:p>
        </w:tc>
        <w:tc>
          <w:tcPr>
            <w:tcW w:w="4351" w:type="dxa"/>
            <w:gridSpan w:val="3"/>
            <w:tcBorders>
              <w:top w:val="single" w:color="auto" w:sz="4" w:space="0"/>
              <w:left w:val="nil"/>
              <w:bottom w:val="single" w:color="auto" w:sz="4" w:space="0"/>
              <w:right w:val="single" w:color="000000" w:sz="4" w:space="0"/>
            </w:tcBorders>
            <w:shd w:val="clear" w:color="auto" w:fill="auto"/>
            <w:vAlign w:val="center"/>
          </w:tcPr>
          <w:p w14:paraId="00AFED52">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 xml:space="preserve">应依据老人健康状况评估并确定助医服务的内容和方式，并告知老人或相关第三方。 </w:t>
            </w:r>
          </w:p>
        </w:tc>
        <w:tc>
          <w:tcPr>
            <w:tcW w:w="709" w:type="dxa"/>
            <w:tcBorders>
              <w:top w:val="nil"/>
              <w:left w:val="nil"/>
              <w:bottom w:val="single" w:color="auto" w:sz="4" w:space="0"/>
              <w:right w:val="single" w:color="auto" w:sz="4" w:space="0"/>
            </w:tcBorders>
            <w:shd w:val="clear" w:color="auto" w:fill="auto"/>
            <w:noWrap/>
            <w:vAlign w:val="center"/>
          </w:tcPr>
          <w:p w14:paraId="638FE232">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20</w:t>
            </w:r>
          </w:p>
        </w:tc>
        <w:tc>
          <w:tcPr>
            <w:tcW w:w="863" w:type="dxa"/>
            <w:tcBorders>
              <w:top w:val="nil"/>
              <w:left w:val="nil"/>
              <w:bottom w:val="single" w:color="auto" w:sz="4" w:space="0"/>
              <w:right w:val="single" w:color="auto" w:sz="4" w:space="0"/>
            </w:tcBorders>
            <w:shd w:val="clear" w:color="auto" w:fill="auto"/>
            <w:noWrap/>
            <w:vAlign w:val="center"/>
          </w:tcPr>
          <w:p w14:paraId="4EF8732C">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　</w:t>
            </w:r>
          </w:p>
        </w:tc>
        <w:tc>
          <w:tcPr>
            <w:tcW w:w="838" w:type="dxa"/>
            <w:tcBorders>
              <w:top w:val="nil"/>
              <w:left w:val="nil"/>
              <w:bottom w:val="single" w:color="auto" w:sz="4" w:space="0"/>
              <w:right w:val="single" w:color="auto" w:sz="4" w:space="0"/>
            </w:tcBorders>
            <w:shd w:val="clear" w:color="auto" w:fill="auto"/>
            <w:noWrap/>
            <w:vAlign w:val="center"/>
          </w:tcPr>
          <w:p w14:paraId="654B69B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36" w:type="dxa"/>
            <w:tcBorders>
              <w:top w:val="nil"/>
              <w:left w:val="nil"/>
              <w:bottom w:val="single" w:color="auto" w:sz="4" w:space="0"/>
              <w:right w:val="single" w:color="auto" w:sz="4" w:space="0"/>
            </w:tcBorders>
            <w:shd w:val="clear" w:color="auto" w:fill="auto"/>
            <w:noWrap/>
            <w:vAlign w:val="bottom"/>
          </w:tcPr>
          <w:p w14:paraId="7FE63127">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016EA06C">
        <w:tblPrEx>
          <w:tblCellMar>
            <w:top w:w="0" w:type="dxa"/>
            <w:left w:w="108" w:type="dxa"/>
            <w:bottom w:w="0" w:type="dxa"/>
            <w:right w:w="108" w:type="dxa"/>
          </w:tblCellMar>
        </w:tblPrEx>
        <w:trPr>
          <w:trHeight w:val="288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4E70A2D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1046" w:type="dxa"/>
            <w:tcBorders>
              <w:top w:val="nil"/>
              <w:left w:val="nil"/>
              <w:bottom w:val="single" w:color="auto" w:sz="4" w:space="0"/>
              <w:right w:val="single" w:color="auto" w:sz="4" w:space="0"/>
            </w:tcBorders>
            <w:shd w:val="clear" w:color="auto" w:fill="auto"/>
            <w:vAlign w:val="center"/>
          </w:tcPr>
          <w:p w14:paraId="2230B62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陪同就医服务</w:t>
            </w:r>
          </w:p>
        </w:tc>
        <w:tc>
          <w:tcPr>
            <w:tcW w:w="4351" w:type="dxa"/>
            <w:gridSpan w:val="3"/>
            <w:tcBorders>
              <w:top w:val="single" w:color="auto" w:sz="4" w:space="0"/>
              <w:left w:val="nil"/>
              <w:bottom w:val="single" w:color="auto" w:sz="4" w:space="0"/>
              <w:right w:val="single" w:color="000000" w:sz="4" w:space="0"/>
            </w:tcBorders>
            <w:shd w:val="clear" w:color="auto" w:fill="auto"/>
            <w:vAlign w:val="center"/>
          </w:tcPr>
          <w:p w14:paraId="0E386E5A">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陪同就医包括但不限于以下内容:</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a）预约挂号、办理住院/转院手续;</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b）陪同检查、治疗;</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c）领取报告、药品;</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d）办理结算、报销手续。</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陪同就医服务时：</w:t>
            </w:r>
            <w:r>
              <w:rPr>
                <w:rFonts w:hint="eastAsia" w:ascii="等线" w:hAnsi="等线" w:eastAsia="等线" w:cs="宋体"/>
                <w:color w:val="000000"/>
                <w:kern w:val="0"/>
                <w:sz w:val="18"/>
                <w:szCs w:val="18"/>
              </w:rPr>
              <w:br w:type="textWrapping"/>
            </w:r>
            <w:r>
              <w:rPr>
                <w:rFonts w:ascii="Wingdings 2" w:hAnsi="Wingdings 2" w:eastAsia="等线" w:cs="宋体"/>
                <w:color w:val="000000"/>
                <w:kern w:val="0"/>
                <w:sz w:val="18"/>
                <w:szCs w:val="18"/>
              </w:rPr>
              <w:t></w:t>
            </w:r>
            <w:r>
              <w:rPr>
                <w:rFonts w:hint="eastAsia" w:ascii="等线" w:hAnsi="等线" w:eastAsia="等线" w:cs="宋体"/>
                <w:color w:val="000000"/>
                <w:kern w:val="0"/>
                <w:sz w:val="18"/>
                <w:szCs w:val="18"/>
              </w:rPr>
              <w:t>应向老人或相关第三方告知服务内容，包括服务申请流程、 收费标准以及陪同就医过程中可能发生的意外及处理措施，并提供陪同就医须知。</w:t>
            </w:r>
            <w:r>
              <w:rPr>
                <w:rFonts w:hint="eastAsia" w:ascii="等线" w:hAnsi="等线" w:eastAsia="等线" w:cs="宋体"/>
                <w:color w:val="000000"/>
                <w:kern w:val="0"/>
                <w:sz w:val="18"/>
                <w:szCs w:val="18"/>
              </w:rPr>
              <w:br w:type="textWrapping"/>
            </w:r>
            <w:r>
              <w:rPr>
                <w:rFonts w:ascii="Wingdings 2" w:hAnsi="Wingdings 2" w:eastAsia="等线" w:cs="宋体"/>
                <w:color w:val="000000"/>
                <w:kern w:val="0"/>
                <w:sz w:val="18"/>
                <w:szCs w:val="18"/>
              </w:rPr>
              <w:t></w:t>
            </w:r>
            <w:r>
              <w:rPr>
                <w:rFonts w:hint="eastAsia" w:ascii="等线" w:hAnsi="等线" w:eastAsia="等线" w:cs="宋体"/>
                <w:color w:val="000000"/>
                <w:kern w:val="0"/>
                <w:sz w:val="18"/>
                <w:szCs w:val="18"/>
              </w:rPr>
              <w:t>陪同就医前;应为服务对象建立助医服务档案，充分了解服务对象情况，并提前规划好就医流程。</w:t>
            </w:r>
          </w:p>
        </w:tc>
        <w:tc>
          <w:tcPr>
            <w:tcW w:w="709" w:type="dxa"/>
            <w:tcBorders>
              <w:top w:val="nil"/>
              <w:left w:val="nil"/>
              <w:bottom w:val="single" w:color="auto" w:sz="4" w:space="0"/>
              <w:right w:val="single" w:color="auto" w:sz="4" w:space="0"/>
            </w:tcBorders>
            <w:shd w:val="clear" w:color="auto" w:fill="auto"/>
            <w:noWrap/>
            <w:vAlign w:val="center"/>
          </w:tcPr>
          <w:p w14:paraId="4A917DC1">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40</w:t>
            </w:r>
          </w:p>
        </w:tc>
        <w:tc>
          <w:tcPr>
            <w:tcW w:w="863" w:type="dxa"/>
            <w:tcBorders>
              <w:top w:val="nil"/>
              <w:left w:val="nil"/>
              <w:bottom w:val="single" w:color="auto" w:sz="4" w:space="0"/>
              <w:right w:val="single" w:color="auto" w:sz="4" w:space="0"/>
            </w:tcBorders>
            <w:shd w:val="clear" w:color="auto" w:fill="auto"/>
            <w:noWrap/>
            <w:vAlign w:val="center"/>
          </w:tcPr>
          <w:p w14:paraId="1C3AE69D">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　</w:t>
            </w:r>
          </w:p>
        </w:tc>
        <w:tc>
          <w:tcPr>
            <w:tcW w:w="838" w:type="dxa"/>
            <w:tcBorders>
              <w:top w:val="nil"/>
              <w:left w:val="nil"/>
              <w:bottom w:val="single" w:color="auto" w:sz="4" w:space="0"/>
              <w:right w:val="single" w:color="auto" w:sz="4" w:space="0"/>
            </w:tcBorders>
            <w:shd w:val="clear" w:color="auto" w:fill="auto"/>
            <w:noWrap/>
            <w:vAlign w:val="center"/>
          </w:tcPr>
          <w:p w14:paraId="614FE79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36" w:type="dxa"/>
            <w:tcBorders>
              <w:top w:val="nil"/>
              <w:left w:val="nil"/>
              <w:bottom w:val="single" w:color="auto" w:sz="4" w:space="0"/>
              <w:right w:val="single" w:color="auto" w:sz="4" w:space="0"/>
            </w:tcBorders>
            <w:shd w:val="clear" w:color="auto" w:fill="auto"/>
            <w:noWrap/>
            <w:vAlign w:val="bottom"/>
          </w:tcPr>
          <w:p w14:paraId="03D56EDA">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691803CE">
        <w:tblPrEx>
          <w:tblCellMar>
            <w:top w:w="0" w:type="dxa"/>
            <w:left w:w="108" w:type="dxa"/>
            <w:bottom w:w="0" w:type="dxa"/>
            <w:right w:w="108" w:type="dxa"/>
          </w:tblCellMar>
        </w:tblPrEx>
        <w:trPr>
          <w:trHeight w:val="219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4B82E4F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1046" w:type="dxa"/>
            <w:tcBorders>
              <w:top w:val="nil"/>
              <w:left w:val="nil"/>
              <w:bottom w:val="single" w:color="auto" w:sz="4" w:space="0"/>
              <w:right w:val="single" w:color="auto" w:sz="4" w:space="0"/>
            </w:tcBorders>
            <w:shd w:val="clear" w:color="auto" w:fill="auto"/>
            <w:vAlign w:val="center"/>
          </w:tcPr>
          <w:p w14:paraId="5DD4902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用药服务</w:t>
            </w:r>
          </w:p>
        </w:tc>
        <w:tc>
          <w:tcPr>
            <w:tcW w:w="4351" w:type="dxa"/>
            <w:gridSpan w:val="3"/>
            <w:tcBorders>
              <w:top w:val="single" w:color="auto" w:sz="4" w:space="0"/>
              <w:left w:val="nil"/>
              <w:bottom w:val="single" w:color="auto" w:sz="4" w:space="0"/>
              <w:right w:val="single" w:color="000000" w:sz="4" w:space="0"/>
            </w:tcBorders>
            <w:shd w:val="clear" w:color="auto" w:fill="auto"/>
            <w:vAlign w:val="center"/>
          </w:tcPr>
          <w:p w14:paraId="62AB80D4">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用药服务包括但不限于以下内容：</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a）按照医嘱的用药提醒</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b）协助喂药;</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c）清理过期药品;</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d）协助测量血压、体温。</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用药服务前，服务人员应熟悉老人的病情、仔细阅读医嘱或相关说明，如发现异常情况，应及时告知紧急联系人或联系相关医疗卫生机构。</w:t>
            </w:r>
          </w:p>
        </w:tc>
        <w:tc>
          <w:tcPr>
            <w:tcW w:w="709" w:type="dxa"/>
            <w:tcBorders>
              <w:top w:val="nil"/>
              <w:left w:val="nil"/>
              <w:bottom w:val="single" w:color="auto" w:sz="4" w:space="0"/>
              <w:right w:val="single" w:color="auto" w:sz="4" w:space="0"/>
            </w:tcBorders>
            <w:shd w:val="clear" w:color="auto" w:fill="auto"/>
            <w:noWrap/>
            <w:vAlign w:val="center"/>
          </w:tcPr>
          <w:p w14:paraId="3B80767E">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40</w:t>
            </w:r>
          </w:p>
        </w:tc>
        <w:tc>
          <w:tcPr>
            <w:tcW w:w="863" w:type="dxa"/>
            <w:tcBorders>
              <w:top w:val="nil"/>
              <w:left w:val="nil"/>
              <w:bottom w:val="single" w:color="auto" w:sz="4" w:space="0"/>
              <w:right w:val="single" w:color="auto" w:sz="4" w:space="0"/>
            </w:tcBorders>
            <w:shd w:val="clear" w:color="auto" w:fill="auto"/>
            <w:noWrap/>
            <w:vAlign w:val="center"/>
          </w:tcPr>
          <w:p w14:paraId="3907F609">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　</w:t>
            </w:r>
          </w:p>
        </w:tc>
        <w:tc>
          <w:tcPr>
            <w:tcW w:w="838" w:type="dxa"/>
            <w:tcBorders>
              <w:top w:val="nil"/>
              <w:left w:val="nil"/>
              <w:bottom w:val="single" w:color="auto" w:sz="4" w:space="0"/>
              <w:right w:val="single" w:color="auto" w:sz="4" w:space="0"/>
            </w:tcBorders>
            <w:shd w:val="clear" w:color="auto" w:fill="auto"/>
            <w:noWrap/>
            <w:vAlign w:val="center"/>
          </w:tcPr>
          <w:p w14:paraId="0EA6F0F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36" w:type="dxa"/>
            <w:tcBorders>
              <w:top w:val="nil"/>
              <w:left w:val="nil"/>
              <w:bottom w:val="single" w:color="auto" w:sz="4" w:space="0"/>
              <w:right w:val="single" w:color="auto" w:sz="4" w:space="0"/>
            </w:tcBorders>
            <w:shd w:val="clear" w:color="auto" w:fill="auto"/>
            <w:noWrap/>
            <w:vAlign w:val="bottom"/>
          </w:tcPr>
          <w:p w14:paraId="4E8D896B">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0BF9408F">
        <w:tblPrEx>
          <w:tblCellMar>
            <w:top w:w="0" w:type="dxa"/>
            <w:left w:w="108" w:type="dxa"/>
            <w:bottom w:w="0" w:type="dxa"/>
            <w:right w:w="108" w:type="dxa"/>
          </w:tblCellMar>
        </w:tblPrEx>
        <w:trPr>
          <w:trHeight w:val="4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06CC9C1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6" w:type="dxa"/>
            <w:tcBorders>
              <w:top w:val="nil"/>
              <w:left w:val="nil"/>
              <w:bottom w:val="nil"/>
              <w:right w:val="single" w:color="auto" w:sz="4" w:space="0"/>
            </w:tcBorders>
            <w:shd w:val="clear" w:color="auto" w:fill="auto"/>
            <w:vAlign w:val="center"/>
          </w:tcPr>
          <w:p w14:paraId="0119E6E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351" w:type="dxa"/>
            <w:gridSpan w:val="3"/>
            <w:tcBorders>
              <w:top w:val="single" w:color="auto" w:sz="4" w:space="0"/>
              <w:left w:val="nil"/>
              <w:bottom w:val="single" w:color="auto" w:sz="4" w:space="0"/>
              <w:right w:val="single" w:color="auto" w:sz="4" w:space="0"/>
            </w:tcBorders>
            <w:shd w:val="clear" w:color="auto" w:fill="auto"/>
            <w:vAlign w:val="center"/>
          </w:tcPr>
          <w:p w14:paraId="2BC605D5">
            <w:pPr>
              <w:widowControl/>
              <w:adjustRightInd/>
              <w:spacing w:line="240" w:lineRule="auto"/>
              <w:jc w:val="right"/>
              <w:rPr>
                <w:rFonts w:ascii="等线" w:hAnsi="等线" w:eastAsia="等线" w:cs="宋体"/>
                <w:color w:val="000000"/>
                <w:kern w:val="0"/>
                <w:sz w:val="18"/>
                <w:szCs w:val="18"/>
              </w:rPr>
            </w:pPr>
            <w:r>
              <w:rPr>
                <w:rFonts w:hint="eastAsia" w:ascii="等线" w:hAnsi="等线" w:eastAsia="等线" w:cs="宋体"/>
                <w:color w:val="000000"/>
                <w:kern w:val="0"/>
                <w:sz w:val="18"/>
                <w:szCs w:val="18"/>
              </w:rPr>
              <w:t>总分</w:t>
            </w:r>
          </w:p>
        </w:tc>
        <w:tc>
          <w:tcPr>
            <w:tcW w:w="709" w:type="dxa"/>
            <w:tcBorders>
              <w:top w:val="nil"/>
              <w:left w:val="nil"/>
              <w:bottom w:val="single" w:color="auto" w:sz="4" w:space="0"/>
              <w:right w:val="single" w:color="auto" w:sz="4" w:space="0"/>
            </w:tcBorders>
            <w:shd w:val="clear" w:color="auto" w:fill="auto"/>
            <w:noWrap/>
            <w:vAlign w:val="center"/>
          </w:tcPr>
          <w:p w14:paraId="05E73F22">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100</w:t>
            </w:r>
          </w:p>
        </w:tc>
        <w:tc>
          <w:tcPr>
            <w:tcW w:w="863" w:type="dxa"/>
            <w:tcBorders>
              <w:top w:val="nil"/>
              <w:left w:val="nil"/>
              <w:bottom w:val="single" w:color="auto" w:sz="4" w:space="0"/>
              <w:right w:val="single" w:color="auto" w:sz="4" w:space="0"/>
            </w:tcBorders>
            <w:shd w:val="clear" w:color="auto" w:fill="auto"/>
            <w:noWrap/>
            <w:vAlign w:val="center"/>
          </w:tcPr>
          <w:p w14:paraId="7C27EF28">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　</w:t>
            </w:r>
          </w:p>
        </w:tc>
        <w:tc>
          <w:tcPr>
            <w:tcW w:w="838" w:type="dxa"/>
            <w:tcBorders>
              <w:top w:val="nil"/>
              <w:left w:val="nil"/>
              <w:bottom w:val="single" w:color="auto" w:sz="4" w:space="0"/>
              <w:right w:val="single" w:color="auto" w:sz="4" w:space="0"/>
            </w:tcBorders>
            <w:shd w:val="clear" w:color="auto" w:fill="auto"/>
            <w:noWrap/>
            <w:vAlign w:val="center"/>
          </w:tcPr>
          <w:p w14:paraId="7BADE22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36" w:type="dxa"/>
            <w:tcBorders>
              <w:top w:val="nil"/>
              <w:left w:val="nil"/>
              <w:bottom w:val="single" w:color="auto" w:sz="4" w:space="0"/>
              <w:right w:val="single" w:color="auto" w:sz="4" w:space="0"/>
            </w:tcBorders>
            <w:shd w:val="clear" w:color="auto" w:fill="auto"/>
            <w:noWrap/>
            <w:vAlign w:val="bottom"/>
          </w:tcPr>
          <w:p w14:paraId="52E1D9B4">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56F10DF0">
        <w:tblPrEx>
          <w:tblCellMar>
            <w:top w:w="0" w:type="dxa"/>
            <w:left w:w="108" w:type="dxa"/>
            <w:bottom w:w="0" w:type="dxa"/>
            <w:right w:w="108" w:type="dxa"/>
          </w:tblCellMar>
        </w:tblPrEx>
        <w:trPr>
          <w:trHeight w:val="550" w:hRule="atLeast"/>
        </w:trPr>
        <w:tc>
          <w:tcPr>
            <w:tcW w:w="160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822E00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30B18FD5">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0E43E329">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1231" w:type="dxa"/>
            <w:tcBorders>
              <w:top w:val="single" w:color="auto" w:sz="4" w:space="0"/>
              <w:left w:val="nil"/>
              <w:bottom w:val="single" w:color="auto" w:sz="4" w:space="0"/>
              <w:right w:val="single" w:color="auto" w:sz="4" w:space="0"/>
            </w:tcBorders>
            <w:shd w:val="clear" w:color="auto" w:fill="auto"/>
            <w:vAlign w:val="center"/>
          </w:tcPr>
          <w:p w14:paraId="758C0CE3">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572" w:type="dxa"/>
            <w:gridSpan w:val="2"/>
            <w:tcBorders>
              <w:top w:val="single" w:color="auto" w:sz="4" w:space="0"/>
              <w:left w:val="nil"/>
              <w:bottom w:val="single" w:color="auto" w:sz="4" w:space="0"/>
              <w:right w:val="single" w:color="auto" w:sz="4" w:space="0"/>
            </w:tcBorders>
            <w:shd w:val="clear" w:color="auto" w:fill="auto"/>
            <w:noWrap/>
            <w:vAlign w:val="center"/>
          </w:tcPr>
          <w:p w14:paraId="7D961348">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评价结果</w:t>
            </w:r>
          </w:p>
        </w:tc>
        <w:tc>
          <w:tcPr>
            <w:tcW w:w="838" w:type="dxa"/>
            <w:tcBorders>
              <w:top w:val="nil"/>
              <w:left w:val="nil"/>
              <w:bottom w:val="single" w:color="auto" w:sz="4" w:space="0"/>
              <w:right w:val="single" w:color="auto" w:sz="4" w:space="0"/>
            </w:tcBorders>
            <w:shd w:val="clear" w:color="auto" w:fill="auto"/>
            <w:noWrap/>
            <w:vAlign w:val="center"/>
          </w:tcPr>
          <w:p w14:paraId="77994B6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36" w:type="dxa"/>
            <w:tcBorders>
              <w:top w:val="nil"/>
              <w:left w:val="nil"/>
              <w:bottom w:val="single" w:color="auto" w:sz="4" w:space="0"/>
              <w:right w:val="single" w:color="auto" w:sz="4" w:space="0"/>
            </w:tcBorders>
            <w:shd w:val="clear" w:color="auto" w:fill="auto"/>
            <w:noWrap/>
            <w:vAlign w:val="bottom"/>
          </w:tcPr>
          <w:p w14:paraId="2FBC6853">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5E2FEB07">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6819259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1046" w:type="dxa"/>
            <w:vMerge w:val="restart"/>
            <w:tcBorders>
              <w:top w:val="nil"/>
              <w:left w:val="single" w:color="auto" w:sz="4" w:space="0"/>
              <w:bottom w:val="single" w:color="000000" w:sz="4" w:space="0"/>
              <w:right w:val="single" w:color="auto" w:sz="4" w:space="0"/>
            </w:tcBorders>
            <w:shd w:val="clear" w:color="auto" w:fill="auto"/>
            <w:vAlign w:val="center"/>
          </w:tcPr>
          <w:p w14:paraId="003BEE9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智能化（加分项）</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30分</w:t>
            </w:r>
          </w:p>
        </w:tc>
        <w:tc>
          <w:tcPr>
            <w:tcW w:w="4351" w:type="dxa"/>
            <w:gridSpan w:val="3"/>
            <w:tcBorders>
              <w:top w:val="single" w:color="auto" w:sz="4" w:space="0"/>
              <w:left w:val="nil"/>
              <w:bottom w:val="single" w:color="auto" w:sz="4" w:space="0"/>
              <w:right w:val="single" w:color="000000" w:sz="4" w:space="0"/>
            </w:tcBorders>
            <w:shd w:val="clear" w:color="auto" w:fill="auto"/>
            <w:vAlign w:val="center"/>
          </w:tcPr>
          <w:p w14:paraId="1CAC5ACD">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共建医联体，建立就医绿色通道</w:t>
            </w:r>
          </w:p>
        </w:tc>
        <w:tc>
          <w:tcPr>
            <w:tcW w:w="709" w:type="dxa"/>
            <w:tcBorders>
              <w:top w:val="nil"/>
              <w:left w:val="nil"/>
              <w:bottom w:val="single" w:color="auto" w:sz="4" w:space="0"/>
              <w:right w:val="single" w:color="auto" w:sz="4" w:space="0"/>
            </w:tcBorders>
            <w:shd w:val="clear" w:color="auto" w:fill="auto"/>
            <w:noWrap/>
            <w:vAlign w:val="center"/>
          </w:tcPr>
          <w:p w14:paraId="2E86ECB0">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10</w:t>
            </w:r>
          </w:p>
        </w:tc>
        <w:tc>
          <w:tcPr>
            <w:tcW w:w="863" w:type="dxa"/>
            <w:tcBorders>
              <w:top w:val="nil"/>
              <w:left w:val="nil"/>
              <w:bottom w:val="single" w:color="auto" w:sz="4" w:space="0"/>
              <w:right w:val="single" w:color="auto" w:sz="4" w:space="0"/>
            </w:tcBorders>
            <w:shd w:val="clear" w:color="auto" w:fill="auto"/>
            <w:noWrap/>
            <w:vAlign w:val="center"/>
          </w:tcPr>
          <w:p w14:paraId="2A3EAC59">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　</w:t>
            </w:r>
          </w:p>
        </w:tc>
        <w:tc>
          <w:tcPr>
            <w:tcW w:w="838" w:type="dxa"/>
            <w:tcBorders>
              <w:top w:val="nil"/>
              <w:left w:val="nil"/>
              <w:bottom w:val="single" w:color="auto" w:sz="4" w:space="0"/>
              <w:right w:val="single" w:color="auto" w:sz="4" w:space="0"/>
            </w:tcBorders>
            <w:shd w:val="clear" w:color="auto" w:fill="auto"/>
            <w:noWrap/>
            <w:vAlign w:val="center"/>
          </w:tcPr>
          <w:p w14:paraId="733317F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36" w:type="dxa"/>
            <w:tcBorders>
              <w:top w:val="nil"/>
              <w:left w:val="nil"/>
              <w:bottom w:val="single" w:color="auto" w:sz="4" w:space="0"/>
              <w:right w:val="single" w:color="auto" w:sz="4" w:space="0"/>
            </w:tcBorders>
            <w:shd w:val="clear" w:color="auto" w:fill="auto"/>
            <w:noWrap/>
            <w:vAlign w:val="bottom"/>
          </w:tcPr>
          <w:p w14:paraId="01D03246">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7D5829EF">
        <w:tblPrEx>
          <w:tblCellMar>
            <w:top w:w="0" w:type="dxa"/>
            <w:left w:w="108" w:type="dxa"/>
            <w:bottom w:w="0" w:type="dxa"/>
            <w:right w:w="108" w:type="dxa"/>
          </w:tblCellMar>
        </w:tblPrEx>
        <w:trPr>
          <w:trHeight w:val="8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0E6CF47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1046" w:type="dxa"/>
            <w:vMerge w:val="continue"/>
            <w:tcBorders>
              <w:top w:val="nil"/>
              <w:left w:val="single" w:color="auto" w:sz="4" w:space="0"/>
              <w:bottom w:val="single" w:color="000000" w:sz="4" w:space="0"/>
              <w:right w:val="single" w:color="auto" w:sz="4" w:space="0"/>
            </w:tcBorders>
            <w:shd w:val="clear" w:color="auto" w:fill="auto"/>
            <w:vAlign w:val="center"/>
          </w:tcPr>
          <w:p w14:paraId="1B89E1A0">
            <w:pPr>
              <w:widowControl/>
              <w:adjustRightInd/>
              <w:spacing w:line="240" w:lineRule="auto"/>
              <w:jc w:val="left"/>
              <w:rPr>
                <w:rFonts w:ascii="等线" w:hAnsi="等线" w:eastAsia="等线" w:cs="宋体"/>
                <w:color w:val="000000"/>
                <w:kern w:val="0"/>
                <w:sz w:val="22"/>
                <w:szCs w:val="22"/>
              </w:rPr>
            </w:pPr>
          </w:p>
        </w:tc>
        <w:tc>
          <w:tcPr>
            <w:tcW w:w="4351" w:type="dxa"/>
            <w:gridSpan w:val="3"/>
            <w:tcBorders>
              <w:top w:val="single" w:color="auto" w:sz="4" w:space="0"/>
              <w:left w:val="nil"/>
              <w:bottom w:val="single" w:color="auto" w:sz="4" w:space="0"/>
              <w:right w:val="single" w:color="auto" w:sz="4" w:space="0"/>
            </w:tcBorders>
            <w:shd w:val="clear" w:color="auto" w:fill="auto"/>
            <w:vAlign w:val="center"/>
          </w:tcPr>
          <w:p w14:paraId="37450213">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运用智能数据入户，通过物联网采集健康数据，汇总医联体给予解读、出具干预建议。</w:t>
            </w:r>
          </w:p>
        </w:tc>
        <w:tc>
          <w:tcPr>
            <w:tcW w:w="709" w:type="dxa"/>
            <w:tcBorders>
              <w:top w:val="nil"/>
              <w:left w:val="nil"/>
              <w:bottom w:val="single" w:color="auto" w:sz="4" w:space="0"/>
              <w:right w:val="single" w:color="auto" w:sz="4" w:space="0"/>
            </w:tcBorders>
            <w:shd w:val="clear" w:color="auto" w:fill="auto"/>
            <w:noWrap/>
            <w:vAlign w:val="center"/>
          </w:tcPr>
          <w:p w14:paraId="28D1F520">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10</w:t>
            </w:r>
          </w:p>
        </w:tc>
        <w:tc>
          <w:tcPr>
            <w:tcW w:w="863" w:type="dxa"/>
            <w:tcBorders>
              <w:top w:val="nil"/>
              <w:left w:val="nil"/>
              <w:bottom w:val="single" w:color="auto" w:sz="4" w:space="0"/>
              <w:right w:val="single" w:color="auto" w:sz="4" w:space="0"/>
            </w:tcBorders>
            <w:shd w:val="clear" w:color="auto" w:fill="auto"/>
            <w:noWrap/>
            <w:vAlign w:val="center"/>
          </w:tcPr>
          <w:p w14:paraId="3ACD48D9">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　</w:t>
            </w:r>
          </w:p>
        </w:tc>
        <w:tc>
          <w:tcPr>
            <w:tcW w:w="838" w:type="dxa"/>
            <w:tcBorders>
              <w:top w:val="nil"/>
              <w:left w:val="nil"/>
              <w:bottom w:val="single" w:color="auto" w:sz="4" w:space="0"/>
              <w:right w:val="single" w:color="auto" w:sz="4" w:space="0"/>
            </w:tcBorders>
            <w:shd w:val="clear" w:color="auto" w:fill="auto"/>
            <w:noWrap/>
            <w:vAlign w:val="center"/>
          </w:tcPr>
          <w:p w14:paraId="598EBF3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36" w:type="dxa"/>
            <w:tcBorders>
              <w:top w:val="nil"/>
              <w:left w:val="nil"/>
              <w:bottom w:val="single" w:color="auto" w:sz="4" w:space="0"/>
              <w:right w:val="single" w:color="auto" w:sz="4" w:space="0"/>
            </w:tcBorders>
            <w:shd w:val="clear" w:color="auto" w:fill="auto"/>
            <w:noWrap/>
            <w:vAlign w:val="bottom"/>
          </w:tcPr>
          <w:p w14:paraId="6132BAF0">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4E34791C">
        <w:tblPrEx>
          <w:tblCellMar>
            <w:top w:w="0" w:type="dxa"/>
            <w:left w:w="108" w:type="dxa"/>
            <w:bottom w:w="0" w:type="dxa"/>
            <w:right w:w="108" w:type="dxa"/>
          </w:tblCellMar>
        </w:tblPrEx>
        <w:trPr>
          <w:trHeight w:val="8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486E174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1046" w:type="dxa"/>
            <w:vMerge w:val="continue"/>
            <w:tcBorders>
              <w:top w:val="nil"/>
              <w:left w:val="single" w:color="auto" w:sz="4" w:space="0"/>
              <w:bottom w:val="single" w:color="000000" w:sz="4" w:space="0"/>
              <w:right w:val="single" w:color="auto" w:sz="4" w:space="0"/>
            </w:tcBorders>
            <w:shd w:val="clear" w:color="auto" w:fill="auto"/>
            <w:vAlign w:val="center"/>
          </w:tcPr>
          <w:p w14:paraId="2DDDAECE">
            <w:pPr>
              <w:widowControl/>
              <w:adjustRightInd/>
              <w:spacing w:line="240" w:lineRule="auto"/>
              <w:jc w:val="left"/>
              <w:rPr>
                <w:rFonts w:ascii="等线" w:hAnsi="等线" w:eastAsia="等线" w:cs="宋体"/>
                <w:color w:val="000000"/>
                <w:kern w:val="0"/>
                <w:sz w:val="22"/>
                <w:szCs w:val="22"/>
              </w:rPr>
            </w:pPr>
          </w:p>
        </w:tc>
        <w:tc>
          <w:tcPr>
            <w:tcW w:w="4351" w:type="dxa"/>
            <w:gridSpan w:val="3"/>
            <w:tcBorders>
              <w:top w:val="single" w:color="auto" w:sz="4" w:space="0"/>
              <w:left w:val="nil"/>
              <w:bottom w:val="single" w:color="auto" w:sz="4" w:space="0"/>
              <w:right w:val="single" w:color="auto" w:sz="4" w:space="0"/>
            </w:tcBorders>
            <w:shd w:val="clear" w:color="auto" w:fill="auto"/>
            <w:vAlign w:val="center"/>
          </w:tcPr>
          <w:p w14:paraId="64222F6A">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预防：建立健康档案、分诊如亚健康、远程会诊在线咨询；慢病续方、药品配送、健康监测、健康教育等</w:t>
            </w:r>
          </w:p>
        </w:tc>
        <w:tc>
          <w:tcPr>
            <w:tcW w:w="709" w:type="dxa"/>
            <w:tcBorders>
              <w:top w:val="nil"/>
              <w:left w:val="nil"/>
              <w:bottom w:val="single" w:color="auto" w:sz="4" w:space="0"/>
              <w:right w:val="single" w:color="auto" w:sz="4" w:space="0"/>
            </w:tcBorders>
            <w:shd w:val="clear" w:color="auto" w:fill="auto"/>
            <w:noWrap/>
            <w:vAlign w:val="center"/>
          </w:tcPr>
          <w:p w14:paraId="199165B9">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10</w:t>
            </w:r>
          </w:p>
        </w:tc>
        <w:tc>
          <w:tcPr>
            <w:tcW w:w="863" w:type="dxa"/>
            <w:tcBorders>
              <w:top w:val="nil"/>
              <w:left w:val="nil"/>
              <w:bottom w:val="single" w:color="auto" w:sz="4" w:space="0"/>
              <w:right w:val="single" w:color="auto" w:sz="4" w:space="0"/>
            </w:tcBorders>
            <w:shd w:val="clear" w:color="auto" w:fill="auto"/>
            <w:noWrap/>
            <w:vAlign w:val="center"/>
          </w:tcPr>
          <w:p w14:paraId="57723876">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　</w:t>
            </w:r>
          </w:p>
        </w:tc>
        <w:tc>
          <w:tcPr>
            <w:tcW w:w="838" w:type="dxa"/>
            <w:tcBorders>
              <w:top w:val="nil"/>
              <w:left w:val="nil"/>
              <w:bottom w:val="single" w:color="auto" w:sz="4" w:space="0"/>
              <w:right w:val="single" w:color="auto" w:sz="4" w:space="0"/>
            </w:tcBorders>
            <w:shd w:val="clear" w:color="auto" w:fill="auto"/>
            <w:noWrap/>
            <w:vAlign w:val="center"/>
          </w:tcPr>
          <w:p w14:paraId="726AE1E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36" w:type="dxa"/>
            <w:tcBorders>
              <w:top w:val="nil"/>
              <w:left w:val="nil"/>
              <w:bottom w:val="single" w:color="auto" w:sz="4" w:space="0"/>
              <w:right w:val="single" w:color="auto" w:sz="4" w:space="0"/>
            </w:tcBorders>
            <w:shd w:val="clear" w:color="auto" w:fill="auto"/>
            <w:noWrap/>
            <w:vAlign w:val="bottom"/>
          </w:tcPr>
          <w:p w14:paraId="22168461">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561681EC">
        <w:tblPrEx>
          <w:tblCellMar>
            <w:top w:w="0" w:type="dxa"/>
            <w:left w:w="108" w:type="dxa"/>
            <w:bottom w:w="0" w:type="dxa"/>
            <w:right w:w="108" w:type="dxa"/>
          </w:tblCellMar>
        </w:tblPrEx>
        <w:trPr>
          <w:trHeight w:val="34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61A8B6F1">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397" w:type="dxa"/>
            <w:gridSpan w:val="4"/>
            <w:tcBorders>
              <w:top w:val="single" w:color="auto" w:sz="4" w:space="0"/>
              <w:left w:val="nil"/>
              <w:bottom w:val="single" w:color="auto" w:sz="4" w:space="0"/>
              <w:right w:val="single" w:color="000000" w:sz="4" w:space="0"/>
            </w:tcBorders>
            <w:shd w:val="clear" w:color="auto" w:fill="auto"/>
            <w:noWrap/>
            <w:vAlign w:val="center"/>
          </w:tcPr>
          <w:p w14:paraId="4EEE737D">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709" w:type="dxa"/>
            <w:tcBorders>
              <w:top w:val="nil"/>
              <w:left w:val="nil"/>
              <w:bottom w:val="single" w:color="auto" w:sz="4" w:space="0"/>
              <w:right w:val="single" w:color="auto" w:sz="4" w:space="0"/>
            </w:tcBorders>
            <w:shd w:val="clear" w:color="auto" w:fill="auto"/>
            <w:noWrap/>
            <w:vAlign w:val="center"/>
          </w:tcPr>
          <w:p w14:paraId="72D7C43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863" w:type="dxa"/>
            <w:tcBorders>
              <w:top w:val="nil"/>
              <w:left w:val="nil"/>
              <w:bottom w:val="single" w:color="auto" w:sz="4" w:space="0"/>
              <w:right w:val="single" w:color="auto" w:sz="4" w:space="0"/>
            </w:tcBorders>
            <w:shd w:val="clear" w:color="auto" w:fill="auto"/>
            <w:noWrap/>
            <w:vAlign w:val="bottom"/>
          </w:tcPr>
          <w:p w14:paraId="24343AC2">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38" w:type="dxa"/>
            <w:tcBorders>
              <w:top w:val="nil"/>
              <w:left w:val="nil"/>
              <w:bottom w:val="single" w:color="auto" w:sz="4" w:space="0"/>
              <w:right w:val="single" w:color="auto" w:sz="4" w:space="0"/>
            </w:tcBorders>
            <w:shd w:val="clear" w:color="auto" w:fill="auto"/>
            <w:noWrap/>
            <w:vAlign w:val="center"/>
          </w:tcPr>
          <w:p w14:paraId="509FBB2A">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0</w:t>
            </w:r>
          </w:p>
        </w:tc>
        <w:tc>
          <w:tcPr>
            <w:tcW w:w="1536" w:type="dxa"/>
            <w:tcBorders>
              <w:top w:val="nil"/>
              <w:left w:val="nil"/>
              <w:bottom w:val="single" w:color="auto" w:sz="4" w:space="0"/>
              <w:right w:val="single" w:color="auto" w:sz="4" w:space="0"/>
            </w:tcBorders>
            <w:shd w:val="clear" w:color="auto" w:fill="auto"/>
            <w:noWrap/>
            <w:vAlign w:val="bottom"/>
          </w:tcPr>
          <w:p w14:paraId="177A558A">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3A6C230A">
        <w:tblPrEx>
          <w:tblCellMar>
            <w:top w:w="0" w:type="dxa"/>
            <w:left w:w="108" w:type="dxa"/>
            <w:bottom w:w="0" w:type="dxa"/>
            <w:right w:w="108" w:type="dxa"/>
          </w:tblCellMar>
        </w:tblPrEx>
        <w:trPr>
          <w:trHeight w:val="340" w:hRule="atLeast"/>
        </w:trPr>
        <w:tc>
          <w:tcPr>
            <w:tcW w:w="160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CCB521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78E0DC97">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33D14559">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1231" w:type="dxa"/>
            <w:tcBorders>
              <w:top w:val="single" w:color="auto" w:sz="4" w:space="0"/>
              <w:left w:val="nil"/>
              <w:bottom w:val="single" w:color="auto" w:sz="4" w:space="0"/>
              <w:right w:val="single" w:color="auto" w:sz="4" w:space="0"/>
            </w:tcBorders>
            <w:shd w:val="clear" w:color="auto" w:fill="auto"/>
            <w:vAlign w:val="center"/>
          </w:tcPr>
          <w:p w14:paraId="4D532B09">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572" w:type="dxa"/>
            <w:gridSpan w:val="2"/>
            <w:tcBorders>
              <w:top w:val="single" w:color="auto" w:sz="4" w:space="0"/>
              <w:left w:val="nil"/>
              <w:bottom w:val="single" w:color="auto" w:sz="4" w:space="0"/>
              <w:right w:val="single" w:color="auto" w:sz="4" w:space="0"/>
            </w:tcBorders>
            <w:shd w:val="clear" w:color="auto" w:fill="auto"/>
            <w:noWrap/>
            <w:vAlign w:val="center"/>
          </w:tcPr>
          <w:p w14:paraId="50A80DA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838" w:type="dxa"/>
            <w:tcBorders>
              <w:top w:val="nil"/>
              <w:left w:val="nil"/>
              <w:bottom w:val="single" w:color="auto" w:sz="4" w:space="0"/>
              <w:right w:val="single" w:color="auto" w:sz="4" w:space="0"/>
            </w:tcBorders>
            <w:shd w:val="clear" w:color="auto" w:fill="auto"/>
            <w:noWrap/>
            <w:vAlign w:val="center"/>
          </w:tcPr>
          <w:p w14:paraId="3DD12C5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36" w:type="dxa"/>
            <w:tcBorders>
              <w:top w:val="nil"/>
              <w:left w:val="nil"/>
              <w:bottom w:val="single" w:color="auto" w:sz="4" w:space="0"/>
              <w:right w:val="single" w:color="auto" w:sz="4" w:space="0"/>
            </w:tcBorders>
            <w:shd w:val="clear" w:color="auto" w:fill="auto"/>
            <w:noWrap/>
            <w:vAlign w:val="bottom"/>
          </w:tcPr>
          <w:p w14:paraId="13D62C20">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5DC699EF">
      <w:pPr>
        <w:jc w:val="center"/>
        <w:rPr>
          <w:rFonts w:ascii="黑体" w:hAnsi="黑体"/>
          <w:sz w:val="24"/>
          <w:szCs w:val="24"/>
        </w:rPr>
      </w:pPr>
      <w:r>
        <w:rPr>
          <w:rFonts w:ascii="黑体" w:hAnsi="黑体"/>
          <w:sz w:val="24"/>
          <w:szCs w:val="24"/>
        </w:rPr>
        <w:tab/>
      </w:r>
    </w:p>
    <w:p w14:paraId="2A79CF34">
      <w:pPr>
        <w:jc w:val="center"/>
        <w:rPr>
          <w:rFonts w:ascii="黑体" w:hAnsi="黑体"/>
          <w:sz w:val="24"/>
          <w:szCs w:val="24"/>
        </w:rPr>
      </w:pPr>
    </w:p>
    <w:p w14:paraId="0021D4A8">
      <w:pPr>
        <w:jc w:val="center"/>
        <w:rPr>
          <w:rFonts w:ascii="黑体" w:hAnsi="黑体"/>
          <w:b/>
          <w:bCs/>
          <w:sz w:val="24"/>
          <w:szCs w:val="24"/>
        </w:rPr>
      </w:pPr>
      <w:r>
        <w:rPr>
          <w:rFonts w:hint="eastAsia" w:ascii="黑体" w:hAnsi="黑体"/>
          <w:b/>
          <w:bCs/>
          <w:sz w:val="24"/>
          <w:szCs w:val="24"/>
        </w:rPr>
        <w:t>表B.1社区居家养老服务</w:t>
      </w:r>
      <w:r>
        <w:rPr>
          <w:rFonts w:ascii="黑体" w:hAnsi="黑体"/>
          <w:b/>
          <w:bCs/>
          <w:sz w:val="24"/>
          <w:szCs w:val="24"/>
        </w:rPr>
        <w:t>-</w:t>
      </w:r>
      <w:r>
        <w:rPr>
          <w:rFonts w:hint="eastAsia" w:ascii="黑体" w:hAnsi="黑体"/>
          <w:b/>
          <w:bCs/>
          <w:sz w:val="30"/>
          <w:szCs w:val="30"/>
        </w:rPr>
        <w:t>生活照料</w:t>
      </w:r>
      <w:r>
        <w:rPr>
          <w:rFonts w:hint="eastAsia" w:ascii="黑体" w:hAnsi="黑体"/>
          <w:b/>
          <w:bCs/>
          <w:sz w:val="24"/>
          <w:szCs w:val="24"/>
        </w:rPr>
        <w:t>特性测评工具（续</w:t>
      </w:r>
      <w:r>
        <w:rPr>
          <w:rFonts w:ascii="黑体" w:hAnsi="黑体"/>
          <w:b/>
          <w:bCs/>
          <w:sz w:val="24"/>
          <w:szCs w:val="24"/>
        </w:rPr>
        <w:t>）</w:t>
      </w:r>
      <w:r>
        <w:rPr>
          <w:rFonts w:ascii="黑体" w:hAnsi="黑体"/>
          <w:b/>
          <w:bCs/>
          <w:sz w:val="24"/>
          <w:szCs w:val="24"/>
        </w:rPr>
        <w:tab/>
      </w:r>
    </w:p>
    <w:p w14:paraId="1263F513">
      <w:pPr>
        <w:jc w:val="center"/>
        <w:rPr>
          <w:rFonts w:ascii="黑体" w:hAnsi="黑体"/>
          <w:b/>
          <w:bCs/>
        </w:rPr>
      </w:pPr>
    </w:p>
    <w:tbl>
      <w:tblPr>
        <w:tblStyle w:val="28"/>
        <w:tblW w:w="10075" w:type="dxa"/>
        <w:tblInd w:w="-289" w:type="dxa"/>
        <w:tblLayout w:type="autofit"/>
        <w:tblCellMar>
          <w:top w:w="0" w:type="dxa"/>
          <w:left w:w="108" w:type="dxa"/>
          <w:bottom w:w="0" w:type="dxa"/>
          <w:right w:w="108" w:type="dxa"/>
        </w:tblCellMar>
      </w:tblPr>
      <w:tblGrid>
        <w:gridCol w:w="568"/>
        <w:gridCol w:w="853"/>
        <w:gridCol w:w="2080"/>
        <w:gridCol w:w="1040"/>
        <w:gridCol w:w="1416"/>
        <w:gridCol w:w="850"/>
        <w:gridCol w:w="709"/>
        <w:gridCol w:w="1040"/>
        <w:gridCol w:w="1519"/>
      </w:tblGrid>
      <w:tr w14:paraId="610CBB46">
        <w:tblPrEx>
          <w:tblCellMar>
            <w:top w:w="0" w:type="dxa"/>
            <w:left w:w="108" w:type="dxa"/>
            <w:bottom w:w="0" w:type="dxa"/>
            <w:right w:w="108" w:type="dxa"/>
          </w:tblCellMar>
        </w:tblPrEx>
        <w:trPr>
          <w:trHeight w:val="560" w:hRule="atLeast"/>
        </w:trPr>
        <w:tc>
          <w:tcPr>
            <w:tcW w:w="5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9C1AA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853" w:type="dxa"/>
            <w:tcBorders>
              <w:top w:val="single" w:color="auto" w:sz="4" w:space="0"/>
              <w:left w:val="nil"/>
              <w:bottom w:val="single" w:color="auto" w:sz="4" w:space="0"/>
              <w:right w:val="single" w:color="auto" w:sz="4" w:space="0"/>
            </w:tcBorders>
            <w:shd w:val="clear" w:color="auto" w:fill="auto"/>
            <w:vAlign w:val="center"/>
          </w:tcPr>
          <w:p w14:paraId="02456A4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评价项目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（分值）</w:t>
            </w:r>
          </w:p>
        </w:tc>
        <w:tc>
          <w:tcPr>
            <w:tcW w:w="4536" w:type="dxa"/>
            <w:gridSpan w:val="3"/>
            <w:tcBorders>
              <w:top w:val="single" w:color="auto" w:sz="4" w:space="0"/>
              <w:left w:val="nil"/>
              <w:bottom w:val="single" w:color="auto" w:sz="4" w:space="0"/>
              <w:right w:val="single" w:color="auto" w:sz="4" w:space="0"/>
            </w:tcBorders>
            <w:shd w:val="clear" w:color="auto" w:fill="auto"/>
            <w:noWrap/>
            <w:vAlign w:val="center"/>
          </w:tcPr>
          <w:p w14:paraId="33F857E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0" w:type="dxa"/>
            <w:tcBorders>
              <w:top w:val="single" w:color="auto" w:sz="4" w:space="0"/>
              <w:left w:val="nil"/>
              <w:bottom w:val="single" w:color="auto" w:sz="4" w:space="0"/>
              <w:right w:val="single" w:color="auto" w:sz="4" w:space="0"/>
            </w:tcBorders>
            <w:shd w:val="clear" w:color="auto" w:fill="auto"/>
            <w:vAlign w:val="center"/>
          </w:tcPr>
          <w:p w14:paraId="228AA40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709" w:type="dxa"/>
            <w:tcBorders>
              <w:top w:val="single" w:color="auto" w:sz="4" w:space="0"/>
              <w:left w:val="nil"/>
              <w:bottom w:val="single" w:color="auto" w:sz="4" w:space="0"/>
              <w:right w:val="single" w:color="auto" w:sz="4" w:space="0"/>
            </w:tcBorders>
            <w:shd w:val="clear" w:color="auto" w:fill="auto"/>
            <w:vAlign w:val="center"/>
          </w:tcPr>
          <w:p w14:paraId="26A517A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1040" w:type="dxa"/>
            <w:tcBorders>
              <w:top w:val="single" w:color="auto" w:sz="4" w:space="0"/>
              <w:left w:val="nil"/>
              <w:bottom w:val="single" w:color="auto" w:sz="4" w:space="0"/>
              <w:right w:val="single" w:color="auto" w:sz="4" w:space="0"/>
            </w:tcBorders>
            <w:shd w:val="clear" w:color="auto" w:fill="auto"/>
            <w:vAlign w:val="center"/>
          </w:tcPr>
          <w:p w14:paraId="774F1A8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1519" w:type="dxa"/>
            <w:tcBorders>
              <w:top w:val="single" w:color="auto" w:sz="4" w:space="0"/>
              <w:left w:val="nil"/>
              <w:bottom w:val="single" w:color="auto" w:sz="4" w:space="0"/>
              <w:right w:val="single" w:color="auto" w:sz="4" w:space="0"/>
            </w:tcBorders>
            <w:shd w:val="clear" w:color="auto" w:fill="auto"/>
            <w:vAlign w:val="center"/>
          </w:tcPr>
          <w:p w14:paraId="65E209B6">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0503010A">
        <w:tblPrEx>
          <w:tblCellMar>
            <w:top w:w="0" w:type="dxa"/>
            <w:left w:w="108" w:type="dxa"/>
            <w:bottom w:w="0" w:type="dxa"/>
            <w:right w:w="108" w:type="dxa"/>
          </w:tblCellMar>
        </w:tblPrEx>
        <w:trPr>
          <w:trHeight w:val="640" w:hRule="atLeast"/>
        </w:trPr>
        <w:tc>
          <w:tcPr>
            <w:tcW w:w="10075"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52D78E73">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1-6</w:t>
            </w:r>
            <w:r>
              <w:rPr>
                <w:rFonts w:hint="eastAsia" w:ascii="等线" w:hAnsi="等线" w:eastAsia="等线" w:cs="宋体"/>
                <w:color w:val="000000"/>
                <w:kern w:val="0"/>
                <w:sz w:val="22"/>
                <w:szCs w:val="22"/>
              </w:rPr>
              <w:t>助急服务（100分）</w:t>
            </w:r>
          </w:p>
        </w:tc>
      </w:tr>
      <w:tr w14:paraId="388B1050">
        <w:tblPrEx>
          <w:tblCellMar>
            <w:top w:w="0" w:type="dxa"/>
            <w:left w:w="108" w:type="dxa"/>
            <w:bottom w:w="0" w:type="dxa"/>
            <w:right w:w="108" w:type="dxa"/>
          </w:tblCellMar>
        </w:tblPrEx>
        <w:trPr>
          <w:trHeight w:val="127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55A34CA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53" w:type="dxa"/>
            <w:tcBorders>
              <w:top w:val="nil"/>
              <w:left w:val="nil"/>
              <w:bottom w:val="single" w:color="auto" w:sz="4" w:space="0"/>
              <w:right w:val="single" w:color="auto" w:sz="4" w:space="0"/>
            </w:tcBorders>
            <w:shd w:val="clear" w:color="auto" w:fill="auto"/>
            <w:vAlign w:val="center"/>
          </w:tcPr>
          <w:p w14:paraId="39D50C1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BDF1CFC">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应根据老年人需求提供多种形式的助急服务，包括但不限于呼救助急和现场突发事件助急等。</w:t>
            </w:r>
          </w:p>
        </w:tc>
        <w:tc>
          <w:tcPr>
            <w:tcW w:w="850" w:type="dxa"/>
            <w:tcBorders>
              <w:top w:val="nil"/>
              <w:left w:val="nil"/>
              <w:bottom w:val="single" w:color="auto" w:sz="4" w:space="0"/>
              <w:right w:val="single" w:color="auto" w:sz="4" w:space="0"/>
            </w:tcBorders>
            <w:shd w:val="clear" w:color="auto" w:fill="auto"/>
            <w:noWrap/>
            <w:vAlign w:val="center"/>
          </w:tcPr>
          <w:p w14:paraId="5D01A19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709" w:type="dxa"/>
            <w:tcBorders>
              <w:top w:val="nil"/>
              <w:left w:val="nil"/>
              <w:bottom w:val="single" w:color="auto" w:sz="4" w:space="0"/>
              <w:right w:val="single" w:color="auto" w:sz="4" w:space="0"/>
            </w:tcBorders>
            <w:shd w:val="clear" w:color="auto" w:fill="auto"/>
            <w:noWrap/>
            <w:vAlign w:val="center"/>
          </w:tcPr>
          <w:p w14:paraId="3F48575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1DB1B44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247EB0EA">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4760117">
        <w:tblPrEx>
          <w:tblCellMar>
            <w:top w:w="0" w:type="dxa"/>
            <w:left w:w="108" w:type="dxa"/>
            <w:bottom w:w="0" w:type="dxa"/>
            <w:right w:w="108" w:type="dxa"/>
          </w:tblCellMar>
        </w:tblPrEx>
        <w:trPr>
          <w:trHeight w:val="100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710313C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53" w:type="dxa"/>
            <w:vMerge w:val="restart"/>
            <w:tcBorders>
              <w:top w:val="nil"/>
              <w:left w:val="single" w:color="auto" w:sz="4" w:space="0"/>
              <w:bottom w:val="single" w:color="000000" w:sz="4" w:space="0"/>
              <w:right w:val="single" w:color="auto" w:sz="4" w:space="0"/>
            </w:tcBorders>
            <w:shd w:val="clear" w:color="auto" w:fill="auto"/>
            <w:vAlign w:val="center"/>
          </w:tcPr>
          <w:p w14:paraId="79389B8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7AA0BF75">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应配备必要的呼叫设备、急救用品，并定期进行检查、保养与更新，其中：水、燃气、消防、门磁等传感器的数据接口关联至呼叫中心。</w:t>
            </w:r>
          </w:p>
        </w:tc>
        <w:tc>
          <w:tcPr>
            <w:tcW w:w="850" w:type="dxa"/>
            <w:tcBorders>
              <w:top w:val="nil"/>
              <w:left w:val="nil"/>
              <w:bottom w:val="single" w:color="auto" w:sz="4" w:space="0"/>
              <w:right w:val="single" w:color="auto" w:sz="4" w:space="0"/>
            </w:tcBorders>
            <w:shd w:val="clear" w:color="auto" w:fill="auto"/>
            <w:noWrap/>
            <w:vAlign w:val="center"/>
          </w:tcPr>
          <w:p w14:paraId="6C1ABA7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709" w:type="dxa"/>
            <w:tcBorders>
              <w:top w:val="nil"/>
              <w:left w:val="nil"/>
              <w:bottom w:val="single" w:color="auto" w:sz="4" w:space="0"/>
              <w:right w:val="single" w:color="auto" w:sz="4" w:space="0"/>
            </w:tcBorders>
            <w:shd w:val="clear" w:color="auto" w:fill="auto"/>
            <w:noWrap/>
            <w:vAlign w:val="center"/>
          </w:tcPr>
          <w:p w14:paraId="747AED0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19826ED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79C233D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353E064">
        <w:tblPrEx>
          <w:tblCellMar>
            <w:top w:w="0" w:type="dxa"/>
            <w:left w:w="108" w:type="dxa"/>
            <w:bottom w:w="0" w:type="dxa"/>
            <w:right w:w="108" w:type="dxa"/>
          </w:tblCellMar>
        </w:tblPrEx>
        <w:trPr>
          <w:trHeight w:val="105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6E4403B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53" w:type="dxa"/>
            <w:vMerge w:val="continue"/>
            <w:tcBorders>
              <w:top w:val="nil"/>
              <w:left w:val="single" w:color="auto" w:sz="4" w:space="0"/>
              <w:bottom w:val="single" w:color="000000" w:sz="4" w:space="0"/>
              <w:right w:val="single" w:color="auto" w:sz="4" w:space="0"/>
            </w:tcBorders>
            <w:shd w:val="clear" w:color="auto" w:fill="auto"/>
            <w:vAlign w:val="center"/>
          </w:tcPr>
          <w:p w14:paraId="135DB7A6">
            <w:pPr>
              <w:widowControl/>
              <w:adjustRightInd/>
              <w:spacing w:line="240" w:lineRule="auto"/>
              <w:jc w:val="left"/>
              <w:rPr>
                <w:rFonts w:ascii="等线" w:hAnsi="等线" w:eastAsia="等线" w:cs="宋体"/>
                <w:color w:val="000000"/>
                <w:kern w:val="0"/>
                <w:sz w:val="22"/>
                <w:szCs w:val="22"/>
              </w:rPr>
            </w:pP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DE28D60">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服务人员应掌握急救、防火、防盗、防疫等专业知识，并具备突发事件处理能力。</w:t>
            </w:r>
          </w:p>
        </w:tc>
        <w:tc>
          <w:tcPr>
            <w:tcW w:w="850" w:type="dxa"/>
            <w:tcBorders>
              <w:top w:val="nil"/>
              <w:left w:val="nil"/>
              <w:bottom w:val="single" w:color="auto" w:sz="4" w:space="0"/>
              <w:right w:val="single" w:color="auto" w:sz="4" w:space="0"/>
            </w:tcBorders>
            <w:shd w:val="clear" w:color="auto" w:fill="auto"/>
            <w:noWrap/>
            <w:vAlign w:val="center"/>
          </w:tcPr>
          <w:p w14:paraId="1533E43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709" w:type="dxa"/>
            <w:tcBorders>
              <w:top w:val="nil"/>
              <w:left w:val="nil"/>
              <w:bottom w:val="single" w:color="auto" w:sz="4" w:space="0"/>
              <w:right w:val="single" w:color="auto" w:sz="4" w:space="0"/>
            </w:tcBorders>
            <w:shd w:val="clear" w:color="auto" w:fill="auto"/>
            <w:noWrap/>
            <w:vAlign w:val="center"/>
          </w:tcPr>
          <w:p w14:paraId="6A8A6EE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571969D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39664ABD">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BBAD3F4">
        <w:tblPrEx>
          <w:tblCellMar>
            <w:top w:w="0" w:type="dxa"/>
            <w:left w:w="108" w:type="dxa"/>
            <w:bottom w:w="0" w:type="dxa"/>
            <w:right w:w="108" w:type="dxa"/>
          </w:tblCellMar>
        </w:tblPrEx>
        <w:trPr>
          <w:trHeight w:val="58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3DC69F7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53" w:type="dxa"/>
            <w:vMerge w:val="continue"/>
            <w:tcBorders>
              <w:top w:val="nil"/>
              <w:left w:val="single" w:color="auto" w:sz="4" w:space="0"/>
              <w:bottom w:val="single" w:color="000000" w:sz="4" w:space="0"/>
              <w:right w:val="single" w:color="auto" w:sz="4" w:space="0"/>
            </w:tcBorders>
            <w:shd w:val="clear" w:color="auto" w:fill="auto"/>
            <w:vAlign w:val="center"/>
          </w:tcPr>
          <w:p w14:paraId="65A78DC3">
            <w:pPr>
              <w:widowControl/>
              <w:adjustRightInd/>
              <w:spacing w:line="240" w:lineRule="auto"/>
              <w:jc w:val="left"/>
              <w:rPr>
                <w:rFonts w:ascii="等线" w:hAnsi="等线" w:eastAsia="等线" w:cs="宋体"/>
                <w:color w:val="000000"/>
                <w:kern w:val="0"/>
                <w:sz w:val="22"/>
                <w:szCs w:val="22"/>
              </w:rPr>
            </w:pP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FBAF17E">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在接到呼救助急信息或遇到现场突发事件时，养老护理员应立即拨打电话联系医疗、消防、公安、防疫、物业等相关机构实施救援。</w:t>
            </w:r>
          </w:p>
        </w:tc>
        <w:tc>
          <w:tcPr>
            <w:tcW w:w="850" w:type="dxa"/>
            <w:tcBorders>
              <w:top w:val="nil"/>
              <w:left w:val="nil"/>
              <w:bottom w:val="single" w:color="auto" w:sz="4" w:space="0"/>
              <w:right w:val="single" w:color="auto" w:sz="4" w:space="0"/>
            </w:tcBorders>
            <w:shd w:val="clear" w:color="auto" w:fill="auto"/>
            <w:noWrap/>
            <w:vAlign w:val="center"/>
          </w:tcPr>
          <w:p w14:paraId="0152E64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709" w:type="dxa"/>
            <w:tcBorders>
              <w:top w:val="nil"/>
              <w:left w:val="nil"/>
              <w:bottom w:val="single" w:color="auto" w:sz="4" w:space="0"/>
              <w:right w:val="single" w:color="auto" w:sz="4" w:space="0"/>
            </w:tcBorders>
            <w:shd w:val="clear" w:color="auto" w:fill="auto"/>
            <w:noWrap/>
            <w:vAlign w:val="center"/>
          </w:tcPr>
          <w:p w14:paraId="0D3469A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1FAD4BA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1842BB1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5D63BF9">
        <w:tblPrEx>
          <w:tblCellMar>
            <w:top w:w="0" w:type="dxa"/>
            <w:left w:w="108" w:type="dxa"/>
            <w:bottom w:w="0" w:type="dxa"/>
            <w:right w:w="108" w:type="dxa"/>
          </w:tblCellMar>
        </w:tblPrEx>
        <w:trPr>
          <w:trHeight w:val="89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66B2092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53" w:type="dxa"/>
            <w:vMerge w:val="continue"/>
            <w:tcBorders>
              <w:top w:val="nil"/>
              <w:left w:val="single" w:color="auto" w:sz="4" w:space="0"/>
              <w:bottom w:val="single" w:color="000000" w:sz="4" w:space="0"/>
              <w:right w:val="single" w:color="auto" w:sz="4" w:space="0"/>
            </w:tcBorders>
            <w:shd w:val="clear" w:color="auto" w:fill="auto"/>
            <w:vAlign w:val="center"/>
          </w:tcPr>
          <w:p w14:paraId="6423818E">
            <w:pPr>
              <w:widowControl/>
              <w:adjustRightInd/>
              <w:spacing w:line="240" w:lineRule="auto"/>
              <w:jc w:val="left"/>
              <w:rPr>
                <w:rFonts w:ascii="等线" w:hAnsi="等线" w:eastAsia="等线" w:cs="宋体"/>
                <w:color w:val="000000"/>
                <w:kern w:val="0"/>
                <w:sz w:val="22"/>
                <w:szCs w:val="22"/>
              </w:rPr>
            </w:pPr>
          </w:p>
        </w:tc>
        <w:tc>
          <w:tcPr>
            <w:tcW w:w="4536" w:type="dxa"/>
            <w:gridSpan w:val="3"/>
            <w:tcBorders>
              <w:top w:val="single" w:color="auto" w:sz="4" w:space="0"/>
              <w:left w:val="nil"/>
              <w:bottom w:val="single" w:color="auto" w:sz="4" w:space="0"/>
              <w:right w:val="single" w:color="000000" w:sz="4" w:space="0"/>
            </w:tcBorders>
            <w:shd w:val="clear" w:color="auto" w:fill="auto"/>
            <w:vAlign w:val="center"/>
          </w:tcPr>
          <w:p w14:paraId="70FAAD99">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在专业救援人员达到现场之前，应安抚老人并采取相应措施。</w:t>
            </w:r>
          </w:p>
        </w:tc>
        <w:tc>
          <w:tcPr>
            <w:tcW w:w="850" w:type="dxa"/>
            <w:tcBorders>
              <w:top w:val="nil"/>
              <w:left w:val="nil"/>
              <w:bottom w:val="single" w:color="auto" w:sz="4" w:space="0"/>
              <w:right w:val="single" w:color="auto" w:sz="4" w:space="0"/>
            </w:tcBorders>
            <w:shd w:val="clear" w:color="auto" w:fill="auto"/>
            <w:noWrap/>
            <w:vAlign w:val="center"/>
          </w:tcPr>
          <w:p w14:paraId="71B479B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709" w:type="dxa"/>
            <w:tcBorders>
              <w:top w:val="nil"/>
              <w:left w:val="nil"/>
              <w:bottom w:val="single" w:color="auto" w:sz="4" w:space="0"/>
              <w:right w:val="single" w:color="auto" w:sz="4" w:space="0"/>
            </w:tcBorders>
            <w:shd w:val="clear" w:color="auto" w:fill="auto"/>
            <w:noWrap/>
            <w:vAlign w:val="center"/>
          </w:tcPr>
          <w:p w14:paraId="64BD5BB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2C941CB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1E638A2B">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AD686C6">
        <w:tblPrEx>
          <w:tblCellMar>
            <w:top w:w="0" w:type="dxa"/>
            <w:left w:w="108" w:type="dxa"/>
            <w:bottom w:w="0" w:type="dxa"/>
            <w:right w:w="108" w:type="dxa"/>
          </w:tblCellMar>
        </w:tblPrEx>
        <w:trPr>
          <w:trHeight w:val="73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75A1450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6</w:t>
            </w:r>
          </w:p>
        </w:tc>
        <w:tc>
          <w:tcPr>
            <w:tcW w:w="853" w:type="dxa"/>
            <w:vMerge w:val="continue"/>
            <w:tcBorders>
              <w:top w:val="nil"/>
              <w:left w:val="single" w:color="auto" w:sz="4" w:space="0"/>
              <w:bottom w:val="single" w:color="000000" w:sz="4" w:space="0"/>
              <w:right w:val="single" w:color="auto" w:sz="4" w:space="0"/>
            </w:tcBorders>
            <w:shd w:val="clear" w:color="auto" w:fill="auto"/>
            <w:vAlign w:val="center"/>
          </w:tcPr>
          <w:p w14:paraId="28EC4323">
            <w:pPr>
              <w:widowControl/>
              <w:adjustRightInd/>
              <w:spacing w:line="240" w:lineRule="auto"/>
              <w:jc w:val="left"/>
              <w:rPr>
                <w:rFonts w:ascii="等线" w:hAnsi="等线" w:eastAsia="等线" w:cs="宋体"/>
                <w:color w:val="000000"/>
                <w:kern w:val="0"/>
                <w:sz w:val="22"/>
                <w:szCs w:val="22"/>
              </w:rPr>
            </w:pPr>
          </w:p>
        </w:tc>
        <w:tc>
          <w:tcPr>
            <w:tcW w:w="4536" w:type="dxa"/>
            <w:gridSpan w:val="3"/>
            <w:tcBorders>
              <w:top w:val="single" w:color="auto" w:sz="4" w:space="0"/>
              <w:left w:val="nil"/>
              <w:bottom w:val="single" w:color="auto" w:sz="4" w:space="0"/>
              <w:right w:val="single" w:color="000000" w:sz="4" w:space="0"/>
            </w:tcBorders>
            <w:shd w:val="clear" w:color="auto" w:fill="auto"/>
            <w:vAlign w:val="center"/>
          </w:tcPr>
          <w:p w14:paraId="4350079D">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救援人员抵达后，服务人员应配合医疗、消防、公安、防疫、物业等机构开展现场应急救援工作。</w:t>
            </w:r>
          </w:p>
        </w:tc>
        <w:tc>
          <w:tcPr>
            <w:tcW w:w="850" w:type="dxa"/>
            <w:tcBorders>
              <w:top w:val="nil"/>
              <w:left w:val="nil"/>
              <w:bottom w:val="single" w:color="auto" w:sz="4" w:space="0"/>
              <w:right w:val="single" w:color="auto" w:sz="4" w:space="0"/>
            </w:tcBorders>
            <w:shd w:val="clear" w:color="auto" w:fill="auto"/>
            <w:noWrap/>
            <w:vAlign w:val="center"/>
          </w:tcPr>
          <w:p w14:paraId="7C6EE6C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709" w:type="dxa"/>
            <w:tcBorders>
              <w:top w:val="nil"/>
              <w:left w:val="nil"/>
              <w:bottom w:val="single" w:color="auto" w:sz="4" w:space="0"/>
              <w:right w:val="single" w:color="auto" w:sz="4" w:space="0"/>
            </w:tcBorders>
            <w:shd w:val="clear" w:color="auto" w:fill="auto"/>
            <w:noWrap/>
            <w:vAlign w:val="center"/>
          </w:tcPr>
          <w:p w14:paraId="421EB95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07AA412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3CC2E6B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554944F3">
        <w:tblPrEx>
          <w:tblCellMar>
            <w:top w:w="0" w:type="dxa"/>
            <w:left w:w="108" w:type="dxa"/>
            <w:bottom w:w="0" w:type="dxa"/>
            <w:right w:w="108" w:type="dxa"/>
          </w:tblCellMar>
        </w:tblPrEx>
        <w:trPr>
          <w:trHeight w:val="567"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11A03E8E">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389" w:type="dxa"/>
            <w:gridSpan w:val="4"/>
            <w:tcBorders>
              <w:top w:val="single" w:color="auto" w:sz="4" w:space="0"/>
              <w:left w:val="nil"/>
              <w:bottom w:val="single" w:color="auto" w:sz="4" w:space="0"/>
              <w:right w:val="single" w:color="000000" w:sz="4" w:space="0"/>
            </w:tcBorders>
            <w:shd w:val="clear" w:color="auto" w:fill="auto"/>
            <w:noWrap/>
            <w:vAlign w:val="center"/>
          </w:tcPr>
          <w:p w14:paraId="014B0601">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850" w:type="dxa"/>
            <w:tcBorders>
              <w:top w:val="nil"/>
              <w:left w:val="nil"/>
              <w:bottom w:val="single" w:color="auto" w:sz="4" w:space="0"/>
              <w:right w:val="single" w:color="auto" w:sz="4" w:space="0"/>
            </w:tcBorders>
            <w:shd w:val="clear" w:color="auto" w:fill="auto"/>
            <w:noWrap/>
            <w:vAlign w:val="center"/>
          </w:tcPr>
          <w:p w14:paraId="1A631A9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709" w:type="dxa"/>
            <w:tcBorders>
              <w:top w:val="nil"/>
              <w:left w:val="nil"/>
              <w:bottom w:val="single" w:color="auto" w:sz="4" w:space="0"/>
              <w:right w:val="single" w:color="auto" w:sz="4" w:space="0"/>
            </w:tcBorders>
            <w:shd w:val="clear" w:color="auto" w:fill="auto"/>
            <w:noWrap/>
            <w:vAlign w:val="bottom"/>
          </w:tcPr>
          <w:p w14:paraId="7FDEBEA3">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bottom"/>
          </w:tcPr>
          <w:p w14:paraId="0EF4423E">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552EF65D">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AE53E1A">
        <w:tblPrEx>
          <w:tblCellMar>
            <w:top w:w="0" w:type="dxa"/>
            <w:left w:w="108" w:type="dxa"/>
            <w:bottom w:w="0" w:type="dxa"/>
            <w:right w:w="108" w:type="dxa"/>
          </w:tblCellMar>
        </w:tblPrEx>
        <w:trPr>
          <w:trHeight w:val="643" w:hRule="atLeast"/>
        </w:trPr>
        <w:tc>
          <w:tcPr>
            <w:tcW w:w="14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8D1DD7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6A81A222">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7A72EF17">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1416" w:type="dxa"/>
            <w:tcBorders>
              <w:top w:val="single" w:color="auto" w:sz="4" w:space="0"/>
              <w:left w:val="nil"/>
              <w:bottom w:val="single" w:color="auto" w:sz="4" w:space="0"/>
              <w:right w:val="single" w:color="auto" w:sz="4" w:space="0"/>
            </w:tcBorders>
            <w:shd w:val="clear" w:color="auto" w:fill="auto"/>
            <w:vAlign w:val="center"/>
          </w:tcPr>
          <w:p w14:paraId="02F7D1B4">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559" w:type="dxa"/>
            <w:gridSpan w:val="2"/>
            <w:tcBorders>
              <w:top w:val="single" w:color="auto" w:sz="4" w:space="0"/>
              <w:left w:val="nil"/>
              <w:bottom w:val="single" w:color="auto" w:sz="4" w:space="0"/>
              <w:right w:val="single" w:color="auto" w:sz="4" w:space="0"/>
            </w:tcBorders>
            <w:shd w:val="clear" w:color="auto" w:fill="auto"/>
            <w:noWrap/>
            <w:vAlign w:val="center"/>
          </w:tcPr>
          <w:p w14:paraId="7D80CF8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1040" w:type="dxa"/>
            <w:tcBorders>
              <w:top w:val="nil"/>
              <w:left w:val="nil"/>
              <w:bottom w:val="single" w:color="auto" w:sz="4" w:space="0"/>
              <w:right w:val="single" w:color="auto" w:sz="4" w:space="0"/>
            </w:tcBorders>
            <w:shd w:val="clear" w:color="auto" w:fill="auto"/>
            <w:noWrap/>
            <w:vAlign w:val="center"/>
          </w:tcPr>
          <w:p w14:paraId="325576E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362D7970">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046D4682"/>
    <w:p w14:paraId="23B5DD26"/>
    <w:p w14:paraId="0400EC1B"/>
    <w:p w14:paraId="2F8FEFC5">
      <w:pPr>
        <w:jc w:val="center"/>
        <w:rPr>
          <w:rFonts w:ascii="黑体" w:hAnsi="黑体"/>
          <w:b/>
          <w:bCs/>
          <w:sz w:val="24"/>
          <w:szCs w:val="24"/>
        </w:rPr>
      </w:pPr>
    </w:p>
    <w:p w14:paraId="4519F380">
      <w:pPr>
        <w:jc w:val="center"/>
        <w:rPr>
          <w:rFonts w:ascii="黑体" w:hAnsi="黑体"/>
          <w:b/>
          <w:bCs/>
          <w:sz w:val="24"/>
          <w:szCs w:val="24"/>
        </w:rPr>
      </w:pPr>
    </w:p>
    <w:p w14:paraId="744FC31D">
      <w:pPr>
        <w:jc w:val="center"/>
        <w:rPr>
          <w:rFonts w:ascii="黑体" w:hAnsi="黑体"/>
          <w:b/>
          <w:bCs/>
          <w:sz w:val="24"/>
          <w:szCs w:val="24"/>
        </w:rPr>
      </w:pPr>
    </w:p>
    <w:p w14:paraId="0FB01096">
      <w:pPr>
        <w:jc w:val="center"/>
        <w:rPr>
          <w:rFonts w:ascii="黑体" w:hAnsi="黑体"/>
          <w:b/>
          <w:bCs/>
          <w:sz w:val="24"/>
          <w:szCs w:val="24"/>
        </w:rPr>
      </w:pPr>
    </w:p>
    <w:p w14:paraId="29F26897">
      <w:pPr>
        <w:jc w:val="center"/>
        <w:rPr>
          <w:rFonts w:ascii="黑体" w:hAnsi="黑体"/>
          <w:b/>
          <w:bCs/>
          <w:sz w:val="24"/>
          <w:szCs w:val="24"/>
        </w:rPr>
      </w:pPr>
    </w:p>
    <w:p w14:paraId="5B4E12FA">
      <w:pPr>
        <w:jc w:val="center"/>
        <w:rPr>
          <w:rFonts w:ascii="黑体" w:hAnsi="黑体"/>
          <w:b/>
          <w:bCs/>
          <w:sz w:val="24"/>
          <w:szCs w:val="24"/>
        </w:rPr>
      </w:pPr>
    </w:p>
    <w:p w14:paraId="08F2225F">
      <w:pPr>
        <w:jc w:val="center"/>
        <w:rPr>
          <w:rFonts w:ascii="黑体" w:hAnsi="黑体"/>
          <w:b/>
          <w:bCs/>
          <w:sz w:val="24"/>
          <w:szCs w:val="24"/>
        </w:rPr>
      </w:pPr>
      <w:r>
        <w:rPr>
          <w:rFonts w:hint="eastAsia" w:ascii="黑体" w:hAnsi="黑体"/>
          <w:b/>
          <w:bCs/>
          <w:sz w:val="24"/>
          <w:szCs w:val="24"/>
        </w:rPr>
        <w:t>表B.1社区居家养老服务-生活照料特性测评工具（续</w:t>
      </w:r>
      <w:r>
        <w:rPr>
          <w:rFonts w:ascii="黑体" w:hAnsi="黑体"/>
          <w:b/>
          <w:bCs/>
          <w:sz w:val="24"/>
          <w:szCs w:val="24"/>
        </w:rPr>
        <w:t>）</w:t>
      </w:r>
    </w:p>
    <w:p w14:paraId="09658125">
      <w:pPr>
        <w:jc w:val="center"/>
        <w:rPr>
          <w:rFonts w:ascii="黑体" w:hAnsi="黑体"/>
          <w:b/>
          <w:bCs/>
          <w:sz w:val="24"/>
          <w:szCs w:val="24"/>
        </w:rPr>
      </w:pPr>
    </w:p>
    <w:tbl>
      <w:tblPr>
        <w:tblStyle w:val="28"/>
        <w:tblW w:w="10075" w:type="dxa"/>
        <w:tblInd w:w="-289" w:type="dxa"/>
        <w:tblLayout w:type="autofit"/>
        <w:tblCellMar>
          <w:top w:w="0" w:type="dxa"/>
          <w:left w:w="108" w:type="dxa"/>
          <w:bottom w:w="0" w:type="dxa"/>
          <w:right w:w="108" w:type="dxa"/>
        </w:tblCellMar>
      </w:tblPr>
      <w:tblGrid>
        <w:gridCol w:w="568"/>
        <w:gridCol w:w="853"/>
        <w:gridCol w:w="2080"/>
        <w:gridCol w:w="1040"/>
        <w:gridCol w:w="1416"/>
        <w:gridCol w:w="850"/>
        <w:gridCol w:w="709"/>
        <w:gridCol w:w="1040"/>
        <w:gridCol w:w="1519"/>
      </w:tblGrid>
      <w:tr w14:paraId="57859D0A">
        <w:tblPrEx>
          <w:tblCellMar>
            <w:top w:w="0" w:type="dxa"/>
            <w:left w:w="108" w:type="dxa"/>
            <w:bottom w:w="0" w:type="dxa"/>
            <w:right w:w="108" w:type="dxa"/>
          </w:tblCellMar>
        </w:tblPrEx>
        <w:trPr>
          <w:trHeight w:val="560" w:hRule="atLeast"/>
        </w:trPr>
        <w:tc>
          <w:tcPr>
            <w:tcW w:w="5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9B858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853" w:type="dxa"/>
            <w:tcBorders>
              <w:top w:val="single" w:color="auto" w:sz="4" w:space="0"/>
              <w:left w:val="nil"/>
              <w:bottom w:val="single" w:color="auto" w:sz="4" w:space="0"/>
              <w:right w:val="single" w:color="auto" w:sz="4" w:space="0"/>
            </w:tcBorders>
            <w:shd w:val="clear" w:color="auto" w:fill="auto"/>
            <w:vAlign w:val="center"/>
          </w:tcPr>
          <w:p w14:paraId="05A3AB4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评价项目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（分值）</w:t>
            </w:r>
          </w:p>
        </w:tc>
        <w:tc>
          <w:tcPr>
            <w:tcW w:w="4536" w:type="dxa"/>
            <w:gridSpan w:val="3"/>
            <w:tcBorders>
              <w:top w:val="single" w:color="auto" w:sz="4" w:space="0"/>
              <w:left w:val="nil"/>
              <w:bottom w:val="single" w:color="auto" w:sz="4" w:space="0"/>
              <w:right w:val="single" w:color="auto" w:sz="4" w:space="0"/>
            </w:tcBorders>
            <w:shd w:val="clear" w:color="auto" w:fill="auto"/>
            <w:noWrap/>
            <w:vAlign w:val="center"/>
          </w:tcPr>
          <w:p w14:paraId="03D34D6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0" w:type="dxa"/>
            <w:tcBorders>
              <w:top w:val="single" w:color="auto" w:sz="4" w:space="0"/>
              <w:left w:val="nil"/>
              <w:bottom w:val="single" w:color="auto" w:sz="4" w:space="0"/>
              <w:right w:val="single" w:color="auto" w:sz="4" w:space="0"/>
            </w:tcBorders>
            <w:shd w:val="clear" w:color="auto" w:fill="auto"/>
            <w:vAlign w:val="center"/>
          </w:tcPr>
          <w:p w14:paraId="0282EC3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709" w:type="dxa"/>
            <w:tcBorders>
              <w:top w:val="single" w:color="auto" w:sz="4" w:space="0"/>
              <w:left w:val="nil"/>
              <w:bottom w:val="single" w:color="auto" w:sz="4" w:space="0"/>
              <w:right w:val="single" w:color="auto" w:sz="4" w:space="0"/>
            </w:tcBorders>
            <w:shd w:val="clear" w:color="auto" w:fill="auto"/>
            <w:vAlign w:val="center"/>
          </w:tcPr>
          <w:p w14:paraId="77B6B73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1040" w:type="dxa"/>
            <w:tcBorders>
              <w:top w:val="single" w:color="auto" w:sz="4" w:space="0"/>
              <w:left w:val="nil"/>
              <w:bottom w:val="single" w:color="auto" w:sz="4" w:space="0"/>
              <w:right w:val="single" w:color="auto" w:sz="4" w:space="0"/>
            </w:tcBorders>
            <w:shd w:val="clear" w:color="auto" w:fill="auto"/>
            <w:vAlign w:val="center"/>
          </w:tcPr>
          <w:p w14:paraId="6C2EE0A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1519" w:type="dxa"/>
            <w:tcBorders>
              <w:top w:val="single" w:color="auto" w:sz="4" w:space="0"/>
              <w:left w:val="nil"/>
              <w:bottom w:val="single" w:color="auto" w:sz="4" w:space="0"/>
              <w:right w:val="single" w:color="auto" w:sz="4" w:space="0"/>
            </w:tcBorders>
            <w:shd w:val="clear" w:color="auto" w:fill="auto"/>
            <w:vAlign w:val="center"/>
          </w:tcPr>
          <w:p w14:paraId="6A0AE286">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738EE5F8">
        <w:tblPrEx>
          <w:tblCellMar>
            <w:top w:w="0" w:type="dxa"/>
            <w:left w:w="108" w:type="dxa"/>
            <w:bottom w:w="0" w:type="dxa"/>
            <w:right w:w="108" w:type="dxa"/>
          </w:tblCellMar>
        </w:tblPrEx>
        <w:trPr>
          <w:trHeight w:val="740" w:hRule="atLeast"/>
        </w:trPr>
        <w:tc>
          <w:tcPr>
            <w:tcW w:w="10075"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667A30F9">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1-7</w:t>
            </w:r>
            <w:r>
              <w:rPr>
                <w:rFonts w:hint="eastAsia" w:ascii="等线" w:hAnsi="等线" w:eastAsia="等线" w:cs="宋体"/>
                <w:color w:val="000000"/>
                <w:kern w:val="0"/>
                <w:sz w:val="22"/>
                <w:szCs w:val="22"/>
              </w:rPr>
              <w:t xml:space="preserve"> 助行服务（100分）</w:t>
            </w:r>
          </w:p>
        </w:tc>
      </w:tr>
      <w:tr w14:paraId="6D05126B">
        <w:tblPrEx>
          <w:tblCellMar>
            <w:top w:w="0" w:type="dxa"/>
            <w:left w:w="108" w:type="dxa"/>
            <w:bottom w:w="0" w:type="dxa"/>
            <w:right w:w="108" w:type="dxa"/>
          </w:tblCellMar>
        </w:tblPrEx>
        <w:trPr>
          <w:trHeight w:val="90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689F563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53" w:type="dxa"/>
            <w:tcBorders>
              <w:top w:val="nil"/>
              <w:left w:val="nil"/>
              <w:bottom w:val="single" w:color="auto" w:sz="4" w:space="0"/>
              <w:right w:val="single" w:color="auto" w:sz="4" w:space="0"/>
            </w:tcBorders>
            <w:shd w:val="clear" w:color="auto" w:fill="auto"/>
            <w:vAlign w:val="center"/>
          </w:tcPr>
          <w:p w14:paraId="632F949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536" w:type="dxa"/>
            <w:gridSpan w:val="3"/>
            <w:tcBorders>
              <w:top w:val="single" w:color="auto" w:sz="4" w:space="0"/>
              <w:left w:val="nil"/>
              <w:bottom w:val="single" w:color="auto" w:sz="4" w:space="0"/>
              <w:right w:val="single" w:color="000000" w:sz="4" w:space="0"/>
            </w:tcBorders>
            <w:shd w:val="clear" w:color="auto" w:fill="auto"/>
            <w:vAlign w:val="center"/>
          </w:tcPr>
          <w:p w14:paraId="495EFE8C">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应根据老年人需求提供多种形式的助行服务，包括但不限于陪同户外散步、陪同外出、协助上下楼梯、交通接送等。</w:t>
            </w:r>
          </w:p>
        </w:tc>
        <w:tc>
          <w:tcPr>
            <w:tcW w:w="850" w:type="dxa"/>
            <w:tcBorders>
              <w:top w:val="nil"/>
              <w:left w:val="nil"/>
              <w:bottom w:val="single" w:color="auto" w:sz="4" w:space="0"/>
              <w:right w:val="single" w:color="auto" w:sz="4" w:space="0"/>
            </w:tcBorders>
            <w:shd w:val="clear" w:color="auto" w:fill="auto"/>
            <w:noWrap/>
            <w:vAlign w:val="center"/>
          </w:tcPr>
          <w:p w14:paraId="35A291B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709" w:type="dxa"/>
            <w:tcBorders>
              <w:top w:val="nil"/>
              <w:left w:val="nil"/>
              <w:bottom w:val="single" w:color="auto" w:sz="4" w:space="0"/>
              <w:right w:val="single" w:color="auto" w:sz="4" w:space="0"/>
            </w:tcBorders>
            <w:shd w:val="clear" w:color="auto" w:fill="auto"/>
            <w:noWrap/>
            <w:vAlign w:val="center"/>
          </w:tcPr>
          <w:p w14:paraId="1A9024E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3ECBC27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5FC44BFC">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24C25FC8">
        <w:tblPrEx>
          <w:tblCellMar>
            <w:top w:w="0" w:type="dxa"/>
            <w:left w:w="108" w:type="dxa"/>
            <w:bottom w:w="0" w:type="dxa"/>
            <w:right w:w="108" w:type="dxa"/>
          </w:tblCellMar>
        </w:tblPrEx>
        <w:trPr>
          <w:trHeight w:val="97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0A1F19E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53" w:type="dxa"/>
            <w:vMerge w:val="restart"/>
            <w:tcBorders>
              <w:top w:val="nil"/>
              <w:left w:val="single" w:color="auto" w:sz="4" w:space="0"/>
              <w:bottom w:val="single" w:color="000000" w:sz="4" w:space="0"/>
              <w:right w:val="single" w:color="auto" w:sz="4" w:space="0"/>
            </w:tcBorders>
            <w:shd w:val="clear" w:color="auto" w:fill="auto"/>
            <w:vAlign w:val="center"/>
          </w:tcPr>
          <w:p w14:paraId="755B356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536" w:type="dxa"/>
            <w:gridSpan w:val="3"/>
            <w:tcBorders>
              <w:top w:val="single" w:color="auto" w:sz="4" w:space="0"/>
              <w:left w:val="nil"/>
              <w:bottom w:val="single" w:color="auto" w:sz="4" w:space="0"/>
              <w:right w:val="single" w:color="000000" w:sz="4" w:space="0"/>
            </w:tcBorders>
            <w:shd w:val="clear" w:color="auto" w:fill="auto"/>
            <w:vAlign w:val="center"/>
          </w:tcPr>
          <w:p w14:paraId="4503A017">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服务实施前，应先沟通了解老人的身体状况、既往病史、需求等，根据服务老人状况提前做好服务策划，包括养老护理员配备、助行设备准备以及行动路线规划等。</w:t>
            </w:r>
          </w:p>
        </w:tc>
        <w:tc>
          <w:tcPr>
            <w:tcW w:w="850" w:type="dxa"/>
            <w:tcBorders>
              <w:top w:val="nil"/>
              <w:left w:val="nil"/>
              <w:bottom w:val="single" w:color="auto" w:sz="4" w:space="0"/>
              <w:right w:val="single" w:color="auto" w:sz="4" w:space="0"/>
            </w:tcBorders>
            <w:shd w:val="clear" w:color="auto" w:fill="auto"/>
            <w:noWrap/>
            <w:vAlign w:val="center"/>
          </w:tcPr>
          <w:p w14:paraId="670C2C6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50</w:t>
            </w:r>
          </w:p>
        </w:tc>
        <w:tc>
          <w:tcPr>
            <w:tcW w:w="709" w:type="dxa"/>
            <w:tcBorders>
              <w:top w:val="nil"/>
              <w:left w:val="nil"/>
              <w:bottom w:val="single" w:color="auto" w:sz="4" w:space="0"/>
              <w:right w:val="single" w:color="auto" w:sz="4" w:space="0"/>
            </w:tcBorders>
            <w:shd w:val="clear" w:color="auto" w:fill="auto"/>
            <w:noWrap/>
            <w:vAlign w:val="center"/>
          </w:tcPr>
          <w:p w14:paraId="0AD3C48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3A9BBDD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6C8A2CA6">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28B0253F">
        <w:tblPrEx>
          <w:tblCellMar>
            <w:top w:w="0" w:type="dxa"/>
            <w:left w:w="108" w:type="dxa"/>
            <w:bottom w:w="0" w:type="dxa"/>
            <w:right w:w="108" w:type="dxa"/>
          </w:tblCellMar>
        </w:tblPrEx>
        <w:trPr>
          <w:trHeight w:val="99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3366A0C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53" w:type="dxa"/>
            <w:vMerge w:val="continue"/>
            <w:tcBorders>
              <w:top w:val="nil"/>
              <w:left w:val="single" w:color="auto" w:sz="4" w:space="0"/>
              <w:bottom w:val="single" w:color="000000" w:sz="4" w:space="0"/>
              <w:right w:val="single" w:color="auto" w:sz="4" w:space="0"/>
            </w:tcBorders>
            <w:shd w:val="clear" w:color="auto" w:fill="auto"/>
            <w:vAlign w:val="center"/>
          </w:tcPr>
          <w:p w14:paraId="5E6E4B99">
            <w:pPr>
              <w:widowControl/>
              <w:adjustRightInd/>
              <w:spacing w:line="240" w:lineRule="auto"/>
              <w:jc w:val="left"/>
              <w:rPr>
                <w:rFonts w:ascii="等线" w:hAnsi="等线" w:eastAsia="等线" w:cs="宋体"/>
                <w:color w:val="000000"/>
                <w:kern w:val="0"/>
                <w:sz w:val="22"/>
                <w:szCs w:val="22"/>
              </w:rPr>
            </w:pPr>
          </w:p>
        </w:tc>
        <w:tc>
          <w:tcPr>
            <w:tcW w:w="4536" w:type="dxa"/>
            <w:gridSpan w:val="3"/>
            <w:tcBorders>
              <w:top w:val="single" w:color="auto" w:sz="4" w:space="0"/>
              <w:left w:val="nil"/>
              <w:bottom w:val="single" w:color="auto" w:sz="4" w:space="0"/>
              <w:right w:val="single" w:color="000000" w:sz="4" w:space="0"/>
            </w:tcBorders>
            <w:shd w:val="clear" w:color="auto" w:fill="auto"/>
            <w:vAlign w:val="center"/>
          </w:tcPr>
          <w:p w14:paraId="65476C31">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提供助行服务时，服务人员应注意途中老人的安全和身体状况，使用助行器具时,应能协助服务老人按操作说明正确使用助行设备与器具，确保服务老人安全。</w:t>
            </w:r>
          </w:p>
        </w:tc>
        <w:tc>
          <w:tcPr>
            <w:tcW w:w="850" w:type="dxa"/>
            <w:tcBorders>
              <w:top w:val="nil"/>
              <w:left w:val="nil"/>
              <w:bottom w:val="single" w:color="auto" w:sz="4" w:space="0"/>
              <w:right w:val="single" w:color="auto" w:sz="4" w:space="0"/>
            </w:tcBorders>
            <w:shd w:val="clear" w:color="auto" w:fill="auto"/>
            <w:noWrap/>
            <w:vAlign w:val="center"/>
          </w:tcPr>
          <w:p w14:paraId="2902331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w:t>
            </w:r>
          </w:p>
        </w:tc>
        <w:tc>
          <w:tcPr>
            <w:tcW w:w="709" w:type="dxa"/>
            <w:tcBorders>
              <w:top w:val="nil"/>
              <w:left w:val="nil"/>
              <w:bottom w:val="single" w:color="auto" w:sz="4" w:space="0"/>
              <w:right w:val="single" w:color="auto" w:sz="4" w:space="0"/>
            </w:tcBorders>
            <w:shd w:val="clear" w:color="auto" w:fill="auto"/>
            <w:noWrap/>
            <w:vAlign w:val="center"/>
          </w:tcPr>
          <w:p w14:paraId="081EFA0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439B821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225C9633">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55D43A02">
        <w:tblPrEx>
          <w:tblCellMar>
            <w:top w:w="0" w:type="dxa"/>
            <w:left w:w="108" w:type="dxa"/>
            <w:bottom w:w="0" w:type="dxa"/>
            <w:right w:w="108" w:type="dxa"/>
          </w:tblCellMar>
        </w:tblPrEx>
        <w:trPr>
          <w:trHeight w:val="360" w:hRule="atLeast"/>
        </w:trPr>
        <w:tc>
          <w:tcPr>
            <w:tcW w:w="568" w:type="dxa"/>
            <w:tcBorders>
              <w:top w:val="nil"/>
              <w:left w:val="single" w:color="auto" w:sz="4" w:space="0"/>
              <w:bottom w:val="single" w:color="auto" w:sz="4" w:space="0"/>
              <w:right w:val="single" w:color="auto" w:sz="4" w:space="0"/>
            </w:tcBorders>
            <w:shd w:val="clear" w:color="auto" w:fill="auto"/>
            <w:noWrap/>
            <w:vAlign w:val="center"/>
          </w:tcPr>
          <w:p w14:paraId="605A6CB2">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389" w:type="dxa"/>
            <w:gridSpan w:val="4"/>
            <w:tcBorders>
              <w:top w:val="single" w:color="auto" w:sz="4" w:space="0"/>
              <w:left w:val="nil"/>
              <w:bottom w:val="single" w:color="auto" w:sz="4" w:space="0"/>
              <w:right w:val="single" w:color="000000" w:sz="4" w:space="0"/>
            </w:tcBorders>
            <w:shd w:val="clear" w:color="auto" w:fill="auto"/>
            <w:noWrap/>
            <w:vAlign w:val="center"/>
          </w:tcPr>
          <w:p w14:paraId="4D4F9BB7">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850" w:type="dxa"/>
            <w:tcBorders>
              <w:top w:val="nil"/>
              <w:left w:val="nil"/>
              <w:bottom w:val="single" w:color="auto" w:sz="4" w:space="0"/>
              <w:right w:val="single" w:color="auto" w:sz="4" w:space="0"/>
            </w:tcBorders>
            <w:shd w:val="clear" w:color="auto" w:fill="auto"/>
            <w:noWrap/>
            <w:vAlign w:val="center"/>
          </w:tcPr>
          <w:p w14:paraId="3A446D3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709" w:type="dxa"/>
            <w:tcBorders>
              <w:top w:val="nil"/>
              <w:left w:val="nil"/>
              <w:bottom w:val="single" w:color="auto" w:sz="4" w:space="0"/>
              <w:right w:val="single" w:color="auto" w:sz="4" w:space="0"/>
            </w:tcBorders>
            <w:shd w:val="clear" w:color="auto" w:fill="auto"/>
            <w:noWrap/>
            <w:vAlign w:val="bottom"/>
          </w:tcPr>
          <w:p w14:paraId="60627947">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bottom"/>
          </w:tcPr>
          <w:p w14:paraId="27E8F78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10BC7929">
            <w:pPr>
              <w:widowControl/>
              <w:adjustRightInd/>
              <w:spacing w:line="240" w:lineRule="auto"/>
              <w:jc w:val="left"/>
              <w:rPr>
                <w:rFonts w:ascii="等线" w:hAnsi="等线" w:eastAsia="等线" w:cs="宋体"/>
                <w:color w:val="FF0000"/>
                <w:kern w:val="0"/>
                <w:sz w:val="22"/>
                <w:szCs w:val="22"/>
              </w:rPr>
            </w:pPr>
            <w:r>
              <w:rPr>
                <w:rFonts w:hint="eastAsia" w:ascii="等线" w:hAnsi="等线" w:eastAsia="等线" w:cs="宋体"/>
                <w:color w:val="FF0000"/>
                <w:kern w:val="0"/>
                <w:sz w:val="22"/>
                <w:szCs w:val="22"/>
              </w:rPr>
              <w:t>　</w:t>
            </w:r>
          </w:p>
        </w:tc>
      </w:tr>
      <w:tr w14:paraId="46F4CAC4">
        <w:tblPrEx>
          <w:tblCellMar>
            <w:top w:w="0" w:type="dxa"/>
            <w:left w:w="108" w:type="dxa"/>
            <w:bottom w:w="0" w:type="dxa"/>
            <w:right w:w="108" w:type="dxa"/>
          </w:tblCellMar>
        </w:tblPrEx>
        <w:trPr>
          <w:trHeight w:val="280" w:hRule="atLeast"/>
        </w:trPr>
        <w:tc>
          <w:tcPr>
            <w:tcW w:w="1421"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801BAD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000000" w:sz="4" w:space="0"/>
            </w:tcBorders>
            <w:shd w:val="clear" w:color="auto" w:fill="auto"/>
            <w:vAlign w:val="center"/>
          </w:tcPr>
          <w:p w14:paraId="571B5E07">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5EE2E83E">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1416" w:type="dxa"/>
            <w:tcBorders>
              <w:top w:val="single" w:color="auto" w:sz="4" w:space="0"/>
              <w:left w:val="nil"/>
              <w:bottom w:val="single" w:color="auto" w:sz="4" w:space="0"/>
              <w:right w:val="single" w:color="000000" w:sz="4" w:space="0"/>
            </w:tcBorders>
            <w:shd w:val="clear" w:color="auto" w:fill="auto"/>
            <w:vAlign w:val="center"/>
          </w:tcPr>
          <w:p w14:paraId="391C6553">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559" w:type="dxa"/>
            <w:gridSpan w:val="2"/>
            <w:tcBorders>
              <w:top w:val="single" w:color="auto" w:sz="4" w:space="0"/>
              <w:left w:val="nil"/>
              <w:bottom w:val="single" w:color="auto" w:sz="4" w:space="0"/>
              <w:right w:val="single" w:color="000000" w:sz="4" w:space="0"/>
            </w:tcBorders>
            <w:shd w:val="clear" w:color="auto" w:fill="auto"/>
            <w:noWrap/>
            <w:vAlign w:val="center"/>
          </w:tcPr>
          <w:p w14:paraId="01E183C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1040" w:type="dxa"/>
            <w:tcBorders>
              <w:top w:val="nil"/>
              <w:left w:val="nil"/>
              <w:bottom w:val="single" w:color="auto" w:sz="4" w:space="0"/>
              <w:right w:val="single" w:color="auto" w:sz="4" w:space="0"/>
            </w:tcBorders>
            <w:shd w:val="clear" w:color="auto" w:fill="auto"/>
            <w:noWrap/>
            <w:vAlign w:val="center"/>
          </w:tcPr>
          <w:p w14:paraId="23BB0AA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519" w:type="dxa"/>
            <w:tcBorders>
              <w:top w:val="nil"/>
              <w:left w:val="nil"/>
              <w:bottom w:val="single" w:color="auto" w:sz="4" w:space="0"/>
              <w:right w:val="single" w:color="auto" w:sz="4" w:space="0"/>
            </w:tcBorders>
            <w:shd w:val="clear" w:color="auto" w:fill="auto"/>
            <w:noWrap/>
            <w:vAlign w:val="bottom"/>
          </w:tcPr>
          <w:p w14:paraId="680D7BE1">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bl>
    <w:p w14:paraId="6D83A09F">
      <w:pPr>
        <w:rPr>
          <w:rFonts w:ascii="黑体" w:hAnsi="黑体" w:eastAsia="黑体"/>
        </w:rPr>
      </w:pPr>
    </w:p>
    <w:p w14:paraId="4F34EC71">
      <w:pPr>
        <w:rPr>
          <w:rFonts w:ascii="黑体" w:hAnsi="黑体" w:eastAsia="黑体"/>
          <w:sz w:val="36"/>
          <w:szCs w:val="36"/>
        </w:rPr>
      </w:pPr>
    </w:p>
    <w:p w14:paraId="4C992274">
      <w:pPr>
        <w:rPr>
          <w:rFonts w:ascii="黑体" w:hAnsi="黑体" w:eastAsia="黑体"/>
          <w:sz w:val="36"/>
          <w:szCs w:val="36"/>
        </w:rPr>
      </w:pPr>
    </w:p>
    <w:p w14:paraId="38010C7C">
      <w:pPr>
        <w:rPr>
          <w:rFonts w:ascii="黑体" w:hAnsi="黑体" w:eastAsia="黑体"/>
          <w:sz w:val="36"/>
          <w:szCs w:val="36"/>
        </w:rPr>
      </w:pPr>
    </w:p>
    <w:p w14:paraId="26E56796">
      <w:pPr>
        <w:rPr>
          <w:rFonts w:ascii="黑体" w:hAnsi="黑体" w:eastAsia="黑体"/>
          <w:sz w:val="36"/>
          <w:szCs w:val="36"/>
        </w:rPr>
      </w:pPr>
    </w:p>
    <w:p w14:paraId="3F3E2EE0">
      <w:pPr>
        <w:rPr>
          <w:rFonts w:ascii="黑体" w:hAnsi="黑体" w:eastAsia="黑体"/>
          <w:sz w:val="36"/>
          <w:szCs w:val="36"/>
        </w:rPr>
      </w:pPr>
    </w:p>
    <w:p w14:paraId="3B124B99">
      <w:pPr>
        <w:rPr>
          <w:rFonts w:ascii="黑体" w:hAnsi="黑体" w:eastAsia="黑体"/>
        </w:rPr>
      </w:pPr>
    </w:p>
    <w:p w14:paraId="60DA793C">
      <w:pPr>
        <w:rPr>
          <w:rFonts w:ascii="黑体" w:hAnsi="黑体" w:eastAsia="黑体"/>
        </w:rPr>
      </w:pPr>
    </w:p>
    <w:p w14:paraId="7EF924C4">
      <w:pPr>
        <w:rPr>
          <w:rFonts w:ascii="黑体" w:hAnsi="黑体" w:eastAsia="黑体"/>
        </w:rPr>
      </w:pPr>
    </w:p>
    <w:p w14:paraId="662CBD60">
      <w:pPr>
        <w:rPr>
          <w:rFonts w:ascii="黑体" w:hAnsi="黑体" w:eastAsia="黑体"/>
        </w:rPr>
      </w:pPr>
    </w:p>
    <w:p w14:paraId="62F26F79">
      <w:pPr>
        <w:rPr>
          <w:rFonts w:ascii="黑体" w:hAnsi="黑体" w:eastAsia="黑体"/>
        </w:rPr>
      </w:pPr>
    </w:p>
    <w:p w14:paraId="2161A7A6">
      <w:pPr>
        <w:rPr>
          <w:rFonts w:ascii="黑体" w:hAnsi="黑体" w:eastAsia="黑体"/>
        </w:rPr>
      </w:pPr>
    </w:p>
    <w:p w14:paraId="6CD55687">
      <w:pPr>
        <w:rPr>
          <w:rFonts w:ascii="黑体" w:hAnsi="黑体" w:eastAsia="黑体"/>
        </w:rPr>
      </w:pPr>
    </w:p>
    <w:p w14:paraId="4B3EB758">
      <w:pPr>
        <w:rPr>
          <w:rFonts w:ascii="黑体" w:hAnsi="黑体" w:eastAsia="黑体"/>
        </w:rPr>
      </w:pPr>
    </w:p>
    <w:p w14:paraId="690056A8">
      <w:pPr>
        <w:rPr>
          <w:rFonts w:ascii="黑体" w:hAnsi="黑体" w:eastAsia="黑体"/>
        </w:rPr>
      </w:pPr>
    </w:p>
    <w:p w14:paraId="2ABED776">
      <w:pPr>
        <w:rPr>
          <w:rFonts w:ascii="黑体" w:hAnsi="黑体" w:eastAsia="黑体"/>
        </w:rPr>
      </w:pPr>
    </w:p>
    <w:p w14:paraId="2CCD34DB">
      <w:pPr>
        <w:rPr>
          <w:rFonts w:ascii="黑体" w:hAnsi="黑体" w:eastAsia="黑体"/>
        </w:rPr>
      </w:pPr>
    </w:p>
    <w:p w14:paraId="45AA7A2C">
      <w:pPr>
        <w:jc w:val="center"/>
        <w:rPr>
          <w:rFonts w:ascii="宋体" w:hAnsi="宋体"/>
          <w:b/>
          <w:bCs/>
          <w:sz w:val="24"/>
          <w:szCs w:val="24"/>
        </w:rPr>
      </w:pPr>
      <w:r>
        <w:rPr>
          <w:rFonts w:hint="eastAsia" w:ascii="宋体" w:hAnsi="宋体"/>
          <w:b/>
          <w:bCs/>
          <w:sz w:val="24"/>
          <w:szCs w:val="24"/>
        </w:rPr>
        <w:t>表B.</w:t>
      </w:r>
      <w:r>
        <w:rPr>
          <w:rFonts w:ascii="宋体" w:hAnsi="宋体"/>
          <w:b/>
          <w:bCs/>
          <w:sz w:val="24"/>
          <w:szCs w:val="24"/>
        </w:rPr>
        <w:t>2</w:t>
      </w:r>
      <w:r>
        <w:rPr>
          <w:rFonts w:hint="eastAsia" w:ascii="宋体" w:hAnsi="宋体"/>
          <w:b/>
          <w:bCs/>
          <w:sz w:val="24"/>
          <w:szCs w:val="24"/>
        </w:rPr>
        <w:t>社区居家养老服</w:t>
      </w:r>
      <w:r>
        <w:rPr>
          <w:rFonts w:hint="eastAsia" w:ascii="宋体" w:hAnsi="宋体" w:cs="宋体"/>
          <w:b/>
          <w:bCs/>
          <w:kern w:val="0"/>
          <w:sz w:val="24"/>
          <w:szCs w:val="24"/>
        </w:rPr>
        <w:t>务-</w:t>
      </w:r>
      <w:r>
        <w:rPr>
          <w:rFonts w:hint="eastAsia" w:ascii="宋体" w:hAnsi="宋体" w:cs="宋体"/>
          <w:b/>
          <w:bCs/>
          <w:kern w:val="0"/>
          <w:sz w:val="30"/>
          <w:szCs w:val="30"/>
        </w:rPr>
        <w:t>康复辅助服务</w:t>
      </w:r>
      <w:r>
        <w:rPr>
          <w:rFonts w:hint="eastAsia" w:ascii="宋体" w:hAnsi="宋体"/>
          <w:b/>
          <w:bCs/>
          <w:sz w:val="24"/>
          <w:szCs w:val="24"/>
        </w:rPr>
        <w:t>特性测评工具</w:t>
      </w:r>
    </w:p>
    <w:p w14:paraId="02D795DD">
      <w:pPr>
        <w:jc w:val="center"/>
        <w:rPr>
          <w:rFonts w:ascii="宋体" w:hAnsi="宋体"/>
          <w:b/>
          <w:bCs/>
          <w:sz w:val="24"/>
          <w:szCs w:val="24"/>
        </w:rPr>
      </w:pPr>
    </w:p>
    <w:tbl>
      <w:tblPr>
        <w:tblStyle w:val="28"/>
        <w:tblW w:w="9601" w:type="dxa"/>
        <w:tblInd w:w="0" w:type="dxa"/>
        <w:tblLayout w:type="autofit"/>
        <w:tblCellMar>
          <w:top w:w="0" w:type="dxa"/>
          <w:left w:w="108" w:type="dxa"/>
          <w:bottom w:w="0" w:type="dxa"/>
          <w:right w:w="108" w:type="dxa"/>
        </w:tblCellMar>
      </w:tblPr>
      <w:tblGrid>
        <w:gridCol w:w="562"/>
        <w:gridCol w:w="993"/>
        <w:gridCol w:w="2080"/>
        <w:gridCol w:w="1040"/>
        <w:gridCol w:w="1137"/>
        <w:gridCol w:w="708"/>
        <w:gridCol w:w="947"/>
        <w:gridCol w:w="754"/>
        <w:gridCol w:w="1384"/>
      </w:tblGrid>
      <w:tr w14:paraId="0118AA1A">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14B8B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993" w:type="dxa"/>
            <w:tcBorders>
              <w:top w:val="single" w:color="auto" w:sz="4" w:space="0"/>
              <w:left w:val="nil"/>
              <w:bottom w:val="single" w:color="auto" w:sz="4" w:space="0"/>
              <w:right w:val="single" w:color="auto" w:sz="4" w:space="0"/>
            </w:tcBorders>
            <w:shd w:val="clear" w:color="auto" w:fill="auto"/>
            <w:vAlign w:val="center"/>
          </w:tcPr>
          <w:p w14:paraId="3158578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评价项目 （分值）</w:t>
            </w:r>
          </w:p>
        </w:tc>
        <w:tc>
          <w:tcPr>
            <w:tcW w:w="4253" w:type="dxa"/>
            <w:gridSpan w:val="3"/>
            <w:tcBorders>
              <w:top w:val="single" w:color="auto" w:sz="4" w:space="0"/>
              <w:left w:val="nil"/>
              <w:bottom w:val="single" w:color="auto" w:sz="4" w:space="0"/>
              <w:right w:val="single" w:color="auto" w:sz="4" w:space="0"/>
            </w:tcBorders>
            <w:shd w:val="clear" w:color="auto" w:fill="auto"/>
            <w:noWrap/>
            <w:vAlign w:val="center"/>
          </w:tcPr>
          <w:p w14:paraId="4683124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708" w:type="dxa"/>
            <w:tcBorders>
              <w:top w:val="single" w:color="auto" w:sz="4" w:space="0"/>
              <w:left w:val="nil"/>
              <w:bottom w:val="single" w:color="auto" w:sz="4" w:space="0"/>
              <w:right w:val="single" w:color="auto" w:sz="4" w:space="0"/>
            </w:tcBorders>
            <w:shd w:val="clear" w:color="auto" w:fill="auto"/>
            <w:vAlign w:val="center"/>
          </w:tcPr>
          <w:p w14:paraId="05EA2E3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947" w:type="dxa"/>
            <w:tcBorders>
              <w:top w:val="single" w:color="auto" w:sz="4" w:space="0"/>
              <w:left w:val="nil"/>
              <w:bottom w:val="single" w:color="auto" w:sz="4" w:space="0"/>
              <w:right w:val="single" w:color="auto" w:sz="4" w:space="0"/>
            </w:tcBorders>
            <w:shd w:val="clear" w:color="auto" w:fill="auto"/>
            <w:vAlign w:val="center"/>
          </w:tcPr>
          <w:p w14:paraId="67A70A9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754" w:type="dxa"/>
            <w:tcBorders>
              <w:top w:val="single" w:color="auto" w:sz="4" w:space="0"/>
              <w:left w:val="nil"/>
              <w:bottom w:val="single" w:color="auto" w:sz="4" w:space="0"/>
              <w:right w:val="single" w:color="auto" w:sz="4" w:space="0"/>
            </w:tcBorders>
            <w:shd w:val="clear" w:color="auto" w:fill="auto"/>
            <w:vAlign w:val="center"/>
          </w:tcPr>
          <w:p w14:paraId="1BE161F2">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 xml:space="preserve">测评 </w:t>
            </w:r>
            <w:r>
              <w:rPr>
                <w:rFonts w:hint="eastAsia" w:ascii="等线" w:hAnsi="等线" w:eastAsia="等线" w:cs="宋体"/>
                <w:color w:val="auto"/>
                <w:kern w:val="0"/>
                <w:sz w:val="22"/>
                <w:szCs w:val="22"/>
              </w:rPr>
              <w:br w:type="textWrapping"/>
            </w:r>
            <w:r>
              <w:rPr>
                <w:rFonts w:hint="eastAsia" w:ascii="等线" w:hAnsi="等线" w:eastAsia="等线" w:cs="宋体"/>
                <w:color w:val="auto"/>
                <w:kern w:val="0"/>
                <w:sz w:val="22"/>
                <w:szCs w:val="22"/>
              </w:rPr>
              <w:t>得分</w:t>
            </w:r>
          </w:p>
        </w:tc>
        <w:tc>
          <w:tcPr>
            <w:tcW w:w="1380" w:type="dxa"/>
            <w:tcBorders>
              <w:top w:val="single" w:color="auto" w:sz="4" w:space="0"/>
              <w:left w:val="nil"/>
              <w:bottom w:val="single" w:color="auto" w:sz="4" w:space="0"/>
              <w:right w:val="single" w:color="auto" w:sz="4" w:space="0"/>
            </w:tcBorders>
            <w:shd w:val="clear" w:color="auto" w:fill="auto"/>
            <w:vAlign w:val="center"/>
          </w:tcPr>
          <w:p w14:paraId="48262A7F">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体验记录</w:t>
            </w:r>
          </w:p>
        </w:tc>
      </w:tr>
      <w:tr w14:paraId="5BAE69D9">
        <w:tblPrEx>
          <w:tblCellMar>
            <w:top w:w="0" w:type="dxa"/>
            <w:left w:w="108" w:type="dxa"/>
            <w:bottom w:w="0" w:type="dxa"/>
            <w:right w:w="108" w:type="dxa"/>
          </w:tblCellMar>
        </w:tblPrEx>
        <w:trPr>
          <w:trHeight w:val="500" w:hRule="atLeast"/>
        </w:trPr>
        <w:tc>
          <w:tcPr>
            <w:tcW w:w="9601"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596D0540">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 xml:space="preserve">2 </w:t>
            </w:r>
            <w:r>
              <w:rPr>
                <w:rFonts w:hint="eastAsia" w:ascii="等线" w:hAnsi="等线" w:eastAsia="等线" w:cs="宋体"/>
                <w:color w:val="000000"/>
                <w:kern w:val="0"/>
                <w:sz w:val="22"/>
                <w:szCs w:val="22"/>
              </w:rPr>
              <w:t>康复辅助服务</w:t>
            </w:r>
            <w:r>
              <w:rPr>
                <w:rFonts w:hint="eastAsia" w:ascii="等线" w:hAnsi="等线" w:eastAsia="等线" w:cs="宋体"/>
                <w:color w:val="auto"/>
                <w:kern w:val="0"/>
                <w:sz w:val="22"/>
                <w:szCs w:val="22"/>
              </w:rPr>
              <w:t>（100</w:t>
            </w:r>
            <w:r>
              <w:rPr>
                <w:rFonts w:hint="eastAsia" w:ascii="等线" w:hAnsi="等线" w:eastAsia="等线" w:cs="宋体"/>
                <w:color w:val="000000"/>
                <w:kern w:val="0"/>
                <w:sz w:val="22"/>
                <w:szCs w:val="22"/>
              </w:rPr>
              <w:t>分）</w:t>
            </w:r>
          </w:p>
        </w:tc>
      </w:tr>
      <w:tr w14:paraId="75D4F727">
        <w:tblPrEx>
          <w:tblCellMar>
            <w:top w:w="0" w:type="dxa"/>
            <w:left w:w="108" w:type="dxa"/>
            <w:bottom w:w="0" w:type="dxa"/>
            <w:right w:w="108" w:type="dxa"/>
          </w:tblCellMar>
        </w:tblPrEx>
        <w:trPr>
          <w:trHeight w:val="16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56BE39E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993" w:type="dxa"/>
            <w:tcBorders>
              <w:top w:val="nil"/>
              <w:left w:val="nil"/>
              <w:bottom w:val="single" w:color="auto" w:sz="4" w:space="0"/>
              <w:right w:val="single" w:color="auto" w:sz="4" w:space="0"/>
            </w:tcBorders>
            <w:shd w:val="clear" w:color="auto" w:fill="auto"/>
            <w:vAlign w:val="center"/>
          </w:tcPr>
          <w:p w14:paraId="139ED44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253" w:type="dxa"/>
            <w:gridSpan w:val="3"/>
            <w:tcBorders>
              <w:top w:val="single" w:color="auto" w:sz="4" w:space="0"/>
              <w:left w:val="nil"/>
              <w:bottom w:val="single" w:color="auto" w:sz="4" w:space="0"/>
              <w:right w:val="single" w:color="auto" w:sz="4" w:space="0"/>
            </w:tcBorders>
            <w:shd w:val="clear" w:color="auto" w:fill="auto"/>
            <w:vAlign w:val="center"/>
          </w:tcPr>
          <w:p w14:paraId="39A941C8">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康复辅助服务内容包括但不限于：群体康复和个体康复。</w:t>
            </w:r>
            <w:r>
              <w:rPr>
                <w:rFonts w:hint="eastAsia" w:ascii="等线" w:hAnsi="等线" w:eastAsia="等线" w:cs="宋体"/>
                <w:kern w:val="0"/>
                <w:sz w:val="18"/>
                <w:szCs w:val="18"/>
              </w:rPr>
              <w:br w:type="textWrapping"/>
            </w:r>
            <w:r>
              <w:rPr>
                <w:rFonts w:hint="eastAsia" w:ascii="等线" w:hAnsi="等线" w:eastAsia="等线" w:cs="宋体"/>
                <w:kern w:val="0"/>
                <w:sz w:val="18"/>
                <w:szCs w:val="18"/>
              </w:rPr>
              <w:t>群体康复一般借助社区卫生和养老服务等公共服务场地设施，指导和组织老年人开展肢体功能性康复训练。</w:t>
            </w:r>
            <w:r>
              <w:rPr>
                <w:rFonts w:hint="eastAsia" w:ascii="等线" w:hAnsi="等线" w:eastAsia="等线" w:cs="宋体"/>
                <w:kern w:val="0"/>
                <w:sz w:val="18"/>
                <w:szCs w:val="18"/>
              </w:rPr>
              <w:br w:type="textWrapping"/>
            </w:r>
            <w:r>
              <w:rPr>
                <w:rFonts w:hint="eastAsia" w:ascii="等线" w:hAnsi="等线" w:eastAsia="等线" w:cs="宋体"/>
                <w:kern w:val="0"/>
                <w:sz w:val="18"/>
                <w:szCs w:val="18"/>
              </w:rPr>
              <w:t>个体康复一般提供被动运动的肢体功能性康复训练、辅助运动的肢体功能性康复训练、保健性康复。</w:t>
            </w:r>
          </w:p>
        </w:tc>
        <w:tc>
          <w:tcPr>
            <w:tcW w:w="708" w:type="dxa"/>
            <w:tcBorders>
              <w:top w:val="nil"/>
              <w:left w:val="nil"/>
              <w:bottom w:val="single" w:color="auto" w:sz="4" w:space="0"/>
              <w:right w:val="single" w:color="auto" w:sz="4" w:space="0"/>
            </w:tcBorders>
            <w:shd w:val="clear" w:color="auto" w:fill="auto"/>
            <w:noWrap/>
            <w:vAlign w:val="center"/>
          </w:tcPr>
          <w:p w14:paraId="3EDAD10A">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30</w:t>
            </w:r>
          </w:p>
        </w:tc>
        <w:tc>
          <w:tcPr>
            <w:tcW w:w="947" w:type="dxa"/>
            <w:tcBorders>
              <w:top w:val="nil"/>
              <w:left w:val="nil"/>
              <w:bottom w:val="single" w:color="auto" w:sz="4" w:space="0"/>
              <w:right w:val="single" w:color="auto" w:sz="4" w:space="0"/>
            </w:tcBorders>
            <w:shd w:val="clear" w:color="auto" w:fill="auto"/>
            <w:noWrap/>
            <w:vAlign w:val="center"/>
          </w:tcPr>
          <w:p w14:paraId="453561C7">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　</w:t>
            </w:r>
          </w:p>
        </w:tc>
        <w:tc>
          <w:tcPr>
            <w:tcW w:w="754" w:type="dxa"/>
            <w:tcBorders>
              <w:top w:val="nil"/>
              <w:left w:val="nil"/>
              <w:bottom w:val="single" w:color="auto" w:sz="4" w:space="0"/>
              <w:right w:val="single" w:color="auto" w:sz="4" w:space="0"/>
            </w:tcBorders>
            <w:shd w:val="clear" w:color="auto" w:fill="auto"/>
            <w:noWrap/>
            <w:vAlign w:val="center"/>
          </w:tcPr>
          <w:p w14:paraId="7C31530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80" w:type="dxa"/>
            <w:tcBorders>
              <w:top w:val="nil"/>
              <w:left w:val="nil"/>
              <w:bottom w:val="single" w:color="auto" w:sz="4" w:space="0"/>
              <w:right w:val="single" w:color="auto" w:sz="4" w:space="0"/>
            </w:tcBorders>
            <w:shd w:val="clear" w:color="auto" w:fill="auto"/>
            <w:noWrap/>
            <w:vAlign w:val="bottom"/>
          </w:tcPr>
          <w:p w14:paraId="488B3679">
            <w:pPr>
              <w:widowControl/>
              <w:adjustRightInd/>
              <w:spacing w:line="240" w:lineRule="auto"/>
              <w:jc w:val="left"/>
              <w:rPr>
                <w:rFonts w:ascii="等线" w:hAnsi="等线" w:eastAsia="等线" w:cs="宋体"/>
                <w:color w:val="FF0000"/>
                <w:kern w:val="0"/>
                <w:sz w:val="22"/>
                <w:szCs w:val="22"/>
              </w:rPr>
            </w:pPr>
            <w:r>
              <w:rPr>
                <w:rFonts w:hint="eastAsia" w:ascii="等线" w:hAnsi="等线" w:eastAsia="等线" w:cs="宋体"/>
                <w:color w:val="FF0000"/>
                <w:kern w:val="0"/>
                <w:sz w:val="22"/>
                <w:szCs w:val="22"/>
              </w:rPr>
              <w:t>　</w:t>
            </w:r>
          </w:p>
        </w:tc>
      </w:tr>
      <w:tr w14:paraId="23DA2219">
        <w:tblPrEx>
          <w:tblCellMar>
            <w:top w:w="0" w:type="dxa"/>
            <w:left w:w="108" w:type="dxa"/>
            <w:bottom w:w="0" w:type="dxa"/>
            <w:right w:w="108" w:type="dxa"/>
          </w:tblCellMar>
        </w:tblPrEx>
        <w:trPr>
          <w:trHeight w:val="54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10318BE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993" w:type="dxa"/>
            <w:vMerge w:val="restart"/>
            <w:tcBorders>
              <w:top w:val="nil"/>
              <w:left w:val="single" w:color="auto" w:sz="4" w:space="0"/>
              <w:bottom w:val="single" w:color="000000" w:sz="4" w:space="0"/>
              <w:right w:val="single" w:color="auto" w:sz="4" w:space="0"/>
            </w:tcBorders>
            <w:shd w:val="clear" w:color="auto" w:fill="auto"/>
            <w:vAlign w:val="center"/>
          </w:tcPr>
          <w:p w14:paraId="33D7120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253" w:type="dxa"/>
            <w:gridSpan w:val="3"/>
            <w:tcBorders>
              <w:top w:val="single" w:color="auto" w:sz="4" w:space="0"/>
              <w:left w:val="nil"/>
              <w:bottom w:val="single" w:color="auto" w:sz="4" w:space="0"/>
              <w:right w:val="single" w:color="auto" w:sz="4" w:space="0"/>
            </w:tcBorders>
            <w:shd w:val="clear" w:color="auto" w:fill="auto"/>
            <w:vAlign w:val="center"/>
          </w:tcPr>
          <w:p w14:paraId="6C77C5D6">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养老护理员应具备康复医生或康复师资格。</w:t>
            </w:r>
          </w:p>
        </w:tc>
        <w:tc>
          <w:tcPr>
            <w:tcW w:w="708" w:type="dxa"/>
            <w:tcBorders>
              <w:top w:val="nil"/>
              <w:left w:val="nil"/>
              <w:bottom w:val="single" w:color="auto" w:sz="4" w:space="0"/>
              <w:right w:val="single" w:color="auto" w:sz="4" w:space="0"/>
            </w:tcBorders>
            <w:shd w:val="clear" w:color="auto" w:fill="auto"/>
            <w:noWrap/>
            <w:vAlign w:val="center"/>
          </w:tcPr>
          <w:p w14:paraId="6FB03322">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20</w:t>
            </w:r>
          </w:p>
        </w:tc>
        <w:tc>
          <w:tcPr>
            <w:tcW w:w="947" w:type="dxa"/>
            <w:tcBorders>
              <w:top w:val="nil"/>
              <w:left w:val="nil"/>
              <w:bottom w:val="single" w:color="auto" w:sz="4" w:space="0"/>
              <w:right w:val="single" w:color="auto" w:sz="4" w:space="0"/>
            </w:tcBorders>
            <w:shd w:val="clear" w:color="auto" w:fill="auto"/>
            <w:noWrap/>
            <w:vAlign w:val="center"/>
          </w:tcPr>
          <w:p w14:paraId="5694FA30">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　</w:t>
            </w:r>
          </w:p>
        </w:tc>
        <w:tc>
          <w:tcPr>
            <w:tcW w:w="754" w:type="dxa"/>
            <w:tcBorders>
              <w:top w:val="nil"/>
              <w:left w:val="nil"/>
              <w:bottom w:val="single" w:color="auto" w:sz="4" w:space="0"/>
              <w:right w:val="single" w:color="auto" w:sz="4" w:space="0"/>
            </w:tcBorders>
            <w:shd w:val="clear" w:color="auto" w:fill="auto"/>
            <w:noWrap/>
            <w:vAlign w:val="center"/>
          </w:tcPr>
          <w:p w14:paraId="00CB869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80" w:type="dxa"/>
            <w:tcBorders>
              <w:top w:val="nil"/>
              <w:left w:val="nil"/>
              <w:bottom w:val="single" w:color="auto" w:sz="4" w:space="0"/>
              <w:right w:val="single" w:color="auto" w:sz="4" w:space="0"/>
            </w:tcBorders>
            <w:shd w:val="clear" w:color="auto" w:fill="auto"/>
            <w:noWrap/>
            <w:vAlign w:val="bottom"/>
          </w:tcPr>
          <w:p w14:paraId="14A21ED7">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DE3E0B9">
        <w:tblPrEx>
          <w:tblCellMar>
            <w:top w:w="0" w:type="dxa"/>
            <w:left w:w="108" w:type="dxa"/>
            <w:bottom w:w="0" w:type="dxa"/>
            <w:right w:w="108" w:type="dxa"/>
          </w:tblCellMar>
        </w:tblPrEx>
        <w:trPr>
          <w:trHeight w:val="49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6E4381E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993" w:type="dxa"/>
            <w:vMerge w:val="continue"/>
            <w:tcBorders>
              <w:top w:val="nil"/>
              <w:left w:val="single" w:color="auto" w:sz="4" w:space="0"/>
              <w:bottom w:val="single" w:color="000000" w:sz="4" w:space="0"/>
              <w:right w:val="single" w:color="auto" w:sz="4" w:space="0"/>
            </w:tcBorders>
            <w:shd w:val="clear" w:color="auto" w:fill="auto"/>
            <w:vAlign w:val="center"/>
          </w:tcPr>
          <w:p w14:paraId="1479E32F">
            <w:pPr>
              <w:widowControl/>
              <w:adjustRightInd/>
              <w:spacing w:line="240" w:lineRule="auto"/>
              <w:jc w:val="left"/>
              <w:rPr>
                <w:rFonts w:ascii="等线" w:hAnsi="等线" w:eastAsia="等线" w:cs="宋体"/>
                <w:color w:val="000000"/>
                <w:kern w:val="0"/>
                <w:sz w:val="22"/>
                <w:szCs w:val="22"/>
              </w:rPr>
            </w:pPr>
          </w:p>
        </w:tc>
        <w:tc>
          <w:tcPr>
            <w:tcW w:w="4253" w:type="dxa"/>
            <w:gridSpan w:val="3"/>
            <w:tcBorders>
              <w:top w:val="single" w:color="auto" w:sz="4" w:space="0"/>
              <w:left w:val="nil"/>
              <w:bottom w:val="single" w:color="auto" w:sz="4" w:space="0"/>
              <w:right w:val="single" w:color="auto" w:sz="4" w:space="0"/>
            </w:tcBorders>
            <w:shd w:val="clear" w:color="auto" w:fill="auto"/>
            <w:vAlign w:val="center"/>
          </w:tcPr>
          <w:p w14:paraId="69084B85">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服务实施前，应为服务对象建立康复服务方案，充分了解老人情况，并提前制定康复方案。</w:t>
            </w:r>
          </w:p>
        </w:tc>
        <w:tc>
          <w:tcPr>
            <w:tcW w:w="708" w:type="dxa"/>
            <w:tcBorders>
              <w:top w:val="nil"/>
              <w:left w:val="nil"/>
              <w:bottom w:val="single" w:color="auto" w:sz="4" w:space="0"/>
              <w:right w:val="single" w:color="auto" w:sz="4" w:space="0"/>
            </w:tcBorders>
            <w:shd w:val="clear" w:color="auto" w:fill="auto"/>
            <w:noWrap/>
            <w:vAlign w:val="center"/>
          </w:tcPr>
          <w:p w14:paraId="62474202">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15</w:t>
            </w:r>
          </w:p>
        </w:tc>
        <w:tc>
          <w:tcPr>
            <w:tcW w:w="947" w:type="dxa"/>
            <w:tcBorders>
              <w:top w:val="nil"/>
              <w:left w:val="nil"/>
              <w:bottom w:val="single" w:color="auto" w:sz="4" w:space="0"/>
              <w:right w:val="single" w:color="auto" w:sz="4" w:space="0"/>
            </w:tcBorders>
            <w:shd w:val="clear" w:color="auto" w:fill="auto"/>
            <w:noWrap/>
            <w:vAlign w:val="center"/>
          </w:tcPr>
          <w:p w14:paraId="26C14086">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　</w:t>
            </w:r>
          </w:p>
        </w:tc>
        <w:tc>
          <w:tcPr>
            <w:tcW w:w="754" w:type="dxa"/>
            <w:tcBorders>
              <w:top w:val="nil"/>
              <w:left w:val="nil"/>
              <w:bottom w:val="single" w:color="auto" w:sz="4" w:space="0"/>
              <w:right w:val="single" w:color="auto" w:sz="4" w:space="0"/>
            </w:tcBorders>
            <w:shd w:val="clear" w:color="auto" w:fill="auto"/>
            <w:noWrap/>
            <w:vAlign w:val="center"/>
          </w:tcPr>
          <w:p w14:paraId="1F3FCC6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80" w:type="dxa"/>
            <w:tcBorders>
              <w:top w:val="nil"/>
              <w:left w:val="nil"/>
              <w:bottom w:val="single" w:color="auto" w:sz="4" w:space="0"/>
              <w:right w:val="single" w:color="auto" w:sz="4" w:space="0"/>
            </w:tcBorders>
            <w:shd w:val="clear" w:color="auto" w:fill="auto"/>
            <w:noWrap/>
            <w:vAlign w:val="bottom"/>
          </w:tcPr>
          <w:p w14:paraId="0D7FAA3B">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59434A3">
        <w:tblPrEx>
          <w:tblCellMar>
            <w:top w:w="0" w:type="dxa"/>
            <w:left w:w="108" w:type="dxa"/>
            <w:bottom w:w="0" w:type="dxa"/>
            <w:right w:w="108" w:type="dxa"/>
          </w:tblCellMar>
        </w:tblPrEx>
        <w:trPr>
          <w:trHeight w:val="55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101C640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993" w:type="dxa"/>
            <w:vMerge w:val="continue"/>
            <w:tcBorders>
              <w:top w:val="nil"/>
              <w:left w:val="single" w:color="auto" w:sz="4" w:space="0"/>
              <w:bottom w:val="single" w:color="000000" w:sz="4" w:space="0"/>
              <w:right w:val="single" w:color="auto" w:sz="4" w:space="0"/>
            </w:tcBorders>
            <w:shd w:val="clear" w:color="auto" w:fill="auto"/>
            <w:vAlign w:val="center"/>
          </w:tcPr>
          <w:p w14:paraId="7D1AE152">
            <w:pPr>
              <w:widowControl/>
              <w:adjustRightInd/>
              <w:spacing w:line="240" w:lineRule="auto"/>
              <w:jc w:val="left"/>
              <w:rPr>
                <w:rFonts w:ascii="等线" w:hAnsi="等线" w:eastAsia="等线" w:cs="宋体"/>
                <w:color w:val="000000"/>
                <w:kern w:val="0"/>
                <w:sz w:val="22"/>
                <w:szCs w:val="22"/>
              </w:rPr>
            </w:pPr>
          </w:p>
        </w:tc>
        <w:tc>
          <w:tcPr>
            <w:tcW w:w="4253" w:type="dxa"/>
            <w:gridSpan w:val="3"/>
            <w:tcBorders>
              <w:top w:val="single" w:color="auto" w:sz="4" w:space="0"/>
              <w:left w:val="nil"/>
              <w:bottom w:val="single" w:color="auto" w:sz="4" w:space="0"/>
              <w:right w:val="single" w:color="auto" w:sz="4" w:space="0"/>
            </w:tcBorders>
            <w:shd w:val="clear" w:color="auto" w:fill="auto"/>
            <w:vAlign w:val="center"/>
          </w:tcPr>
          <w:p w14:paraId="4341A4C4">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服务过程中，应密切关注服务对象的病情变化，做好急救准备。</w:t>
            </w:r>
          </w:p>
        </w:tc>
        <w:tc>
          <w:tcPr>
            <w:tcW w:w="708" w:type="dxa"/>
            <w:tcBorders>
              <w:top w:val="nil"/>
              <w:left w:val="nil"/>
              <w:bottom w:val="single" w:color="auto" w:sz="4" w:space="0"/>
              <w:right w:val="single" w:color="auto" w:sz="4" w:space="0"/>
            </w:tcBorders>
            <w:shd w:val="clear" w:color="auto" w:fill="auto"/>
            <w:noWrap/>
            <w:vAlign w:val="center"/>
          </w:tcPr>
          <w:p w14:paraId="422B6D04">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15</w:t>
            </w:r>
          </w:p>
        </w:tc>
        <w:tc>
          <w:tcPr>
            <w:tcW w:w="947" w:type="dxa"/>
            <w:tcBorders>
              <w:top w:val="nil"/>
              <w:left w:val="nil"/>
              <w:bottom w:val="single" w:color="auto" w:sz="4" w:space="0"/>
              <w:right w:val="single" w:color="auto" w:sz="4" w:space="0"/>
            </w:tcBorders>
            <w:shd w:val="clear" w:color="auto" w:fill="auto"/>
            <w:noWrap/>
            <w:vAlign w:val="center"/>
          </w:tcPr>
          <w:p w14:paraId="7721B849">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　</w:t>
            </w:r>
          </w:p>
        </w:tc>
        <w:tc>
          <w:tcPr>
            <w:tcW w:w="754" w:type="dxa"/>
            <w:tcBorders>
              <w:top w:val="nil"/>
              <w:left w:val="nil"/>
              <w:bottom w:val="single" w:color="auto" w:sz="4" w:space="0"/>
              <w:right w:val="single" w:color="auto" w:sz="4" w:space="0"/>
            </w:tcBorders>
            <w:shd w:val="clear" w:color="auto" w:fill="auto"/>
            <w:noWrap/>
            <w:vAlign w:val="center"/>
          </w:tcPr>
          <w:p w14:paraId="651DF5B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80" w:type="dxa"/>
            <w:tcBorders>
              <w:top w:val="nil"/>
              <w:left w:val="nil"/>
              <w:bottom w:val="single" w:color="auto" w:sz="4" w:space="0"/>
              <w:right w:val="single" w:color="auto" w:sz="4" w:space="0"/>
            </w:tcBorders>
            <w:shd w:val="clear" w:color="auto" w:fill="auto"/>
            <w:noWrap/>
            <w:vAlign w:val="bottom"/>
          </w:tcPr>
          <w:p w14:paraId="77354643">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C91106D">
        <w:tblPrEx>
          <w:tblCellMar>
            <w:top w:w="0" w:type="dxa"/>
            <w:left w:w="108" w:type="dxa"/>
            <w:bottom w:w="0" w:type="dxa"/>
            <w:right w:w="108" w:type="dxa"/>
          </w:tblCellMar>
        </w:tblPrEx>
        <w:trPr>
          <w:trHeight w:val="59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541A635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993" w:type="dxa"/>
            <w:vMerge w:val="continue"/>
            <w:tcBorders>
              <w:top w:val="nil"/>
              <w:left w:val="single" w:color="auto" w:sz="4" w:space="0"/>
              <w:bottom w:val="single" w:color="000000" w:sz="4" w:space="0"/>
              <w:right w:val="single" w:color="auto" w:sz="4" w:space="0"/>
            </w:tcBorders>
            <w:shd w:val="clear" w:color="auto" w:fill="auto"/>
            <w:vAlign w:val="center"/>
          </w:tcPr>
          <w:p w14:paraId="5389C563">
            <w:pPr>
              <w:widowControl/>
              <w:adjustRightInd/>
              <w:spacing w:line="240" w:lineRule="auto"/>
              <w:jc w:val="left"/>
              <w:rPr>
                <w:rFonts w:ascii="等线" w:hAnsi="等线" w:eastAsia="等线" w:cs="宋体"/>
                <w:color w:val="000000"/>
                <w:kern w:val="0"/>
                <w:sz w:val="22"/>
                <w:szCs w:val="22"/>
              </w:rPr>
            </w:pPr>
          </w:p>
        </w:tc>
        <w:tc>
          <w:tcPr>
            <w:tcW w:w="4253" w:type="dxa"/>
            <w:gridSpan w:val="3"/>
            <w:tcBorders>
              <w:top w:val="single" w:color="auto" w:sz="4" w:space="0"/>
              <w:left w:val="nil"/>
              <w:bottom w:val="single" w:color="auto" w:sz="4" w:space="0"/>
              <w:right w:val="single" w:color="auto" w:sz="4" w:space="0"/>
            </w:tcBorders>
            <w:shd w:val="clear" w:color="auto" w:fill="auto"/>
            <w:vAlign w:val="center"/>
          </w:tcPr>
          <w:p w14:paraId="13CF687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养老护理员应与服务对象加强沟通，鼓励、督促其</w:t>
            </w:r>
            <w:bookmarkStart w:id="64" w:name="_GoBack"/>
            <w:bookmarkEnd w:id="64"/>
            <w:r>
              <w:rPr>
                <w:rFonts w:hint="eastAsia" w:ascii="等线" w:hAnsi="等线" w:eastAsia="等线" w:cs="宋体"/>
                <w:color w:val="000000"/>
                <w:kern w:val="0"/>
                <w:sz w:val="18"/>
                <w:szCs w:val="18"/>
                <w:lang w:eastAsia="zh-CN"/>
              </w:rPr>
              <w:t>按照</w:t>
            </w:r>
            <w:r>
              <w:rPr>
                <w:rFonts w:hint="eastAsia" w:ascii="等线" w:hAnsi="等线" w:eastAsia="等线" w:cs="宋体"/>
                <w:color w:val="000000"/>
                <w:kern w:val="0"/>
                <w:sz w:val="18"/>
                <w:szCs w:val="18"/>
              </w:rPr>
              <w:t>康复方案进行康复训练。</w:t>
            </w:r>
          </w:p>
        </w:tc>
        <w:tc>
          <w:tcPr>
            <w:tcW w:w="708" w:type="dxa"/>
            <w:tcBorders>
              <w:top w:val="nil"/>
              <w:left w:val="nil"/>
              <w:bottom w:val="single" w:color="auto" w:sz="4" w:space="0"/>
              <w:right w:val="single" w:color="auto" w:sz="4" w:space="0"/>
            </w:tcBorders>
            <w:shd w:val="clear" w:color="auto" w:fill="auto"/>
            <w:noWrap/>
            <w:vAlign w:val="center"/>
          </w:tcPr>
          <w:p w14:paraId="7E79381B">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20</w:t>
            </w:r>
          </w:p>
        </w:tc>
        <w:tc>
          <w:tcPr>
            <w:tcW w:w="947" w:type="dxa"/>
            <w:tcBorders>
              <w:top w:val="nil"/>
              <w:left w:val="nil"/>
              <w:bottom w:val="single" w:color="auto" w:sz="4" w:space="0"/>
              <w:right w:val="single" w:color="auto" w:sz="4" w:space="0"/>
            </w:tcBorders>
            <w:shd w:val="clear" w:color="auto" w:fill="auto"/>
            <w:noWrap/>
            <w:vAlign w:val="center"/>
          </w:tcPr>
          <w:p w14:paraId="1AF87D94">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　</w:t>
            </w:r>
          </w:p>
        </w:tc>
        <w:tc>
          <w:tcPr>
            <w:tcW w:w="754" w:type="dxa"/>
            <w:tcBorders>
              <w:top w:val="nil"/>
              <w:left w:val="nil"/>
              <w:bottom w:val="single" w:color="auto" w:sz="4" w:space="0"/>
              <w:right w:val="single" w:color="auto" w:sz="4" w:space="0"/>
            </w:tcBorders>
            <w:shd w:val="clear" w:color="auto" w:fill="auto"/>
            <w:noWrap/>
            <w:vAlign w:val="center"/>
          </w:tcPr>
          <w:p w14:paraId="2787B42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80" w:type="dxa"/>
            <w:tcBorders>
              <w:top w:val="nil"/>
              <w:left w:val="nil"/>
              <w:bottom w:val="single" w:color="auto" w:sz="4" w:space="0"/>
              <w:right w:val="single" w:color="auto" w:sz="4" w:space="0"/>
            </w:tcBorders>
            <w:shd w:val="clear" w:color="auto" w:fill="auto"/>
            <w:noWrap/>
            <w:vAlign w:val="bottom"/>
          </w:tcPr>
          <w:p w14:paraId="4B6B610B">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4060E9A">
        <w:tblPrEx>
          <w:tblCellMar>
            <w:top w:w="0" w:type="dxa"/>
            <w:left w:w="108" w:type="dxa"/>
            <w:bottom w:w="0" w:type="dxa"/>
            <w:right w:w="108" w:type="dxa"/>
          </w:tblCellMar>
        </w:tblPrEx>
        <w:trPr>
          <w:trHeight w:val="55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5D3CDCC7">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250" w:type="dxa"/>
            <w:gridSpan w:val="4"/>
            <w:tcBorders>
              <w:top w:val="single" w:color="auto" w:sz="4" w:space="0"/>
              <w:left w:val="nil"/>
              <w:bottom w:val="single" w:color="auto" w:sz="4" w:space="0"/>
              <w:right w:val="single" w:color="auto" w:sz="4" w:space="0"/>
            </w:tcBorders>
            <w:shd w:val="clear" w:color="auto" w:fill="auto"/>
            <w:noWrap/>
            <w:vAlign w:val="center"/>
          </w:tcPr>
          <w:p w14:paraId="72394258">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708" w:type="dxa"/>
            <w:tcBorders>
              <w:top w:val="nil"/>
              <w:left w:val="nil"/>
              <w:bottom w:val="single" w:color="auto" w:sz="4" w:space="0"/>
              <w:right w:val="single" w:color="auto" w:sz="4" w:space="0"/>
            </w:tcBorders>
            <w:shd w:val="clear" w:color="auto" w:fill="auto"/>
            <w:noWrap/>
            <w:vAlign w:val="center"/>
          </w:tcPr>
          <w:p w14:paraId="207F8CE0">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100</w:t>
            </w:r>
          </w:p>
        </w:tc>
        <w:tc>
          <w:tcPr>
            <w:tcW w:w="947" w:type="dxa"/>
            <w:tcBorders>
              <w:top w:val="nil"/>
              <w:left w:val="nil"/>
              <w:bottom w:val="single" w:color="auto" w:sz="4" w:space="0"/>
              <w:right w:val="single" w:color="auto" w:sz="4" w:space="0"/>
            </w:tcBorders>
            <w:shd w:val="clear" w:color="auto" w:fill="auto"/>
            <w:noWrap/>
            <w:vAlign w:val="bottom"/>
          </w:tcPr>
          <w:p w14:paraId="2A32B0E6">
            <w:pPr>
              <w:widowControl/>
              <w:adjustRightInd/>
              <w:spacing w:line="240" w:lineRule="auto"/>
              <w:jc w:val="left"/>
              <w:rPr>
                <w:rFonts w:ascii="等线" w:hAnsi="等线" w:eastAsia="等线" w:cs="宋体"/>
                <w:color w:val="auto"/>
                <w:kern w:val="0"/>
                <w:sz w:val="22"/>
                <w:szCs w:val="22"/>
              </w:rPr>
            </w:pPr>
            <w:r>
              <w:rPr>
                <w:rFonts w:hint="eastAsia" w:ascii="等线" w:hAnsi="等线" w:eastAsia="等线" w:cs="宋体"/>
                <w:color w:val="auto"/>
                <w:kern w:val="0"/>
                <w:sz w:val="22"/>
                <w:szCs w:val="22"/>
              </w:rPr>
              <w:t>　</w:t>
            </w:r>
          </w:p>
        </w:tc>
        <w:tc>
          <w:tcPr>
            <w:tcW w:w="754" w:type="dxa"/>
            <w:tcBorders>
              <w:top w:val="nil"/>
              <w:left w:val="nil"/>
              <w:bottom w:val="single" w:color="auto" w:sz="4" w:space="0"/>
              <w:right w:val="single" w:color="auto" w:sz="4" w:space="0"/>
            </w:tcBorders>
            <w:shd w:val="clear" w:color="auto" w:fill="auto"/>
            <w:noWrap/>
            <w:vAlign w:val="bottom"/>
          </w:tcPr>
          <w:p w14:paraId="03D6BF6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80" w:type="dxa"/>
            <w:tcBorders>
              <w:top w:val="nil"/>
              <w:left w:val="nil"/>
              <w:bottom w:val="single" w:color="auto" w:sz="4" w:space="0"/>
              <w:right w:val="single" w:color="auto" w:sz="4" w:space="0"/>
            </w:tcBorders>
            <w:shd w:val="clear" w:color="auto" w:fill="auto"/>
            <w:noWrap/>
            <w:vAlign w:val="bottom"/>
          </w:tcPr>
          <w:p w14:paraId="176F09F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3A6DEC6">
        <w:tblPrEx>
          <w:tblCellMar>
            <w:top w:w="0" w:type="dxa"/>
            <w:left w:w="108" w:type="dxa"/>
            <w:bottom w:w="0" w:type="dxa"/>
            <w:right w:w="108" w:type="dxa"/>
          </w:tblCellMar>
        </w:tblPrEx>
        <w:trPr>
          <w:trHeight w:val="680" w:hRule="atLeast"/>
        </w:trPr>
        <w:tc>
          <w:tcPr>
            <w:tcW w:w="155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B4F7D3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138FA4AD">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0B4D9D70">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1133" w:type="dxa"/>
            <w:tcBorders>
              <w:top w:val="single" w:color="auto" w:sz="4" w:space="0"/>
              <w:left w:val="nil"/>
              <w:bottom w:val="single" w:color="auto" w:sz="4" w:space="0"/>
              <w:right w:val="single" w:color="auto" w:sz="4" w:space="0"/>
            </w:tcBorders>
            <w:shd w:val="clear" w:color="auto" w:fill="auto"/>
            <w:vAlign w:val="center"/>
          </w:tcPr>
          <w:p w14:paraId="08D0A1A0">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655" w:type="dxa"/>
            <w:gridSpan w:val="2"/>
            <w:tcBorders>
              <w:top w:val="single" w:color="auto" w:sz="4" w:space="0"/>
              <w:left w:val="nil"/>
              <w:bottom w:val="single" w:color="auto" w:sz="4" w:space="0"/>
              <w:right w:val="single" w:color="auto" w:sz="4" w:space="0"/>
            </w:tcBorders>
            <w:shd w:val="clear" w:color="auto" w:fill="auto"/>
            <w:noWrap/>
            <w:vAlign w:val="center"/>
          </w:tcPr>
          <w:p w14:paraId="7B24071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754" w:type="dxa"/>
            <w:tcBorders>
              <w:top w:val="nil"/>
              <w:left w:val="nil"/>
              <w:bottom w:val="single" w:color="auto" w:sz="4" w:space="0"/>
              <w:right w:val="single" w:color="auto" w:sz="4" w:space="0"/>
            </w:tcBorders>
            <w:shd w:val="clear" w:color="auto" w:fill="auto"/>
            <w:noWrap/>
            <w:vAlign w:val="center"/>
          </w:tcPr>
          <w:p w14:paraId="0045004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80" w:type="dxa"/>
            <w:tcBorders>
              <w:top w:val="nil"/>
              <w:left w:val="nil"/>
              <w:bottom w:val="single" w:color="auto" w:sz="4" w:space="0"/>
              <w:right w:val="single" w:color="auto" w:sz="4" w:space="0"/>
            </w:tcBorders>
            <w:shd w:val="clear" w:color="auto" w:fill="auto"/>
            <w:noWrap/>
            <w:vAlign w:val="bottom"/>
          </w:tcPr>
          <w:p w14:paraId="5887552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048E721D">
      <w:pPr>
        <w:rPr>
          <w:rFonts w:ascii="黑体" w:hAnsi="黑体" w:eastAsia="黑体"/>
        </w:rPr>
      </w:pPr>
    </w:p>
    <w:p w14:paraId="799E1D69">
      <w:pPr>
        <w:rPr>
          <w:rFonts w:ascii="黑体" w:hAnsi="黑体" w:eastAsia="黑体"/>
        </w:rPr>
      </w:pPr>
    </w:p>
    <w:p w14:paraId="6017F5F9">
      <w:pPr>
        <w:rPr>
          <w:rFonts w:ascii="黑体" w:hAnsi="黑体" w:eastAsia="黑体"/>
        </w:rPr>
      </w:pPr>
    </w:p>
    <w:p w14:paraId="2F6CC336">
      <w:pPr>
        <w:rPr>
          <w:rFonts w:ascii="黑体" w:hAnsi="黑体" w:eastAsia="黑体"/>
        </w:rPr>
      </w:pPr>
    </w:p>
    <w:p w14:paraId="071E02AC">
      <w:pPr>
        <w:rPr>
          <w:rFonts w:ascii="黑体" w:hAnsi="黑体" w:eastAsia="黑体"/>
        </w:rPr>
      </w:pPr>
    </w:p>
    <w:p w14:paraId="545CF491">
      <w:pPr>
        <w:rPr>
          <w:rFonts w:ascii="黑体" w:hAnsi="黑体" w:eastAsia="黑体"/>
        </w:rPr>
      </w:pPr>
    </w:p>
    <w:p w14:paraId="74E2D7D5">
      <w:pPr>
        <w:rPr>
          <w:rFonts w:ascii="黑体" w:hAnsi="黑体" w:eastAsia="黑体"/>
        </w:rPr>
      </w:pPr>
    </w:p>
    <w:p w14:paraId="6A778EAB">
      <w:pPr>
        <w:rPr>
          <w:rFonts w:ascii="黑体" w:hAnsi="黑体" w:eastAsia="黑体"/>
        </w:rPr>
      </w:pPr>
    </w:p>
    <w:p w14:paraId="7DD52691">
      <w:pPr>
        <w:rPr>
          <w:rFonts w:ascii="黑体" w:hAnsi="黑体" w:eastAsia="黑体"/>
        </w:rPr>
      </w:pPr>
    </w:p>
    <w:p w14:paraId="5DAEB837">
      <w:pPr>
        <w:rPr>
          <w:rFonts w:ascii="黑体" w:hAnsi="黑体" w:eastAsia="黑体"/>
        </w:rPr>
      </w:pPr>
    </w:p>
    <w:p w14:paraId="457FE9F5">
      <w:pPr>
        <w:jc w:val="center"/>
        <w:rPr>
          <w:rFonts w:ascii="黑体" w:hAnsi="黑体"/>
          <w:b/>
          <w:bCs/>
          <w:sz w:val="24"/>
          <w:szCs w:val="24"/>
        </w:rPr>
      </w:pPr>
    </w:p>
    <w:p w14:paraId="3DB17262">
      <w:pPr>
        <w:jc w:val="center"/>
        <w:rPr>
          <w:rFonts w:ascii="黑体" w:hAnsi="黑体"/>
          <w:b/>
          <w:bCs/>
          <w:sz w:val="24"/>
          <w:szCs w:val="24"/>
        </w:rPr>
      </w:pPr>
    </w:p>
    <w:p w14:paraId="13189F39">
      <w:pPr>
        <w:jc w:val="center"/>
        <w:rPr>
          <w:rFonts w:ascii="黑体" w:hAnsi="黑体"/>
          <w:b/>
          <w:bCs/>
          <w:sz w:val="24"/>
          <w:szCs w:val="24"/>
        </w:rPr>
      </w:pPr>
    </w:p>
    <w:p w14:paraId="77E614DB">
      <w:pPr>
        <w:jc w:val="center"/>
        <w:rPr>
          <w:rFonts w:ascii="黑体" w:hAnsi="黑体"/>
          <w:b/>
          <w:bCs/>
          <w:sz w:val="24"/>
          <w:szCs w:val="24"/>
        </w:rPr>
      </w:pPr>
      <w:r>
        <w:rPr>
          <w:rFonts w:hint="eastAsia" w:ascii="黑体" w:hAnsi="黑体"/>
          <w:b/>
          <w:bCs/>
          <w:sz w:val="24"/>
          <w:szCs w:val="24"/>
        </w:rPr>
        <w:t>表B.</w:t>
      </w:r>
      <w:r>
        <w:rPr>
          <w:rFonts w:ascii="黑体" w:hAnsi="黑体"/>
          <w:b/>
          <w:bCs/>
          <w:sz w:val="24"/>
          <w:szCs w:val="24"/>
        </w:rPr>
        <w:t>3</w:t>
      </w:r>
      <w:r>
        <w:rPr>
          <w:rFonts w:hint="eastAsia" w:ascii="黑体" w:hAnsi="黑体"/>
          <w:b/>
          <w:bCs/>
          <w:sz w:val="24"/>
          <w:szCs w:val="24"/>
        </w:rPr>
        <w:t>社区居家养老服务-</w:t>
      </w:r>
      <w:r>
        <w:rPr>
          <w:rFonts w:hint="eastAsia" w:ascii="等线" w:hAnsi="等线" w:eastAsia="等线" w:cs="宋体"/>
          <w:b/>
          <w:bCs/>
          <w:kern w:val="0"/>
          <w:sz w:val="30"/>
          <w:szCs w:val="30"/>
        </w:rPr>
        <w:t>巡视探访服务</w:t>
      </w:r>
      <w:r>
        <w:rPr>
          <w:rFonts w:hint="eastAsia" w:ascii="黑体" w:hAnsi="黑体"/>
          <w:b/>
          <w:bCs/>
          <w:sz w:val="24"/>
          <w:szCs w:val="24"/>
        </w:rPr>
        <w:t>特性测评工具</w:t>
      </w:r>
    </w:p>
    <w:p w14:paraId="10B877DC">
      <w:pPr>
        <w:jc w:val="center"/>
        <w:rPr>
          <w:rFonts w:ascii="黑体" w:hAnsi="黑体"/>
          <w:b/>
          <w:bCs/>
          <w:sz w:val="24"/>
          <w:szCs w:val="24"/>
        </w:rPr>
      </w:pPr>
    </w:p>
    <w:tbl>
      <w:tblPr>
        <w:tblStyle w:val="28"/>
        <w:tblW w:w="9776" w:type="dxa"/>
        <w:tblInd w:w="0" w:type="dxa"/>
        <w:tblLayout w:type="autofit"/>
        <w:tblCellMar>
          <w:top w:w="0" w:type="dxa"/>
          <w:left w:w="108" w:type="dxa"/>
          <w:bottom w:w="0" w:type="dxa"/>
          <w:right w:w="108" w:type="dxa"/>
        </w:tblCellMar>
      </w:tblPr>
      <w:tblGrid>
        <w:gridCol w:w="562"/>
        <w:gridCol w:w="851"/>
        <w:gridCol w:w="2080"/>
        <w:gridCol w:w="1040"/>
        <w:gridCol w:w="565"/>
        <w:gridCol w:w="851"/>
        <w:gridCol w:w="953"/>
        <w:gridCol w:w="890"/>
        <w:gridCol w:w="1984"/>
      </w:tblGrid>
      <w:tr w14:paraId="3382B45C">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30091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851" w:type="dxa"/>
            <w:tcBorders>
              <w:top w:val="single" w:color="auto" w:sz="4" w:space="0"/>
              <w:left w:val="nil"/>
              <w:bottom w:val="single" w:color="auto" w:sz="4" w:space="0"/>
              <w:right w:val="single" w:color="auto" w:sz="4" w:space="0"/>
            </w:tcBorders>
            <w:shd w:val="clear" w:color="auto" w:fill="auto"/>
            <w:vAlign w:val="center"/>
          </w:tcPr>
          <w:p w14:paraId="3D5C318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评价项目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（分值）</w:t>
            </w:r>
          </w:p>
        </w:tc>
        <w:tc>
          <w:tcPr>
            <w:tcW w:w="3685" w:type="dxa"/>
            <w:gridSpan w:val="3"/>
            <w:tcBorders>
              <w:top w:val="single" w:color="auto" w:sz="4" w:space="0"/>
              <w:left w:val="nil"/>
              <w:bottom w:val="single" w:color="auto" w:sz="4" w:space="0"/>
              <w:right w:val="single" w:color="auto" w:sz="4" w:space="0"/>
            </w:tcBorders>
            <w:shd w:val="clear" w:color="auto" w:fill="auto"/>
            <w:noWrap/>
            <w:vAlign w:val="center"/>
          </w:tcPr>
          <w:p w14:paraId="0B4FDE0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1" w:type="dxa"/>
            <w:tcBorders>
              <w:top w:val="single" w:color="auto" w:sz="4" w:space="0"/>
              <w:left w:val="nil"/>
              <w:bottom w:val="single" w:color="auto" w:sz="4" w:space="0"/>
              <w:right w:val="single" w:color="auto" w:sz="4" w:space="0"/>
            </w:tcBorders>
            <w:shd w:val="clear" w:color="auto" w:fill="auto"/>
            <w:vAlign w:val="center"/>
          </w:tcPr>
          <w:p w14:paraId="1D2C83B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953" w:type="dxa"/>
            <w:tcBorders>
              <w:top w:val="single" w:color="auto" w:sz="4" w:space="0"/>
              <w:left w:val="nil"/>
              <w:bottom w:val="single" w:color="auto" w:sz="4" w:space="0"/>
              <w:right w:val="single" w:color="auto" w:sz="4" w:space="0"/>
            </w:tcBorders>
            <w:shd w:val="clear" w:color="auto" w:fill="auto"/>
            <w:vAlign w:val="center"/>
          </w:tcPr>
          <w:p w14:paraId="45BFA6E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890" w:type="dxa"/>
            <w:tcBorders>
              <w:top w:val="single" w:color="auto" w:sz="4" w:space="0"/>
              <w:left w:val="nil"/>
              <w:bottom w:val="single" w:color="auto" w:sz="4" w:space="0"/>
              <w:right w:val="single" w:color="auto" w:sz="4" w:space="0"/>
            </w:tcBorders>
            <w:shd w:val="clear" w:color="auto" w:fill="auto"/>
            <w:vAlign w:val="center"/>
          </w:tcPr>
          <w:p w14:paraId="0BEE3CE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1984" w:type="dxa"/>
            <w:tcBorders>
              <w:top w:val="single" w:color="auto" w:sz="4" w:space="0"/>
              <w:left w:val="nil"/>
              <w:bottom w:val="single" w:color="auto" w:sz="4" w:space="0"/>
              <w:right w:val="single" w:color="auto" w:sz="4" w:space="0"/>
            </w:tcBorders>
            <w:shd w:val="clear" w:color="auto" w:fill="auto"/>
            <w:vAlign w:val="center"/>
          </w:tcPr>
          <w:p w14:paraId="5B4153E0">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24DFB691">
        <w:tblPrEx>
          <w:tblCellMar>
            <w:top w:w="0" w:type="dxa"/>
            <w:left w:w="108" w:type="dxa"/>
            <w:bottom w:w="0" w:type="dxa"/>
            <w:right w:w="108" w:type="dxa"/>
          </w:tblCellMar>
        </w:tblPrEx>
        <w:trPr>
          <w:trHeight w:val="680" w:hRule="atLeast"/>
        </w:trPr>
        <w:tc>
          <w:tcPr>
            <w:tcW w:w="9776"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09F1BEBD">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3</w:t>
            </w:r>
            <w:r>
              <w:rPr>
                <w:rFonts w:hint="eastAsia" w:ascii="等线" w:hAnsi="等线" w:eastAsia="等线" w:cs="宋体"/>
                <w:color w:val="000000"/>
                <w:kern w:val="0"/>
                <w:sz w:val="22"/>
                <w:szCs w:val="22"/>
              </w:rPr>
              <w:t xml:space="preserve"> 巡视探访服务（100分）</w:t>
            </w:r>
          </w:p>
        </w:tc>
      </w:tr>
      <w:tr w14:paraId="1AB333FA">
        <w:tblPrEx>
          <w:tblCellMar>
            <w:top w:w="0" w:type="dxa"/>
            <w:left w:w="108" w:type="dxa"/>
            <w:bottom w:w="0" w:type="dxa"/>
            <w:right w:w="108" w:type="dxa"/>
          </w:tblCellMar>
        </w:tblPrEx>
        <w:trPr>
          <w:trHeight w:val="139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192A8DD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51" w:type="dxa"/>
            <w:tcBorders>
              <w:top w:val="nil"/>
              <w:left w:val="nil"/>
              <w:bottom w:val="single" w:color="auto" w:sz="4" w:space="0"/>
              <w:right w:val="single" w:color="auto" w:sz="4" w:space="0"/>
            </w:tcBorders>
            <w:shd w:val="clear" w:color="auto" w:fill="auto"/>
            <w:vAlign w:val="center"/>
          </w:tcPr>
          <w:p w14:paraId="68088D0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3685" w:type="dxa"/>
            <w:gridSpan w:val="3"/>
            <w:tcBorders>
              <w:top w:val="single" w:color="auto" w:sz="4" w:space="0"/>
              <w:left w:val="nil"/>
              <w:bottom w:val="single" w:color="auto" w:sz="4" w:space="0"/>
              <w:right w:val="single" w:color="auto" w:sz="4" w:space="0"/>
            </w:tcBorders>
            <w:shd w:val="clear" w:color="auto" w:fill="auto"/>
            <w:vAlign w:val="center"/>
          </w:tcPr>
          <w:p w14:paraId="3D6D724B">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巡视探访服务内容包括但不限于以下主要内容：</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a)上门探访,包括了解掌握老年人的健康状况、精神状况、安全情况、卫生状况、居住环境、服务需求等;</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b)应急处置,包括接受与协助老年人的电话呼叫、紧急求助等。</w:t>
            </w:r>
          </w:p>
        </w:tc>
        <w:tc>
          <w:tcPr>
            <w:tcW w:w="851" w:type="dxa"/>
            <w:tcBorders>
              <w:top w:val="nil"/>
              <w:left w:val="nil"/>
              <w:bottom w:val="single" w:color="auto" w:sz="4" w:space="0"/>
              <w:right w:val="single" w:color="auto" w:sz="4" w:space="0"/>
            </w:tcBorders>
            <w:shd w:val="clear" w:color="auto" w:fill="auto"/>
            <w:noWrap/>
            <w:vAlign w:val="center"/>
          </w:tcPr>
          <w:p w14:paraId="574D5EF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953" w:type="dxa"/>
            <w:tcBorders>
              <w:top w:val="nil"/>
              <w:left w:val="nil"/>
              <w:bottom w:val="single" w:color="auto" w:sz="4" w:space="0"/>
              <w:right w:val="single" w:color="auto" w:sz="4" w:space="0"/>
            </w:tcBorders>
            <w:shd w:val="clear" w:color="auto" w:fill="auto"/>
            <w:noWrap/>
            <w:vAlign w:val="center"/>
          </w:tcPr>
          <w:p w14:paraId="32F30FD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90" w:type="dxa"/>
            <w:tcBorders>
              <w:top w:val="nil"/>
              <w:left w:val="nil"/>
              <w:bottom w:val="single" w:color="auto" w:sz="4" w:space="0"/>
              <w:right w:val="single" w:color="auto" w:sz="4" w:space="0"/>
            </w:tcBorders>
            <w:shd w:val="clear" w:color="auto" w:fill="auto"/>
            <w:noWrap/>
            <w:vAlign w:val="center"/>
          </w:tcPr>
          <w:p w14:paraId="4B80376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984" w:type="dxa"/>
            <w:tcBorders>
              <w:top w:val="nil"/>
              <w:left w:val="nil"/>
              <w:bottom w:val="single" w:color="auto" w:sz="4" w:space="0"/>
              <w:right w:val="single" w:color="auto" w:sz="4" w:space="0"/>
            </w:tcBorders>
            <w:shd w:val="clear" w:color="auto" w:fill="auto"/>
          </w:tcPr>
          <w:p w14:paraId="4443BD03">
            <w:pPr>
              <w:widowControl/>
              <w:adjustRightInd/>
              <w:spacing w:line="240" w:lineRule="auto"/>
              <w:jc w:val="left"/>
              <w:rPr>
                <w:rFonts w:ascii="等线" w:hAnsi="等线" w:eastAsia="等线" w:cs="宋体"/>
                <w:color w:val="000000"/>
                <w:kern w:val="0"/>
                <w:sz w:val="16"/>
                <w:szCs w:val="16"/>
              </w:rPr>
            </w:pPr>
            <w:r>
              <w:rPr>
                <w:rFonts w:hint="eastAsia" w:ascii="等线" w:hAnsi="等线" w:eastAsia="等线" w:cs="宋体"/>
                <w:color w:val="000000"/>
                <w:kern w:val="0"/>
                <w:sz w:val="16"/>
                <w:szCs w:val="16"/>
              </w:rPr>
              <w:t>　</w:t>
            </w:r>
          </w:p>
        </w:tc>
      </w:tr>
      <w:tr w14:paraId="6DE41A1C">
        <w:tblPrEx>
          <w:tblCellMar>
            <w:top w:w="0" w:type="dxa"/>
            <w:left w:w="108" w:type="dxa"/>
            <w:bottom w:w="0" w:type="dxa"/>
            <w:right w:w="108" w:type="dxa"/>
          </w:tblCellMar>
        </w:tblPrEx>
        <w:trPr>
          <w:trHeight w:val="49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5E081A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51" w:type="dxa"/>
            <w:vMerge w:val="restart"/>
            <w:tcBorders>
              <w:top w:val="nil"/>
              <w:left w:val="single" w:color="auto" w:sz="4" w:space="0"/>
              <w:bottom w:val="single" w:color="000000" w:sz="4" w:space="0"/>
              <w:right w:val="single" w:color="auto" w:sz="4" w:space="0"/>
            </w:tcBorders>
            <w:shd w:val="clear" w:color="auto" w:fill="auto"/>
            <w:vAlign w:val="center"/>
          </w:tcPr>
          <w:p w14:paraId="774C13C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3685" w:type="dxa"/>
            <w:gridSpan w:val="3"/>
            <w:tcBorders>
              <w:top w:val="single" w:color="auto" w:sz="4" w:space="0"/>
              <w:left w:val="nil"/>
              <w:bottom w:val="single" w:color="auto" w:sz="4" w:space="0"/>
              <w:right w:val="single" w:color="auto" w:sz="4" w:space="0"/>
            </w:tcBorders>
            <w:shd w:val="clear" w:color="auto" w:fill="auto"/>
            <w:vAlign w:val="center"/>
          </w:tcPr>
          <w:p w14:paraId="2CB4B0AB">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应根据老年人需求或服务协议要求进行巡视探访服务；</w:t>
            </w:r>
          </w:p>
        </w:tc>
        <w:tc>
          <w:tcPr>
            <w:tcW w:w="851" w:type="dxa"/>
            <w:tcBorders>
              <w:top w:val="nil"/>
              <w:left w:val="nil"/>
              <w:bottom w:val="single" w:color="auto" w:sz="4" w:space="0"/>
              <w:right w:val="single" w:color="auto" w:sz="4" w:space="0"/>
            </w:tcBorders>
            <w:shd w:val="clear" w:color="auto" w:fill="auto"/>
            <w:noWrap/>
            <w:vAlign w:val="center"/>
          </w:tcPr>
          <w:p w14:paraId="7690F27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953" w:type="dxa"/>
            <w:tcBorders>
              <w:top w:val="nil"/>
              <w:left w:val="nil"/>
              <w:bottom w:val="single" w:color="auto" w:sz="4" w:space="0"/>
              <w:right w:val="single" w:color="auto" w:sz="4" w:space="0"/>
            </w:tcBorders>
            <w:shd w:val="clear" w:color="auto" w:fill="auto"/>
            <w:noWrap/>
            <w:vAlign w:val="center"/>
          </w:tcPr>
          <w:p w14:paraId="17CFEA9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90" w:type="dxa"/>
            <w:tcBorders>
              <w:top w:val="nil"/>
              <w:left w:val="nil"/>
              <w:bottom w:val="single" w:color="auto" w:sz="4" w:space="0"/>
              <w:right w:val="single" w:color="auto" w:sz="4" w:space="0"/>
            </w:tcBorders>
            <w:shd w:val="clear" w:color="auto" w:fill="auto"/>
            <w:noWrap/>
            <w:vAlign w:val="center"/>
          </w:tcPr>
          <w:p w14:paraId="7DDF294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984" w:type="dxa"/>
            <w:tcBorders>
              <w:top w:val="nil"/>
              <w:left w:val="nil"/>
              <w:bottom w:val="single" w:color="auto" w:sz="4" w:space="0"/>
              <w:right w:val="single" w:color="auto" w:sz="4" w:space="0"/>
            </w:tcBorders>
            <w:shd w:val="clear" w:color="auto" w:fill="auto"/>
            <w:noWrap/>
            <w:vAlign w:val="bottom"/>
          </w:tcPr>
          <w:p w14:paraId="4BBF0829">
            <w:pPr>
              <w:widowControl/>
              <w:adjustRightInd/>
              <w:spacing w:line="240" w:lineRule="auto"/>
              <w:jc w:val="left"/>
              <w:rPr>
                <w:rFonts w:ascii="等线" w:hAnsi="等线" w:eastAsia="等线" w:cs="宋体"/>
                <w:color w:val="FF0000"/>
                <w:kern w:val="0"/>
                <w:sz w:val="22"/>
                <w:szCs w:val="22"/>
              </w:rPr>
            </w:pPr>
            <w:r>
              <w:rPr>
                <w:rFonts w:hint="eastAsia" w:ascii="等线" w:hAnsi="等线" w:eastAsia="等线" w:cs="宋体"/>
                <w:color w:val="FF0000"/>
                <w:kern w:val="0"/>
                <w:sz w:val="22"/>
                <w:szCs w:val="22"/>
              </w:rPr>
              <w:t>　</w:t>
            </w:r>
          </w:p>
        </w:tc>
      </w:tr>
      <w:tr w14:paraId="3AB6EFB0">
        <w:tblPrEx>
          <w:tblCellMar>
            <w:top w:w="0" w:type="dxa"/>
            <w:left w:w="108" w:type="dxa"/>
            <w:bottom w:w="0" w:type="dxa"/>
            <w:right w:w="108" w:type="dxa"/>
          </w:tblCellMar>
        </w:tblPrEx>
        <w:trPr>
          <w:trHeight w:val="97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06EE07A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51" w:type="dxa"/>
            <w:vMerge w:val="continue"/>
            <w:tcBorders>
              <w:top w:val="nil"/>
              <w:left w:val="single" w:color="auto" w:sz="4" w:space="0"/>
              <w:bottom w:val="single" w:color="000000" w:sz="4" w:space="0"/>
              <w:right w:val="single" w:color="auto" w:sz="4" w:space="0"/>
            </w:tcBorders>
            <w:shd w:val="clear" w:color="auto" w:fill="auto"/>
            <w:vAlign w:val="center"/>
          </w:tcPr>
          <w:p w14:paraId="38753B3A">
            <w:pPr>
              <w:widowControl/>
              <w:adjustRightInd/>
              <w:spacing w:line="240" w:lineRule="auto"/>
              <w:jc w:val="left"/>
              <w:rPr>
                <w:rFonts w:ascii="等线" w:hAnsi="等线" w:eastAsia="等线" w:cs="宋体"/>
                <w:color w:val="000000"/>
                <w:kern w:val="0"/>
                <w:sz w:val="22"/>
                <w:szCs w:val="22"/>
              </w:rPr>
            </w:pPr>
          </w:p>
        </w:tc>
        <w:tc>
          <w:tcPr>
            <w:tcW w:w="3685" w:type="dxa"/>
            <w:gridSpan w:val="3"/>
            <w:tcBorders>
              <w:top w:val="single" w:color="auto" w:sz="4" w:space="0"/>
              <w:left w:val="nil"/>
              <w:bottom w:val="single" w:color="auto" w:sz="4" w:space="0"/>
              <w:right w:val="single" w:color="auto" w:sz="4" w:space="0"/>
            </w:tcBorders>
            <w:shd w:val="clear" w:color="auto" w:fill="auto"/>
            <w:vAlign w:val="center"/>
          </w:tcPr>
          <w:p w14:paraId="41797440">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服务组织在接到老年人家庭呼救信息或遇到服务现场突发事件时，应在派服务人员赴现场的同时，立即联系相关医疗、公安、消防、物业等机构实施救援，以及通知老年人家属或监护人。</w:t>
            </w:r>
          </w:p>
        </w:tc>
        <w:tc>
          <w:tcPr>
            <w:tcW w:w="851" w:type="dxa"/>
            <w:tcBorders>
              <w:top w:val="nil"/>
              <w:left w:val="nil"/>
              <w:bottom w:val="single" w:color="auto" w:sz="4" w:space="0"/>
              <w:right w:val="single" w:color="auto" w:sz="4" w:space="0"/>
            </w:tcBorders>
            <w:shd w:val="clear" w:color="auto" w:fill="auto"/>
            <w:noWrap/>
            <w:vAlign w:val="center"/>
          </w:tcPr>
          <w:p w14:paraId="6F668E1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50</w:t>
            </w:r>
          </w:p>
        </w:tc>
        <w:tc>
          <w:tcPr>
            <w:tcW w:w="953" w:type="dxa"/>
            <w:tcBorders>
              <w:top w:val="nil"/>
              <w:left w:val="nil"/>
              <w:bottom w:val="single" w:color="auto" w:sz="4" w:space="0"/>
              <w:right w:val="single" w:color="auto" w:sz="4" w:space="0"/>
            </w:tcBorders>
            <w:shd w:val="clear" w:color="auto" w:fill="auto"/>
            <w:noWrap/>
            <w:vAlign w:val="center"/>
          </w:tcPr>
          <w:p w14:paraId="509C6A9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90" w:type="dxa"/>
            <w:tcBorders>
              <w:top w:val="nil"/>
              <w:left w:val="nil"/>
              <w:bottom w:val="single" w:color="auto" w:sz="4" w:space="0"/>
              <w:right w:val="single" w:color="auto" w:sz="4" w:space="0"/>
            </w:tcBorders>
            <w:shd w:val="clear" w:color="auto" w:fill="auto"/>
            <w:noWrap/>
            <w:vAlign w:val="center"/>
          </w:tcPr>
          <w:p w14:paraId="14202D7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984" w:type="dxa"/>
            <w:tcBorders>
              <w:top w:val="nil"/>
              <w:left w:val="nil"/>
              <w:bottom w:val="single" w:color="auto" w:sz="4" w:space="0"/>
              <w:right w:val="single" w:color="auto" w:sz="4" w:space="0"/>
            </w:tcBorders>
            <w:shd w:val="clear" w:color="auto" w:fill="auto"/>
            <w:noWrap/>
            <w:vAlign w:val="bottom"/>
          </w:tcPr>
          <w:p w14:paraId="7A1FBDFC">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A45FA2E">
        <w:tblPrEx>
          <w:tblCellMar>
            <w:top w:w="0" w:type="dxa"/>
            <w:left w:w="108" w:type="dxa"/>
            <w:bottom w:w="0" w:type="dxa"/>
            <w:right w:w="108" w:type="dxa"/>
          </w:tblCellMar>
        </w:tblPrEx>
        <w:trPr>
          <w:trHeight w:val="71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21398DF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51" w:type="dxa"/>
            <w:vMerge w:val="continue"/>
            <w:tcBorders>
              <w:top w:val="nil"/>
              <w:left w:val="single" w:color="auto" w:sz="4" w:space="0"/>
              <w:bottom w:val="single" w:color="000000" w:sz="4" w:space="0"/>
              <w:right w:val="single" w:color="auto" w:sz="4" w:space="0"/>
            </w:tcBorders>
            <w:shd w:val="clear" w:color="auto" w:fill="auto"/>
            <w:vAlign w:val="center"/>
          </w:tcPr>
          <w:p w14:paraId="3EA1F479">
            <w:pPr>
              <w:widowControl/>
              <w:adjustRightInd/>
              <w:spacing w:line="240" w:lineRule="auto"/>
              <w:jc w:val="left"/>
              <w:rPr>
                <w:rFonts w:ascii="等线" w:hAnsi="等线" w:eastAsia="等线" w:cs="宋体"/>
                <w:color w:val="000000"/>
                <w:kern w:val="0"/>
                <w:sz w:val="22"/>
                <w:szCs w:val="22"/>
              </w:rPr>
            </w:pPr>
          </w:p>
        </w:tc>
        <w:tc>
          <w:tcPr>
            <w:tcW w:w="3685" w:type="dxa"/>
            <w:gridSpan w:val="3"/>
            <w:tcBorders>
              <w:top w:val="single" w:color="auto" w:sz="4" w:space="0"/>
              <w:left w:val="nil"/>
              <w:bottom w:val="single" w:color="auto" w:sz="4" w:space="0"/>
              <w:right w:val="single" w:color="auto" w:sz="4" w:space="0"/>
            </w:tcBorders>
            <w:shd w:val="clear" w:color="auto" w:fill="auto"/>
            <w:vAlign w:val="center"/>
          </w:tcPr>
          <w:p w14:paraId="065FC7C9">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服务人员在救援人员未抵达之前，应安抚老年人并采取必要措施；救援人员抵达后，应配合开展现场应急救援工作。</w:t>
            </w:r>
          </w:p>
        </w:tc>
        <w:tc>
          <w:tcPr>
            <w:tcW w:w="851" w:type="dxa"/>
            <w:tcBorders>
              <w:top w:val="nil"/>
              <w:left w:val="nil"/>
              <w:bottom w:val="single" w:color="auto" w:sz="4" w:space="0"/>
              <w:right w:val="single" w:color="auto" w:sz="4" w:space="0"/>
            </w:tcBorders>
            <w:shd w:val="clear" w:color="auto" w:fill="auto"/>
            <w:noWrap/>
            <w:vAlign w:val="center"/>
          </w:tcPr>
          <w:p w14:paraId="5366C96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953" w:type="dxa"/>
            <w:tcBorders>
              <w:top w:val="nil"/>
              <w:left w:val="nil"/>
              <w:bottom w:val="single" w:color="auto" w:sz="4" w:space="0"/>
              <w:right w:val="single" w:color="auto" w:sz="4" w:space="0"/>
            </w:tcBorders>
            <w:shd w:val="clear" w:color="auto" w:fill="auto"/>
            <w:noWrap/>
            <w:vAlign w:val="center"/>
          </w:tcPr>
          <w:p w14:paraId="270428D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90" w:type="dxa"/>
            <w:tcBorders>
              <w:top w:val="nil"/>
              <w:left w:val="nil"/>
              <w:bottom w:val="single" w:color="auto" w:sz="4" w:space="0"/>
              <w:right w:val="single" w:color="auto" w:sz="4" w:space="0"/>
            </w:tcBorders>
            <w:shd w:val="clear" w:color="auto" w:fill="auto"/>
            <w:noWrap/>
            <w:vAlign w:val="center"/>
          </w:tcPr>
          <w:p w14:paraId="1DFC5E1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984" w:type="dxa"/>
            <w:tcBorders>
              <w:top w:val="nil"/>
              <w:left w:val="nil"/>
              <w:bottom w:val="single" w:color="auto" w:sz="4" w:space="0"/>
              <w:right w:val="single" w:color="auto" w:sz="4" w:space="0"/>
            </w:tcBorders>
            <w:shd w:val="clear" w:color="auto" w:fill="auto"/>
            <w:noWrap/>
            <w:vAlign w:val="bottom"/>
          </w:tcPr>
          <w:p w14:paraId="24DCFDC7">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8267721">
        <w:tblPrEx>
          <w:tblCellMar>
            <w:top w:w="0" w:type="dxa"/>
            <w:left w:w="108" w:type="dxa"/>
            <w:bottom w:w="0" w:type="dxa"/>
            <w:right w:w="108" w:type="dxa"/>
          </w:tblCellMar>
        </w:tblPrEx>
        <w:trPr>
          <w:trHeight w:val="71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77553A29">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536" w:type="dxa"/>
            <w:gridSpan w:val="4"/>
            <w:tcBorders>
              <w:top w:val="single" w:color="auto" w:sz="4" w:space="0"/>
              <w:left w:val="nil"/>
              <w:bottom w:val="single" w:color="auto" w:sz="4" w:space="0"/>
              <w:right w:val="single" w:color="auto" w:sz="4" w:space="0"/>
            </w:tcBorders>
            <w:shd w:val="clear" w:color="auto" w:fill="auto"/>
            <w:noWrap/>
            <w:vAlign w:val="center"/>
          </w:tcPr>
          <w:p w14:paraId="268157BF">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851" w:type="dxa"/>
            <w:tcBorders>
              <w:top w:val="nil"/>
              <w:left w:val="nil"/>
              <w:bottom w:val="single" w:color="auto" w:sz="4" w:space="0"/>
              <w:right w:val="single" w:color="auto" w:sz="4" w:space="0"/>
            </w:tcBorders>
            <w:shd w:val="clear" w:color="auto" w:fill="auto"/>
            <w:noWrap/>
            <w:vAlign w:val="center"/>
          </w:tcPr>
          <w:p w14:paraId="748545B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953" w:type="dxa"/>
            <w:tcBorders>
              <w:top w:val="nil"/>
              <w:left w:val="nil"/>
              <w:bottom w:val="single" w:color="auto" w:sz="4" w:space="0"/>
              <w:right w:val="single" w:color="auto" w:sz="4" w:space="0"/>
            </w:tcBorders>
            <w:shd w:val="clear" w:color="auto" w:fill="auto"/>
            <w:noWrap/>
            <w:vAlign w:val="bottom"/>
          </w:tcPr>
          <w:p w14:paraId="68C66DC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90" w:type="dxa"/>
            <w:tcBorders>
              <w:top w:val="nil"/>
              <w:left w:val="nil"/>
              <w:bottom w:val="single" w:color="auto" w:sz="4" w:space="0"/>
              <w:right w:val="single" w:color="auto" w:sz="4" w:space="0"/>
            </w:tcBorders>
            <w:shd w:val="clear" w:color="auto" w:fill="auto"/>
            <w:noWrap/>
            <w:vAlign w:val="center"/>
          </w:tcPr>
          <w:p w14:paraId="3EAD659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984" w:type="dxa"/>
            <w:tcBorders>
              <w:top w:val="nil"/>
              <w:left w:val="nil"/>
              <w:bottom w:val="single" w:color="auto" w:sz="4" w:space="0"/>
              <w:right w:val="single" w:color="auto" w:sz="4" w:space="0"/>
            </w:tcBorders>
            <w:shd w:val="clear" w:color="auto" w:fill="auto"/>
            <w:noWrap/>
            <w:vAlign w:val="bottom"/>
          </w:tcPr>
          <w:p w14:paraId="63F9D897">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F0F06C9">
        <w:tblPrEx>
          <w:tblCellMar>
            <w:top w:w="0" w:type="dxa"/>
            <w:left w:w="108" w:type="dxa"/>
            <w:bottom w:w="0" w:type="dxa"/>
            <w:right w:w="108" w:type="dxa"/>
          </w:tblCellMar>
        </w:tblPrEx>
        <w:trPr>
          <w:trHeight w:val="710" w:hRule="atLeast"/>
        </w:trPr>
        <w:tc>
          <w:tcPr>
            <w:tcW w:w="141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5BE169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6429B3D7">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16ABF5F4">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565" w:type="dxa"/>
            <w:tcBorders>
              <w:top w:val="single" w:color="auto" w:sz="4" w:space="0"/>
              <w:left w:val="nil"/>
              <w:bottom w:val="single" w:color="auto" w:sz="4" w:space="0"/>
              <w:right w:val="single" w:color="auto" w:sz="4" w:space="0"/>
            </w:tcBorders>
            <w:shd w:val="clear" w:color="auto" w:fill="auto"/>
            <w:vAlign w:val="center"/>
          </w:tcPr>
          <w:p w14:paraId="612557E5">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804" w:type="dxa"/>
            <w:gridSpan w:val="2"/>
            <w:tcBorders>
              <w:top w:val="single" w:color="auto" w:sz="4" w:space="0"/>
              <w:left w:val="nil"/>
              <w:bottom w:val="single" w:color="auto" w:sz="4" w:space="0"/>
              <w:right w:val="single" w:color="auto" w:sz="4" w:space="0"/>
            </w:tcBorders>
            <w:shd w:val="clear" w:color="auto" w:fill="auto"/>
            <w:noWrap/>
            <w:vAlign w:val="center"/>
          </w:tcPr>
          <w:p w14:paraId="283C065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890" w:type="dxa"/>
            <w:tcBorders>
              <w:top w:val="nil"/>
              <w:left w:val="nil"/>
              <w:bottom w:val="single" w:color="auto" w:sz="4" w:space="0"/>
              <w:right w:val="single" w:color="auto" w:sz="4" w:space="0"/>
            </w:tcBorders>
            <w:shd w:val="clear" w:color="auto" w:fill="auto"/>
            <w:noWrap/>
            <w:vAlign w:val="center"/>
          </w:tcPr>
          <w:p w14:paraId="234E54C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984" w:type="dxa"/>
            <w:tcBorders>
              <w:top w:val="nil"/>
              <w:left w:val="nil"/>
              <w:bottom w:val="single" w:color="auto" w:sz="4" w:space="0"/>
              <w:right w:val="single" w:color="auto" w:sz="4" w:space="0"/>
            </w:tcBorders>
            <w:shd w:val="clear" w:color="auto" w:fill="auto"/>
            <w:noWrap/>
            <w:vAlign w:val="bottom"/>
          </w:tcPr>
          <w:p w14:paraId="1F8C285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707EDE24">
      <w:pPr>
        <w:rPr>
          <w:rFonts w:ascii="黑体" w:hAnsi="黑体" w:eastAsia="黑体"/>
        </w:rPr>
      </w:pPr>
    </w:p>
    <w:p w14:paraId="4464DEA6">
      <w:pPr>
        <w:rPr>
          <w:rFonts w:ascii="黑体" w:hAnsi="黑体" w:eastAsia="黑体"/>
        </w:rPr>
      </w:pPr>
    </w:p>
    <w:p w14:paraId="4967C4A7">
      <w:pPr>
        <w:rPr>
          <w:rFonts w:ascii="黑体" w:hAnsi="黑体" w:eastAsia="黑体"/>
        </w:rPr>
      </w:pPr>
    </w:p>
    <w:p w14:paraId="788B8475">
      <w:pPr>
        <w:rPr>
          <w:rFonts w:ascii="黑体" w:hAnsi="黑体" w:eastAsia="黑体"/>
        </w:rPr>
      </w:pPr>
    </w:p>
    <w:p w14:paraId="050F8CF6">
      <w:pPr>
        <w:rPr>
          <w:rFonts w:ascii="黑体" w:hAnsi="黑体" w:eastAsia="黑体"/>
        </w:rPr>
      </w:pPr>
    </w:p>
    <w:p w14:paraId="274013C3">
      <w:pPr>
        <w:rPr>
          <w:rFonts w:ascii="黑体" w:hAnsi="黑体" w:eastAsia="黑体"/>
        </w:rPr>
      </w:pPr>
    </w:p>
    <w:p w14:paraId="52E809EF">
      <w:pPr>
        <w:rPr>
          <w:rFonts w:ascii="黑体" w:hAnsi="黑体" w:eastAsia="黑体"/>
        </w:rPr>
      </w:pPr>
    </w:p>
    <w:p w14:paraId="3B91A8D6">
      <w:pPr>
        <w:rPr>
          <w:rFonts w:ascii="黑体" w:hAnsi="黑体" w:eastAsia="黑体"/>
        </w:rPr>
      </w:pPr>
    </w:p>
    <w:p w14:paraId="32E31441">
      <w:pPr>
        <w:jc w:val="center"/>
        <w:rPr>
          <w:rFonts w:ascii="黑体" w:hAnsi="黑体"/>
          <w:b/>
          <w:bCs/>
          <w:sz w:val="24"/>
          <w:szCs w:val="24"/>
        </w:rPr>
      </w:pPr>
    </w:p>
    <w:p w14:paraId="519F5767">
      <w:pPr>
        <w:jc w:val="center"/>
        <w:rPr>
          <w:rFonts w:ascii="黑体" w:hAnsi="黑体"/>
          <w:b/>
          <w:bCs/>
          <w:sz w:val="24"/>
          <w:szCs w:val="24"/>
        </w:rPr>
      </w:pPr>
    </w:p>
    <w:p w14:paraId="4E20E91C">
      <w:pPr>
        <w:jc w:val="center"/>
        <w:rPr>
          <w:rFonts w:ascii="宋体" w:hAnsi="宋体"/>
          <w:b/>
          <w:bCs/>
          <w:sz w:val="24"/>
          <w:szCs w:val="24"/>
        </w:rPr>
      </w:pPr>
      <w:r>
        <w:rPr>
          <w:rFonts w:hint="eastAsia" w:ascii="宋体" w:hAnsi="宋体"/>
          <w:b/>
          <w:bCs/>
          <w:sz w:val="24"/>
          <w:szCs w:val="24"/>
        </w:rPr>
        <w:t>表B.</w:t>
      </w:r>
      <w:r>
        <w:rPr>
          <w:rFonts w:ascii="宋体" w:hAnsi="宋体"/>
          <w:b/>
          <w:bCs/>
          <w:sz w:val="24"/>
          <w:szCs w:val="24"/>
        </w:rPr>
        <w:t>4</w:t>
      </w:r>
      <w:r>
        <w:rPr>
          <w:rFonts w:hint="eastAsia" w:ascii="宋体" w:hAnsi="宋体"/>
          <w:b/>
          <w:bCs/>
          <w:sz w:val="24"/>
          <w:szCs w:val="24"/>
        </w:rPr>
        <w:t>社区居家养老服务-</w:t>
      </w:r>
      <w:r>
        <w:rPr>
          <w:rFonts w:hint="eastAsia" w:ascii="宋体" w:hAnsi="宋体" w:cs="宋体"/>
          <w:b/>
          <w:bCs/>
          <w:kern w:val="0"/>
          <w:sz w:val="30"/>
          <w:szCs w:val="30"/>
        </w:rPr>
        <w:t>精神慰藉服务</w:t>
      </w:r>
      <w:r>
        <w:rPr>
          <w:rFonts w:hint="eastAsia" w:ascii="宋体" w:hAnsi="宋体"/>
          <w:b/>
          <w:bCs/>
          <w:sz w:val="24"/>
          <w:szCs w:val="24"/>
        </w:rPr>
        <w:t>特性测评工具</w:t>
      </w:r>
    </w:p>
    <w:p w14:paraId="05CC3E05">
      <w:pPr>
        <w:jc w:val="center"/>
        <w:rPr>
          <w:rFonts w:ascii="宋体" w:hAnsi="宋体"/>
          <w:b/>
          <w:bCs/>
          <w:sz w:val="24"/>
          <w:szCs w:val="24"/>
        </w:rPr>
      </w:pPr>
    </w:p>
    <w:tbl>
      <w:tblPr>
        <w:tblStyle w:val="28"/>
        <w:tblW w:w="9634" w:type="dxa"/>
        <w:tblInd w:w="-289" w:type="dxa"/>
        <w:tblLayout w:type="autofit"/>
        <w:tblCellMar>
          <w:top w:w="0" w:type="dxa"/>
          <w:left w:w="108" w:type="dxa"/>
          <w:bottom w:w="0" w:type="dxa"/>
          <w:right w:w="108" w:type="dxa"/>
        </w:tblCellMar>
      </w:tblPr>
      <w:tblGrid>
        <w:gridCol w:w="562"/>
        <w:gridCol w:w="1046"/>
        <w:gridCol w:w="2080"/>
        <w:gridCol w:w="1040"/>
        <w:gridCol w:w="937"/>
        <w:gridCol w:w="851"/>
        <w:gridCol w:w="709"/>
        <w:gridCol w:w="1040"/>
        <w:gridCol w:w="1369"/>
      </w:tblGrid>
      <w:tr w14:paraId="2A79F8E8">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380D0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1046" w:type="dxa"/>
            <w:tcBorders>
              <w:top w:val="single" w:color="auto" w:sz="4" w:space="0"/>
              <w:left w:val="nil"/>
              <w:bottom w:val="single" w:color="auto" w:sz="4" w:space="0"/>
              <w:right w:val="single" w:color="auto" w:sz="4" w:space="0"/>
            </w:tcBorders>
            <w:shd w:val="clear" w:color="auto" w:fill="auto"/>
            <w:vAlign w:val="center"/>
          </w:tcPr>
          <w:p w14:paraId="230D39BB">
            <w:pPr>
              <w:widowControl/>
              <w:adjustRightInd/>
              <w:spacing w:line="240" w:lineRule="auto"/>
              <w:ind w:right="-50" w:rightChars="-24"/>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评价项目 （分值）</w:t>
            </w:r>
          </w:p>
        </w:tc>
        <w:tc>
          <w:tcPr>
            <w:tcW w:w="4057" w:type="dxa"/>
            <w:gridSpan w:val="3"/>
            <w:tcBorders>
              <w:top w:val="single" w:color="auto" w:sz="4" w:space="0"/>
              <w:left w:val="nil"/>
              <w:bottom w:val="single" w:color="auto" w:sz="4" w:space="0"/>
              <w:right w:val="single" w:color="auto" w:sz="4" w:space="0"/>
            </w:tcBorders>
            <w:shd w:val="clear" w:color="auto" w:fill="auto"/>
            <w:noWrap/>
            <w:vAlign w:val="center"/>
          </w:tcPr>
          <w:p w14:paraId="4EEFC63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1" w:type="dxa"/>
            <w:tcBorders>
              <w:top w:val="single" w:color="auto" w:sz="4" w:space="0"/>
              <w:left w:val="nil"/>
              <w:bottom w:val="single" w:color="auto" w:sz="4" w:space="0"/>
              <w:right w:val="single" w:color="auto" w:sz="4" w:space="0"/>
            </w:tcBorders>
            <w:shd w:val="clear" w:color="auto" w:fill="auto"/>
            <w:vAlign w:val="center"/>
          </w:tcPr>
          <w:p w14:paraId="7ECC3EB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709" w:type="dxa"/>
            <w:tcBorders>
              <w:top w:val="single" w:color="auto" w:sz="4" w:space="0"/>
              <w:left w:val="nil"/>
              <w:bottom w:val="single" w:color="auto" w:sz="4" w:space="0"/>
              <w:right w:val="single" w:color="auto" w:sz="4" w:space="0"/>
            </w:tcBorders>
            <w:shd w:val="clear" w:color="auto" w:fill="auto"/>
            <w:vAlign w:val="center"/>
          </w:tcPr>
          <w:p w14:paraId="15B06B0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1040" w:type="dxa"/>
            <w:tcBorders>
              <w:top w:val="single" w:color="auto" w:sz="4" w:space="0"/>
              <w:left w:val="nil"/>
              <w:bottom w:val="single" w:color="auto" w:sz="4" w:space="0"/>
              <w:right w:val="single" w:color="auto" w:sz="4" w:space="0"/>
            </w:tcBorders>
            <w:shd w:val="clear" w:color="auto" w:fill="auto"/>
            <w:vAlign w:val="center"/>
          </w:tcPr>
          <w:p w14:paraId="74FBC44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1369" w:type="dxa"/>
            <w:tcBorders>
              <w:top w:val="single" w:color="auto" w:sz="4" w:space="0"/>
              <w:left w:val="nil"/>
              <w:bottom w:val="single" w:color="auto" w:sz="4" w:space="0"/>
              <w:right w:val="single" w:color="auto" w:sz="4" w:space="0"/>
            </w:tcBorders>
            <w:shd w:val="clear" w:color="auto" w:fill="auto"/>
            <w:vAlign w:val="center"/>
          </w:tcPr>
          <w:p w14:paraId="535B2B93">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79580353">
        <w:tblPrEx>
          <w:tblCellMar>
            <w:top w:w="0" w:type="dxa"/>
            <w:left w:w="108" w:type="dxa"/>
            <w:bottom w:w="0" w:type="dxa"/>
            <w:right w:w="108" w:type="dxa"/>
          </w:tblCellMar>
        </w:tblPrEx>
        <w:trPr>
          <w:trHeight w:val="630" w:hRule="atLeast"/>
        </w:trPr>
        <w:tc>
          <w:tcPr>
            <w:tcW w:w="9634"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5A1F7A26">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4 精神慰藉服务（100分）</w:t>
            </w:r>
          </w:p>
        </w:tc>
      </w:tr>
      <w:tr w14:paraId="71051E6B">
        <w:tblPrEx>
          <w:tblCellMar>
            <w:top w:w="0" w:type="dxa"/>
            <w:left w:w="108" w:type="dxa"/>
            <w:bottom w:w="0" w:type="dxa"/>
            <w:right w:w="108" w:type="dxa"/>
          </w:tblCellMar>
        </w:tblPrEx>
        <w:trPr>
          <w:trHeight w:val="144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6C48DC2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1046" w:type="dxa"/>
            <w:tcBorders>
              <w:top w:val="nil"/>
              <w:left w:val="nil"/>
              <w:bottom w:val="single" w:color="auto" w:sz="4" w:space="0"/>
              <w:right w:val="single" w:color="auto" w:sz="4" w:space="0"/>
            </w:tcBorders>
            <w:shd w:val="clear" w:color="auto" w:fill="auto"/>
            <w:vAlign w:val="center"/>
          </w:tcPr>
          <w:p w14:paraId="64D1AAD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057" w:type="dxa"/>
            <w:gridSpan w:val="3"/>
            <w:tcBorders>
              <w:top w:val="single" w:color="auto" w:sz="4" w:space="0"/>
              <w:left w:val="nil"/>
              <w:bottom w:val="single" w:color="auto" w:sz="4" w:space="0"/>
              <w:right w:val="single" w:color="auto" w:sz="4" w:space="0"/>
            </w:tcBorders>
            <w:shd w:val="clear" w:color="auto" w:fill="auto"/>
            <w:vAlign w:val="center"/>
          </w:tcPr>
          <w:p w14:paraId="0C326AD5">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根据老年人需求提供多种形式的精神慰藉服务，包括但不限于：</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——陪伴支持,定期协助有意愿的老年人外出活动或前往服务机构参加集体活动等; </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——情绪疏导,与老年人进行谈心、交流,耐心倾听老年人的诉说;</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——心理慰藉,通过心理健康教育、心理干预手段调整老年人心理状态</w:t>
            </w:r>
          </w:p>
        </w:tc>
        <w:tc>
          <w:tcPr>
            <w:tcW w:w="851" w:type="dxa"/>
            <w:tcBorders>
              <w:top w:val="nil"/>
              <w:left w:val="nil"/>
              <w:bottom w:val="single" w:color="auto" w:sz="4" w:space="0"/>
              <w:right w:val="single" w:color="auto" w:sz="4" w:space="0"/>
            </w:tcBorders>
            <w:shd w:val="clear" w:color="auto" w:fill="auto"/>
            <w:noWrap/>
            <w:vAlign w:val="center"/>
          </w:tcPr>
          <w:p w14:paraId="3F8C879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709" w:type="dxa"/>
            <w:tcBorders>
              <w:top w:val="nil"/>
              <w:left w:val="nil"/>
              <w:bottom w:val="single" w:color="auto" w:sz="4" w:space="0"/>
              <w:right w:val="single" w:color="auto" w:sz="4" w:space="0"/>
            </w:tcBorders>
            <w:shd w:val="clear" w:color="auto" w:fill="auto"/>
            <w:noWrap/>
            <w:vAlign w:val="center"/>
          </w:tcPr>
          <w:p w14:paraId="23D84EC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7B8D133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69" w:type="dxa"/>
            <w:tcBorders>
              <w:top w:val="nil"/>
              <w:left w:val="nil"/>
              <w:bottom w:val="single" w:color="auto" w:sz="4" w:space="0"/>
              <w:right w:val="single" w:color="auto" w:sz="4" w:space="0"/>
            </w:tcBorders>
            <w:shd w:val="clear" w:color="auto" w:fill="auto"/>
            <w:noWrap/>
            <w:vAlign w:val="center"/>
          </w:tcPr>
          <w:p w14:paraId="712123E7">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r>
      <w:tr w14:paraId="17926871">
        <w:tblPrEx>
          <w:tblCellMar>
            <w:top w:w="0" w:type="dxa"/>
            <w:left w:w="108" w:type="dxa"/>
            <w:bottom w:w="0" w:type="dxa"/>
            <w:right w:w="108" w:type="dxa"/>
          </w:tblCellMar>
        </w:tblPrEx>
        <w:trPr>
          <w:trHeight w:val="117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109B442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1046" w:type="dxa"/>
            <w:vMerge w:val="restart"/>
            <w:tcBorders>
              <w:top w:val="nil"/>
              <w:left w:val="single" w:color="auto" w:sz="4" w:space="0"/>
              <w:bottom w:val="single" w:color="000000" w:sz="4" w:space="0"/>
              <w:right w:val="single" w:color="auto" w:sz="4" w:space="0"/>
            </w:tcBorders>
            <w:shd w:val="clear" w:color="auto" w:fill="auto"/>
            <w:vAlign w:val="center"/>
          </w:tcPr>
          <w:p w14:paraId="027729E9">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服务要求</w:t>
            </w:r>
          </w:p>
        </w:tc>
        <w:tc>
          <w:tcPr>
            <w:tcW w:w="4057" w:type="dxa"/>
            <w:gridSpan w:val="3"/>
            <w:tcBorders>
              <w:top w:val="single" w:color="auto" w:sz="4" w:space="0"/>
              <w:left w:val="nil"/>
              <w:bottom w:val="single" w:color="auto" w:sz="4" w:space="0"/>
              <w:right w:val="single" w:color="auto" w:sz="4" w:space="0"/>
            </w:tcBorders>
            <w:shd w:val="clear" w:color="auto" w:fill="auto"/>
            <w:vAlign w:val="center"/>
          </w:tcPr>
          <w:p w14:paraId="4A0C375F">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服务实施前，应借助专业筛查工具如认知障碍检测量表等专业工具，充分了解服务对象状况，制定特定的服务方案。</w:t>
            </w:r>
            <w:r>
              <w:rPr>
                <w:rFonts w:hint="eastAsia" w:ascii="等线" w:hAnsi="等线" w:eastAsia="等线" w:cs="宋体"/>
                <w:kern w:val="0"/>
                <w:sz w:val="18"/>
                <w:szCs w:val="18"/>
              </w:rPr>
              <w:br w:type="textWrapping"/>
            </w:r>
            <w:r>
              <w:rPr>
                <w:rFonts w:hint="eastAsia" w:ascii="等线" w:hAnsi="等线" w:eastAsia="等线" w:cs="宋体"/>
                <w:kern w:val="0"/>
                <w:sz w:val="18"/>
                <w:szCs w:val="18"/>
              </w:rPr>
              <w:t>养老护理员应充分掌握服务对象的心理变化，满足老人心理需要，促进老人心理健康。</w:t>
            </w:r>
          </w:p>
        </w:tc>
        <w:tc>
          <w:tcPr>
            <w:tcW w:w="851" w:type="dxa"/>
            <w:tcBorders>
              <w:top w:val="nil"/>
              <w:left w:val="nil"/>
              <w:bottom w:val="single" w:color="auto" w:sz="4" w:space="0"/>
              <w:right w:val="single" w:color="auto" w:sz="4" w:space="0"/>
            </w:tcBorders>
            <w:shd w:val="clear" w:color="auto" w:fill="auto"/>
            <w:noWrap/>
            <w:vAlign w:val="center"/>
          </w:tcPr>
          <w:p w14:paraId="563131AA">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30</w:t>
            </w:r>
          </w:p>
        </w:tc>
        <w:tc>
          <w:tcPr>
            <w:tcW w:w="709" w:type="dxa"/>
            <w:tcBorders>
              <w:top w:val="nil"/>
              <w:left w:val="nil"/>
              <w:bottom w:val="single" w:color="auto" w:sz="4" w:space="0"/>
              <w:right w:val="single" w:color="auto" w:sz="4" w:space="0"/>
            </w:tcBorders>
            <w:shd w:val="clear" w:color="auto" w:fill="auto"/>
            <w:noWrap/>
            <w:vAlign w:val="center"/>
          </w:tcPr>
          <w:p w14:paraId="2096DD7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642461D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69" w:type="dxa"/>
            <w:tcBorders>
              <w:top w:val="nil"/>
              <w:left w:val="nil"/>
              <w:bottom w:val="single" w:color="auto" w:sz="4" w:space="0"/>
              <w:right w:val="single" w:color="auto" w:sz="4" w:space="0"/>
            </w:tcBorders>
            <w:shd w:val="clear" w:color="auto" w:fill="auto"/>
            <w:noWrap/>
            <w:vAlign w:val="bottom"/>
          </w:tcPr>
          <w:p w14:paraId="0BF9AF15">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C6453D5">
        <w:tblPrEx>
          <w:tblCellMar>
            <w:top w:w="0" w:type="dxa"/>
            <w:left w:w="108" w:type="dxa"/>
            <w:bottom w:w="0" w:type="dxa"/>
            <w:right w:w="108" w:type="dxa"/>
          </w:tblCellMar>
        </w:tblPrEx>
        <w:trPr>
          <w:trHeight w:val="67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554961A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1046" w:type="dxa"/>
            <w:vMerge w:val="continue"/>
            <w:tcBorders>
              <w:top w:val="nil"/>
              <w:left w:val="single" w:color="auto" w:sz="4" w:space="0"/>
              <w:bottom w:val="single" w:color="000000" w:sz="4" w:space="0"/>
              <w:right w:val="single" w:color="auto" w:sz="4" w:space="0"/>
            </w:tcBorders>
            <w:shd w:val="clear" w:color="auto" w:fill="auto"/>
            <w:vAlign w:val="center"/>
          </w:tcPr>
          <w:p w14:paraId="7E89F313">
            <w:pPr>
              <w:widowControl/>
              <w:adjustRightInd/>
              <w:spacing w:line="240" w:lineRule="auto"/>
              <w:jc w:val="left"/>
              <w:rPr>
                <w:rFonts w:ascii="等线" w:hAnsi="等线" w:eastAsia="等线" w:cs="宋体"/>
                <w:kern w:val="0"/>
                <w:sz w:val="22"/>
                <w:szCs w:val="22"/>
              </w:rPr>
            </w:pPr>
          </w:p>
        </w:tc>
        <w:tc>
          <w:tcPr>
            <w:tcW w:w="4057" w:type="dxa"/>
            <w:gridSpan w:val="3"/>
            <w:tcBorders>
              <w:top w:val="single" w:color="auto" w:sz="4" w:space="0"/>
              <w:left w:val="nil"/>
              <w:bottom w:val="single" w:color="auto" w:sz="4" w:space="0"/>
              <w:right w:val="single" w:color="auto" w:sz="4" w:space="0"/>
            </w:tcBorders>
            <w:shd w:val="clear" w:color="auto" w:fill="auto"/>
            <w:vAlign w:val="center"/>
          </w:tcPr>
          <w:p w14:paraId="02AC7960">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养老护理员应充分掌握服务对象的心理变化，满足老人心理需要，促进老人心理健康。</w:t>
            </w:r>
          </w:p>
        </w:tc>
        <w:tc>
          <w:tcPr>
            <w:tcW w:w="851" w:type="dxa"/>
            <w:tcBorders>
              <w:top w:val="nil"/>
              <w:left w:val="nil"/>
              <w:bottom w:val="single" w:color="auto" w:sz="4" w:space="0"/>
              <w:right w:val="single" w:color="auto" w:sz="4" w:space="0"/>
            </w:tcBorders>
            <w:shd w:val="clear" w:color="auto" w:fill="auto"/>
            <w:noWrap/>
            <w:vAlign w:val="center"/>
          </w:tcPr>
          <w:p w14:paraId="052D17DF">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30</w:t>
            </w:r>
          </w:p>
        </w:tc>
        <w:tc>
          <w:tcPr>
            <w:tcW w:w="709" w:type="dxa"/>
            <w:tcBorders>
              <w:top w:val="nil"/>
              <w:left w:val="nil"/>
              <w:bottom w:val="single" w:color="auto" w:sz="4" w:space="0"/>
              <w:right w:val="single" w:color="auto" w:sz="4" w:space="0"/>
            </w:tcBorders>
            <w:shd w:val="clear" w:color="auto" w:fill="auto"/>
            <w:noWrap/>
            <w:vAlign w:val="center"/>
          </w:tcPr>
          <w:p w14:paraId="1311229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048F66C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69" w:type="dxa"/>
            <w:tcBorders>
              <w:top w:val="nil"/>
              <w:left w:val="nil"/>
              <w:bottom w:val="single" w:color="auto" w:sz="4" w:space="0"/>
              <w:right w:val="single" w:color="auto" w:sz="4" w:space="0"/>
            </w:tcBorders>
            <w:shd w:val="clear" w:color="auto" w:fill="auto"/>
            <w:noWrap/>
            <w:vAlign w:val="bottom"/>
          </w:tcPr>
          <w:p w14:paraId="458600ED">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8339212">
        <w:tblPrEx>
          <w:tblCellMar>
            <w:top w:w="0" w:type="dxa"/>
            <w:left w:w="108" w:type="dxa"/>
            <w:bottom w:w="0" w:type="dxa"/>
            <w:right w:w="108" w:type="dxa"/>
          </w:tblCellMar>
        </w:tblPrEx>
        <w:trPr>
          <w:trHeight w:val="67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54A8EE0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1046" w:type="dxa"/>
            <w:vMerge w:val="continue"/>
            <w:tcBorders>
              <w:top w:val="nil"/>
              <w:left w:val="single" w:color="auto" w:sz="4" w:space="0"/>
              <w:bottom w:val="single" w:color="000000" w:sz="4" w:space="0"/>
              <w:right w:val="single" w:color="auto" w:sz="4" w:space="0"/>
            </w:tcBorders>
            <w:shd w:val="clear" w:color="auto" w:fill="auto"/>
            <w:vAlign w:val="center"/>
          </w:tcPr>
          <w:p w14:paraId="35EE6FE6">
            <w:pPr>
              <w:widowControl/>
              <w:adjustRightInd/>
              <w:spacing w:line="240" w:lineRule="auto"/>
              <w:jc w:val="left"/>
              <w:rPr>
                <w:rFonts w:ascii="等线" w:hAnsi="等线" w:eastAsia="等线" w:cs="宋体"/>
                <w:kern w:val="0"/>
                <w:sz w:val="22"/>
                <w:szCs w:val="22"/>
              </w:rPr>
            </w:pPr>
          </w:p>
        </w:tc>
        <w:tc>
          <w:tcPr>
            <w:tcW w:w="4057" w:type="dxa"/>
            <w:gridSpan w:val="3"/>
            <w:tcBorders>
              <w:top w:val="single" w:color="auto" w:sz="4" w:space="0"/>
              <w:left w:val="nil"/>
              <w:bottom w:val="single" w:color="auto" w:sz="4" w:space="0"/>
              <w:right w:val="single" w:color="auto" w:sz="4" w:space="0"/>
            </w:tcBorders>
            <w:shd w:val="clear" w:color="auto" w:fill="auto"/>
            <w:vAlign w:val="center"/>
          </w:tcPr>
          <w:p w14:paraId="2CB2E1ED">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养老护理员应注意保护服务对象的隐私权，不得向无关人员透露服务对象的谈话内容和精神状态。</w:t>
            </w:r>
          </w:p>
        </w:tc>
        <w:tc>
          <w:tcPr>
            <w:tcW w:w="851" w:type="dxa"/>
            <w:tcBorders>
              <w:top w:val="nil"/>
              <w:left w:val="nil"/>
              <w:bottom w:val="single" w:color="auto" w:sz="4" w:space="0"/>
              <w:right w:val="single" w:color="auto" w:sz="4" w:space="0"/>
            </w:tcBorders>
            <w:shd w:val="clear" w:color="auto" w:fill="auto"/>
            <w:noWrap/>
            <w:vAlign w:val="center"/>
          </w:tcPr>
          <w:p w14:paraId="5FC85E49">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10</w:t>
            </w:r>
          </w:p>
        </w:tc>
        <w:tc>
          <w:tcPr>
            <w:tcW w:w="709" w:type="dxa"/>
            <w:tcBorders>
              <w:top w:val="nil"/>
              <w:left w:val="nil"/>
              <w:bottom w:val="single" w:color="auto" w:sz="4" w:space="0"/>
              <w:right w:val="single" w:color="auto" w:sz="4" w:space="0"/>
            </w:tcBorders>
            <w:shd w:val="clear" w:color="auto" w:fill="auto"/>
            <w:noWrap/>
            <w:vAlign w:val="center"/>
          </w:tcPr>
          <w:p w14:paraId="69142D3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262C364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69" w:type="dxa"/>
            <w:tcBorders>
              <w:top w:val="nil"/>
              <w:left w:val="nil"/>
              <w:bottom w:val="single" w:color="auto" w:sz="4" w:space="0"/>
              <w:right w:val="single" w:color="auto" w:sz="4" w:space="0"/>
            </w:tcBorders>
            <w:shd w:val="clear" w:color="auto" w:fill="auto"/>
            <w:noWrap/>
            <w:vAlign w:val="bottom"/>
          </w:tcPr>
          <w:p w14:paraId="152822E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9D9080B">
        <w:tblPrEx>
          <w:tblCellMar>
            <w:top w:w="0" w:type="dxa"/>
            <w:left w:w="108" w:type="dxa"/>
            <w:bottom w:w="0" w:type="dxa"/>
            <w:right w:w="108" w:type="dxa"/>
          </w:tblCellMar>
        </w:tblPrEx>
        <w:trPr>
          <w:trHeight w:val="67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6B1F861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1046" w:type="dxa"/>
            <w:vMerge w:val="continue"/>
            <w:tcBorders>
              <w:top w:val="nil"/>
              <w:left w:val="single" w:color="auto" w:sz="4" w:space="0"/>
              <w:bottom w:val="single" w:color="000000" w:sz="4" w:space="0"/>
              <w:right w:val="single" w:color="auto" w:sz="4" w:space="0"/>
            </w:tcBorders>
            <w:shd w:val="clear" w:color="auto" w:fill="auto"/>
            <w:vAlign w:val="center"/>
          </w:tcPr>
          <w:p w14:paraId="3D04657F">
            <w:pPr>
              <w:widowControl/>
              <w:adjustRightInd/>
              <w:spacing w:line="240" w:lineRule="auto"/>
              <w:jc w:val="left"/>
              <w:rPr>
                <w:rFonts w:ascii="等线" w:hAnsi="等线" w:eastAsia="等线" w:cs="宋体"/>
                <w:kern w:val="0"/>
                <w:sz w:val="22"/>
                <w:szCs w:val="22"/>
              </w:rPr>
            </w:pPr>
          </w:p>
        </w:tc>
        <w:tc>
          <w:tcPr>
            <w:tcW w:w="4057" w:type="dxa"/>
            <w:gridSpan w:val="3"/>
            <w:tcBorders>
              <w:top w:val="single" w:color="auto" w:sz="4" w:space="0"/>
              <w:left w:val="nil"/>
              <w:bottom w:val="single" w:color="auto" w:sz="4" w:space="0"/>
              <w:right w:val="single" w:color="auto" w:sz="4" w:space="0"/>
            </w:tcBorders>
            <w:shd w:val="clear" w:color="auto" w:fill="auto"/>
            <w:vAlign w:val="center"/>
          </w:tcPr>
          <w:p w14:paraId="75B91A91">
            <w:pPr>
              <w:widowControl/>
              <w:adjustRightInd/>
              <w:spacing w:line="240" w:lineRule="auto"/>
              <w:jc w:val="left"/>
              <w:rPr>
                <w:rFonts w:ascii="等线" w:hAnsi="等线" w:eastAsia="等线" w:cs="宋体"/>
                <w:kern w:val="0"/>
                <w:sz w:val="18"/>
                <w:szCs w:val="18"/>
              </w:rPr>
            </w:pPr>
            <w:r>
              <w:rPr>
                <w:rFonts w:hint="eastAsia" w:ascii="等线" w:hAnsi="等线" w:eastAsia="等线" w:cs="宋体"/>
                <w:kern w:val="0"/>
                <w:sz w:val="18"/>
                <w:szCs w:val="18"/>
              </w:rPr>
              <w:t>养老护理员应有危机处理意识，必要时应立即寻求心理咨询师、医护人员的专业支持或转介专业机构提供服务。</w:t>
            </w:r>
          </w:p>
        </w:tc>
        <w:tc>
          <w:tcPr>
            <w:tcW w:w="851" w:type="dxa"/>
            <w:tcBorders>
              <w:top w:val="nil"/>
              <w:left w:val="nil"/>
              <w:bottom w:val="single" w:color="auto" w:sz="4" w:space="0"/>
              <w:right w:val="single" w:color="auto" w:sz="4" w:space="0"/>
            </w:tcBorders>
            <w:shd w:val="clear" w:color="auto" w:fill="auto"/>
            <w:noWrap/>
            <w:vAlign w:val="center"/>
          </w:tcPr>
          <w:p w14:paraId="6B0A2182">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10</w:t>
            </w:r>
          </w:p>
        </w:tc>
        <w:tc>
          <w:tcPr>
            <w:tcW w:w="709" w:type="dxa"/>
            <w:tcBorders>
              <w:top w:val="nil"/>
              <w:left w:val="nil"/>
              <w:bottom w:val="single" w:color="auto" w:sz="4" w:space="0"/>
              <w:right w:val="single" w:color="auto" w:sz="4" w:space="0"/>
            </w:tcBorders>
            <w:shd w:val="clear" w:color="auto" w:fill="auto"/>
            <w:noWrap/>
            <w:vAlign w:val="center"/>
          </w:tcPr>
          <w:p w14:paraId="0AE6550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center"/>
          </w:tcPr>
          <w:p w14:paraId="0FC0370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69" w:type="dxa"/>
            <w:tcBorders>
              <w:top w:val="nil"/>
              <w:left w:val="nil"/>
              <w:bottom w:val="single" w:color="auto" w:sz="4" w:space="0"/>
              <w:right w:val="single" w:color="auto" w:sz="4" w:space="0"/>
            </w:tcBorders>
            <w:shd w:val="clear" w:color="auto" w:fill="auto"/>
            <w:noWrap/>
            <w:vAlign w:val="bottom"/>
          </w:tcPr>
          <w:p w14:paraId="2C84F37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3138FB9">
        <w:tblPrEx>
          <w:tblCellMar>
            <w:top w:w="0" w:type="dxa"/>
            <w:left w:w="108" w:type="dxa"/>
            <w:bottom w:w="0" w:type="dxa"/>
            <w:right w:w="108" w:type="dxa"/>
          </w:tblCellMar>
        </w:tblPrEx>
        <w:trPr>
          <w:trHeight w:val="54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D7AC28B">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103" w:type="dxa"/>
            <w:gridSpan w:val="4"/>
            <w:tcBorders>
              <w:top w:val="single" w:color="auto" w:sz="4" w:space="0"/>
              <w:left w:val="nil"/>
              <w:bottom w:val="single" w:color="auto" w:sz="4" w:space="0"/>
              <w:right w:val="single" w:color="auto" w:sz="4" w:space="0"/>
            </w:tcBorders>
            <w:shd w:val="clear" w:color="auto" w:fill="auto"/>
            <w:noWrap/>
            <w:vAlign w:val="center"/>
          </w:tcPr>
          <w:p w14:paraId="58D305A2">
            <w:pPr>
              <w:widowControl/>
              <w:adjustRightInd/>
              <w:spacing w:line="240" w:lineRule="auto"/>
              <w:jc w:val="right"/>
              <w:rPr>
                <w:rFonts w:ascii="等线" w:hAnsi="等线" w:eastAsia="等线" w:cs="宋体"/>
                <w:kern w:val="0"/>
                <w:sz w:val="22"/>
                <w:szCs w:val="22"/>
              </w:rPr>
            </w:pPr>
            <w:r>
              <w:rPr>
                <w:rFonts w:hint="eastAsia" w:ascii="等线" w:hAnsi="等线" w:eastAsia="等线" w:cs="宋体"/>
                <w:kern w:val="0"/>
                <w:sz w:val="22"/>
                <w:szCs w:val="22"/>
              </w:rPr>
              <w:t>总分</w:t>
            </w:r>
          </w:p>
        </w:tc>
        <w:tc>
          <w:tcPr>
            <w:tcW w:w="851" w:type="dxa"/>
            <w:tcBorders>
              <w:top w:val="nil"/>
              <w:left w:val="nil"/>
              <w:bottom w:val="single" w:color="auto" w:sz="4" w:space="0"/>
              <w:right w:val="single" w:color="auto" w:sz="4" w:space="0"/>
            </w:tcBorders>
            <w:shd w:val="clear" w:color="auto" w:fill="auto"/>
            <w:noWrap/>
            <w:vAlign w:val="center"/>
          </w:tcPr>
          <w:p w14:paraId="11FD1C1D">
            <w:pPr>
              <w:widowControl/>
              <w:adjustRightInd/>
              <w:spacing w:line="240" w:lineRule="auto"/>
              <w:jc w:val="center"/>
              <w:rPr>
                <w:rFonts w:ascii="等线" w:hAnsi="等线" w:eastAsia="等线" w:cs="宋体"/>
                <w:kern w:val="0"/>
                <w:sz w:val="22"/>
                <w:szCs w:val="22"/>
              </w:rPr>
            </w:pPr>
            <w:r>
              <w:rPr>
                <w:rFonts w:hint="eastAsia" w:ascii="等线" w:hAnsi="等线" w:eastAsia="等线" w:cs="宋体"/>
                <w:kern w:val="0"/>
                <w:sz w:val="22"/>
                <w:szCs w:val="22"/>
              </w:rPr>
              <w:t>100</w:t>
            </w:r>
          </w:p>
        </w:tc>
        <w:tc>
          <w:tcPr>
            <w:tcW w:w="709" w:type="dxa"/>
            <w:tcBorders>
              <w:top w:val="nil"/>
              <w:left w:val="nil"/>
              <w:bottom w:val="single" w:color="auto" w:sz="4" w:space="0"/>
              <w:right w:val="single" w:color="auto" w:sz="4" w:space="0"/>
            </w:tcBorders>
            <w:shd w:val="clear" w:color="auto" w:fill="auto"/>
            <w:noWrap/>
            <w:vAlign w:val="bottom"/>
          </w:tcPr>
          <w:p w14:paraId="51CF684D">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040" w:type="dxa"/>
            <w:tcBorders>
              <w:top w:val="nil"/>
              <w:left w:val="nil"/>
              <w:bottom w:val="single" w:color="auto" w:sz="4" w:space="0"/>
              <w:right w:val="single" w:color="auto" w:sz="4" w:space="0"/>
            </w:tcBorders>
            <w:shd w:val="clear" w:color="auto" w:fill="auto"/>
            <w:noWrap/>
            <w:vAlign w:val="bottom"/>
          </w:tcPr>
          <w:p w14:paraId="35D0B46D">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69" w:type="dxa"/>
            <w:tcBorders>
              <w:top w:val="nil"/>
              <w:left w:val="nil"/>
              <w:bottom w:val="single" w:color="auto" w:sz="4" w:space="0"/>
              <w:right w:val="single" w:color="auto" w:sz="4" w:space="0"/>
            </w:tcBorders>
            <w:shd w:val="clear" w:color="auto" w:fill="auto"/>
            <w:noWrap/>
            <w:vAlign w:val="bottom"/>
          </w:tcPr>
          <w:p w14:paraId="0690CAD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EC34DDD">
        <w:tblPrEx>
          <w:tblCellMar>
            <w:top w:w="0" w:type="dxa"/>
            <w:left w:w="108" w:type="dxa"/>
            <w:bottom w:w="0" w:type="dxa"/>
            <w:right w:w="108" w:type="dxa"/>
          </w:tblCellMar>
        </w:tblPrEx>
        <w:trPr>
          <w:trHeight w:val="540" w:hRule="atLeast"/>
        </w:trPr>
        <w:tc>
          <w:tcPr>
            <w:tcW w:w="160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C5929C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09FAB066">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16C9B371">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937" w:type="dxa"/>
            <w:tcBorders>
              <w:top w:val="single" w:color="auto" w:sz="4" w:space="0"/>
              <w:left w:val="nil"/>
              <w:bottom w:val="single" w:color="auto" w:sz="4" w:space="0"/>
              <w:right w:val="single" w:color="auto" w:sz="4" w:space="0"/>
            </w:tcBorders>
            <w:shd w:val="clear" w:color="auto" w:fill="auto"/>
            <w:vAlign w:val="center"/>
          </w:tcPr>
          <w:p w14:paraId="1B32220F">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560" w:type="dxa"/>
            <w:gridSpan w:val="2"/>
            <w:tcBorders>
              <w:top w:val="single" w:color="auto" w:sz="4" w:space="0"/>
              <w:left w:val="nil"/>
              <w:bottom w:val="single" w:color="auto" w:sz="4" w:space="0"/>
              <w:right w:val="single" w:color="auto" w:sz="4" w:space="0"/>
            </w:tcBorders>
            <w:shd w:val="clear" w:color="auto" w:fill="auto"/>
            <w:noWrap/>
            <w:vAlign w:val="center"/>
          </w:tcPr>
          <w:p w14:paraId="6C60E48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1040" w:type="dxa"/>
            <w:tcBorders>
              <w:top w:val="nil"/>
              <w:left w:val="nil"/>
              <w:bottom w:val="single" w:color="auto" w:sz="4" w:space="0"/>
              <w:right w:val="single" w:color="auto" w:sz="4" w:space="0"/>
            </w:tcBorders>
            <w:shd w:val="clear" w:color="auto" w:fill="auto"/>
            <w:noWrap/>
            <w:vAlign w:val="center"/>
          </w:tcPr>
          <w:p w14:paraId="66729C9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369" w:type="dxa"/>
            <w:tcBorders>
              <w:top w:val="nil"/>
              <w:left w:val="nil"/>
              <w:bottom w:val="single" w:color="auto" w:sz="4" w:space="0"/>
              <w:right w:val="single" w:color="auto" w:sz="4" w:space="0"/>
            </w:tcBorders>
            <w:shd w:val="clear" w:color="auto" w:fill="auto"/>
            <w:noWrap/>
            <w:vAlign w:val="bottom"/>
          </w:tcPr>
          <w:p w14:paraId="0715F690">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20DC5E2B">
      <w:pPr>
        <w:rPr>
          <w:rFonts w:ascii="黑体" w:hAnsi="黑体" w:eastAsia="黑体"/>
        </w:rPr>
      </w:pPr>
    </w:p>
    <w:p w14:paraId="515F341E">
      <w:pPr>
        <w:rPr>
          <w:rFonts w:ascii="黑体" w:hAnsi="黑体" w:eastAsia="黑体"/>
        </w:rPr>
      </w:pPr>
    </w:p>
    <w:p w14:paraId="3E1D44A9">
      <w:pPr>
        <w:jc w:val="center"/>
        <w:rPr>
          <w:rFonts w:ascii="黑体" w:hAnsi="黑体"/>
          <w:b/>
          <w:bCs/>
          <w:sz w:val="24"/>
          <w:szCs w:val="24"/>
        </w:rPr>
      </w:pPr>
    </w:p>
    <w:p w14:paraId="536B34F8">
      <w:pPr>
        <w:jc w:val="center"/>
        <w:rPr>
          <w:rFonts w:ascii="黑体" w:hAnsi="黑体"/>
          <w:b/>
          <w:bCs/>
          <w:sz w:val="24"/>
          <w:szCs w:val="24"/>
        </w:rPr>
      </w:pPr>
    </w:p>
    <w:p w14:paraId="342D454D">
      <w:pPr>
        <w:jc w:val="center"/>
        <w:rPr>
          <w:rFonts w:ascii="黑体" w:hAnsi="黑体"/>
          <w:b/>
          <w:bCs/>
          <w:sz w:val="24"/>
          <w:szCs w:val="24"/>
        </w:rPr>
      </w:pPr>
    </w:p>
    <w:p w14:paraId="3DB0435C">
      <w:pPr>
        <w:jc w:val="center"/>
        <w:rPr>
          <w:rFonts w:ascii="黑体" w:hAnsi="黑体"/>
          <w:b/>
          <w:bCs/>
          <w:sz w:val="24"/>
          <w:szCs w:val="24"/>
        </w:rPr>
      </w:pPr>
    </w:p>
    <w:p w14:paraId="2392CA58">
      <w:pPr>
        <w:jc w:val="center"/>
        <w:rPr>
          <w:rFonts w:ascii="黑体" w:hAnsi="黑体"/>
          <w:b/>
          <w:bCs/>
          <w:sz w:val="24"/>
          <w:szCs w:val="24"/>
        </w:rPr>
      </w:pPr>
    </w:p>
    <w:p w14:paraId="454D026A">
      <w:pPr>
        <w:jc w:val="center"/>
        <w:rPr>
          <w:rFonts w:ascii="黑体" w:hAnsi="黑体"/>
          <w:b/>
          <w:bCs/>
          <w:sz w:val="24"/>
          <w:szCs w:val="24"/>
        </w:rPr>
      </w:pPr>
    </w:p>
    <w:p w14:paraId="37E38340">
      <w:pPr>
        <w:jc w:val="center"/>
        <w:rPr>
          <w:rFonts w:ascii="黑体" w:hAnsi="黑体"/>
          <w:b/>
          <w:bCs/>
          <w:sz w:val="24"/>
          <w:szCs w:val="24"/>
        </w:rPr>
      </w:pPr>
      <w:r>
        <w:rPr>
          <w:rFonts w:hint="eastAsia" w:ascii="黑体" w:hAnsi="黑体"/>
          <w:b/>
          <w:bCs/>
          <w:sz w:val="24"/>
          <w:szCs w:val="24"/>
        </w:rPr>
        <w:t>表B.</w:t>
      </w:r>
      <w:r>
        <w:rPr>
          <w:rFonts w:ascii="黑体" w:hAnsi="黑体"/>
          <w:b/>
          <w:bCs/>
          <w:sz w:val="24"/>
          <w:szCs w:val="24"/>
        </w:rPr>
        <w:t>5</w:t>
      </w:r>
      <w:r>
        <w:rPr>
          <w:rFonts w:hint="eastAsia" w:ascii="黑体" w:hAnsi="黑体"/>
          <w:b/>
          <w:bCs/>
          <w:sz w:val="24"/>
          <w:szCs w:val="24"/>
        </w:rPr>
        <w:t>社区居家养老服务-</w:t>
      </w:r>
      <w:r>
        <w:rPr>
          <w:rFonts w:hint="eastAsia" w:ascii="黑体" w:hAnsi="黑体"/>
          <w:b/>
          <w:bCs/>
          <w:sz w:val="30"/>
          <w:szCs w:val="30"/>
        </w:rPr>
        <w:t>代办服务</w:t>
      </w:r>
      <w:r>
        <w:rPr>
          <w:rFonts w:hint="eastAsia" w:ascii="黑体" w:hAnsi="黑体"/>
          <w:b/>
          <w:bCs/>
          <w:sz w:val="24"/>
          <w:szCs w:val="24"/>
        </w:rPr>
        <w:t>特性测评工具</w:t>
      </w:r>
    </w:p>
    <w:p w14:paraId="2BB1337B">
      <w:pPr>
        <w:jc w:val="center"/>
        <w:rPr>
          <w:rFonts w:ascii="黑体" w:hAnsi="黑体"/>
          <w:b/>
          <w:bCs/>
          <w:sz w:val="24"/>
          <w:szCs w:val="24"/>
        </w:rPr>
      </w:pPr>
    </w:p>
    <w:tbl>
      <w:tblPr>
        <w:tblStyle w:val="28"/>
        <w:tblW w:w="9776" w:type="dxa"/>
        <w:tblInd w:w="-289" w:type="dxa"/>
        <w:tblLayout w:type="autofit"/>
        <w:tblCellMar>
          <w:top w:w="0" w:type="dxa"/>
          <w:left w:w="108" w:type="dxa"/>
          <w:bottom w:w="0" w:type="dxa"/>
          <w:right w:w="108" w:type="dxa"/>
        </w:tblCellMar>
      </w:tblPr>
      <w:tblGrid>
        <w:gridCol w:w="562"/>
        <w:gridCol w:w="1046"/>
        <w:gridCol w:w="2080"/>
        <w:gridCol w:w="1040"/>
        <w:gridCol w:w="1221"/>
        <w:gridCol w:w="709"/>
        <w:gridCol w:w="708"/>
        <w:gridCol w:w="709"/>
        <w:gridCol w:w="1701"/>
      </w:tblGrid>
      <w:tr w14:paraId="414A524E">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7C094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1046" w:type="dxa"/>
            <w:tcBorders>
              <w:top w:val="single" w:color="auto" w:sz="4" w:space="0"/>
              <w:left w:val="nil"/>
              <w:bottom w:val="single" w:color="auto" w:sz="4" w:space="0"/>
              <w:right w:val="single" w:color="auto" w:sz="4" w:space="0"/>
            </w:tcBorders>
            <w:shd w:val="clear" w:color="auto" w:fill="auto"/>
            <w:vAlign w:val="center"/>
          </w:tcPr>
          <w:p w14:paraId="5866BDA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评价项目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（分值）</w:t>
            </w:r>
          </w:p>
        </w:tc>
        <w:tc>
          <w:tcPr>
            <w:tcW w:w="4341" w:type="dxa"/>
            <w:gridSpan w:val="3"/>
            <w:tcBorders>
              <w:top w:val="single" w:color="auto" w:sz="4" w:space="0"/>
              <w:left w:val="nil"/>
              <w:bottom w:val="single" w:color="auto" w:sz="4" w:space="0"/>
              <w:right w:val="single" w:color="auto" w:sz="4" w:space="0"/>
            </w:tcBorders>
            <w:shd w:val="clear" w:color="auto" w:fill="auto"/>
            <w:noWrap/>
            <w:vAlign w:val="center"/>
          </w:tcPr>
          <w:p w14:paraId="3AEF0E2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709" w:type="dxa"/>
            <w:tcBorders>
              <w:top w:val="single" w:color="auto" w:sz="4" w:space="0"/>
              <w:left w:val="nil"/>
              <w:bottom w:val="single" w:color="auto" w:sz="4" w:space="0"/>
              <w:right w:val="single" w:color="auto" w:sz="4" w:space="0"/>
            </w:tcBorders>
            <w:shd w:val="clear" w:color="auto" w:fill="auto"/>
            <w:vAlign w:val="center"/>
          </w:tcPr>
          <w:p w14:paraId="58E8B4C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708" w:type="dxa"/>
            <w:tcBorders>
              <w:top w:val="single" w:color="auto" w:sz="4" w:space="0"/>
              <w:left w:val="nil"/>
              <w:bottom w:val="single" w:color="auto" w:sz="4" w:space="0"/>
              <w:right w:val="single" w:color="auto" w:sz="4" w:space="0"/>
            </w:tcBorders>
            <w:shd w:val="clear" w:color="auto" w:fill="auto"/>
            <w:vAlign w:val="center"/>
          </w:tcPr>
          <w:p w14:paraId="3D9512C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709" w:type="dxa"/>
            <w:tcBorders>
              <w:top w:val="single" w:color="auto" w:sz="4" w:space="0"/>
              <w:left w:val="nil"/>
              <w:bottom w:val="single" w:color="auto" w:sz="4" w:space="0"/>
              <w:right w:val="single" w:color="auto" w:sz="4" w:space="0"/>
            </w:tcBorders>
            <w:shd w:val="clear" w:color="auto" w:fill="auto"/>
            <w:vAlign w:val="center"/>
          </w:tcPr>
          <w:p w14:paraId="1EA80DC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1701" w:type="dxa"/>
            <w:tcBorders>
              <w:top w:val="single" w:color="auto" w:sz="4" w:space="0"/>
              <w:left w:val="nil"/>
              <w:bottom w:val="single" w:color="auto" w:sz="4" w:space="0"/>
              <w:right w:val="single" w:color="auto" w:sz="4" w:space="0"/>
            </w:tcBorders>
            <w:shd w:val="clear" w:color="auto" w:fill="auto"/>
            <w:vAlign w:val="center"/>
          </w:tcPr>
          <w:p w14:paraId="325F77FD">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3E898625">
        <w:tblPrEx>
          <w:tblCellMar>
            <w:top w:w="0" w:type="dxa"/>
            <w:left w:w="108" w:type="dxa"/>
            <w:bottom w:w="0" w:type="dxa"/>
            <w:right w:w="108" w:type="dxa"/>
          </w:tblCellMar>
        </w:tblPrEx>
        <w:trPr>
          <w:trHeight w:val="660" w:hRule="atLeast"/>
        </w:trPr>
        <w:tc>
          <w:tcPr>
            <w:tcW w:w="9776"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24FF4547">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5</w:t>
            </w:r>
            <w:r>
              <w:rPr>
                <w:rFonts w:hint="eastAsia" w:ascii="等线" w:hAnsi="等线" w:eastAsia="等线" w:cs="宋体"/>
                <w:color w:val="000000"/>
                <w:kern w:val="0"/>
                <w:sz w:val="22"/>
                <w:szCs w:val="22"/>
              </w:rPr>
              <w:t xml:space="preserve"> 代办服务（100分）</w:t>
            </w:r>
          </w:p>
        </w:tc>
      </w:tr>
      <w:tr w14:paraId="60C0C48A">
        <w:tblPrEx>
          <w:tblCellMar>
            <w:top w:w="0" w:type="dxa"/>
            <w:left w:w="108" w:type="dxa"/>
            <w:bottom w:w="0" w:type="dxa"/>
            <w:right w:w="108" w:type="dxa"/>
          </w:tblCellMar>
        </w:tblPrEx>
        <w:trPr>
          <w:trHeight w:val="12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16161DF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1046" w:type="dxa"/>
            <w:tcBorders>
              <w:top w:val="nil"/>
              <w:left w:val="nil"/>
              <w:bottom w:val="single" w:color="auto" w:sz="4" w:space="0"/>
              <w:right w:val="single" w:color="auto" w:sz="4" w:space="0"/>
            </w:tcBorders>
            <w:shd w:val="clear" w:color="auto" w:fill="auto"/>
            <w:vAlign w:val="center"/>
          </w:tcPr>
          <w:p w14:paraId="1A519C4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w:t>
            </w:r>
          </w:p>
          <w:p w14:paraId="547CA69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内容　</w:t>
            </w:r>
          </w:p>
        </w:tc>
        <w:tc>
          <w:tcPr>
            <w:tcW w:w="4341" w:type="dxa"/>
            <w:gridSpan w:val="3"/>
            <w:tcBorders>
              <w:top w:val="single" w:color="auto" w:sz="4" w:space="0"/>
              <w:left w:val="nil"/>
              <w:bottom w:val="single" w:color="auto" w:sz="4" w:space="0"/>
              <w:right w:val="single" w:color="auto" w:sz="4" w:space="0"/>
            </w:tcBorders>
            <w:shd w:val="clear" w:color="auto" w:fill="auto"/>
            <w:vAlign w:val="center"/>
          </w:tcPr>
          <w:p w14:paraId="75F8BEA2">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应根据老年人需求提供多种形式的代办服务，包括但不限于代购物品、代领物品、代缴费用、代办证件、代邮物品等。</w:t>
            </w:r>
            <w:r>
              <w:rPr>
                <w:rFonts w:hint="eastAsia" w:ascii="等线" w:hAnsi="等线" w:eastAsia="等线" w:cs="宋体"/>
                <w:color w:val="000000"/>
                <w:kern w:val="0"/>
                <w:sz w:val="18"/>
                <w:szCs w:val="18"/>
              </w:rPr>
              <w:br w:type="textWrapping"/>
            </w:r>
            <w:r>
              <w:rPr>
                <w:rFonts w:hint="eastAsia" w:ascii="等线" w:hAnsi="等线" w:eastAsia="等线" w:cs="宋体"/>
                <w:kern w:val="0"/>
                <w:sz w:val="18"/>
                <w:szCs w:val="18"/>
              </w:rPr>
              <w:t>上述事项涉及法律法规要求授权事项的，应遵循相关法律法规的要求。</w:t>
            </w:r>
          </w:p>
        </w:tc>
        <w:tc>
          <w:tcPr>
            <w:tcW w:w="709" w:type="dxa"/>
            <w:tcBorders>
              <w:top w:val="nil"/>
              <w:left w:val="nil"/>
              <w:bottom w:val="single" w:color="auto" w:sz="4" w:space="0"/>
              <w:right w:val="single" w:color="auto" w:sz="4" w:space="0"/>
            </w:tcBorders>
            <w:shd w:val="clear" w:color="auto" w:fill="auto"/>
            <w:noWrap/>
            <w:vAlign w:val="center"/>
          </w:tcPr>
          <w:p w14:paraId="4063BF3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40</w:t>
            </w:r>
          </w:p>
        </w:tc>
        <w:tc>
          <w:tcPr>
            <w:tcW w:w="708" w:type="dxa"/>
            <w:tcBorders>
              <w:top w:val="nil"/>
              <w:left w:val="nil"/>
              <w:bottom w:val="single" w:color="auto" w:sz="4" w:space="0"/>
              <w:right w:val="single" w:color="auto" w:sz="4" w:space="0"/>
            </w:tcBorders>
            <w:shd w:val="clear" w:color="auto" w:fill="auto"/>
            <w:noWrap/>
            <w:vAlign w:val="center"/>
          </w:tcPr>
          <w:p w14:paraId="7C62D2B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3ECCE24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701" w:type="dxa"/>
            <w:tcBorders>
              <w:top w:val="nil"/>
              <w:left w:val="nil"/>
              <w:bottom w:val="single" w:color="auto" w:sz="4" w:space="0"/>
              <w:right w:val="single" w:color="auto" w:sz="4" w:space="0"/>
            </w:tcBorders>
            <w:shd w:val="clear" w:color="auto" w:fill="auto"/>
            <w:noWrap/>
            <w:vAlign w:val="bottom"/>
          </w:tcPr>
          <w:p w14:paraId="16DE98D9">
            <w:pPr>
              <w:widowControl/>
              <w:adjustRightInd/>
              <w:spacing w:line="240" w:lineRule="auto"/>
              <w:jc w:val="left"/>
              <w:rPr>
                <w:rFonts w:ascii="等线" w:hAnsi="等线" w:eastAsia="等线" w:cs="宋体"/>
                <w:color w:val="FF0000"/>
                <w:kern w:val="0"/>
                <w:sz w:val="22"/>
                <w:szCs w:val="22"/>
              </w:rPr>
            </w:pPr>
            <w:r>
              <w:rPr>
                <w:rFonts w:hint="eastAsia" w:ascii="等线" w:hAnsi="等线" w:eastAsia="等线" w:cs="宋体"/>
                <w:color w:val="FF0000"/>
                <w:kern w:val="0"/>
                <w:sz w:val="22"/>
                <w:szCs w:val="22"/>
              </w:rPr>
              <w:t>　</w:t>
            </w:r>
          </w:p>
        </w:tc>
      </w:tr>
      <w:tr w14:paraId="121DA49F">
        <w:tblPrEx>
          <w:tblCellMar>
            <w:top w:w="0" w:type="dxa"/>
            <w:left w:w="108" w:type="dxa"/>
            <w:bottom w:w="0" w:type="dxa"/>
            <w:right w:w="108" w:type="dxa"/>
          </w:tblCellMar>
        </w:tblPrEx>
        <w:trPr>
          <w:trHeight w:val="70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6238E93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1046" w:type="dxa"/>
            <w:vMerge w:val="restart"/>
            <w:tcBorders>
              <w:top w:val="nil"/>
              <w:left w:val="nil"/>
              <w:right w:val="single" w:color="auto" w:sz="4" w:space="0"/>
            </w:tcBorders>
            <w:shd w:val="clear" w:color="auto" w:fill="auto"/>
            <w:vAlign w:val="center"/>
          </w:tcPr>
          <w:p w14:paraId="33CFA50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w:t>
            </w:r>
          </w:p>
          <w:p w14:paraId="2910D79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要求</w:t>
            </w:r>
          </w:p>
          <w:p w14:paraId="7723C8D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p w14:paraId="6B56C543">
            <w:pPr>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341" w:type="dxa"/>
            <w:gridSpan w:val="3"/>
            <w:tcBorders>
              <w:top w:val="single" w:color="auto" w:sz="4" w:space="0"/>
              <w:left w:val="nil"/>
              <w:bottom w:val="single" w:color="auto" w:sz="4" w:space="0"/>
              <w:right w:val="single" w:color="auto" w:sz="4" w:space="0"/>
            </w:tcBorders>
            <w:shd w:val="clear" w:color="auto" w:fill="auto"/>
            <w:vAlign w:val="center"/>
          </w:tcPr>
          <w:p w14:paraId="6A56A216">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服务实施前，服务人员应充分了解服务对象的需求以及代办流程。</w:t>
            </w:r>
          </w:p>
        </w:tc>
        <w:tc>
          <w:tcPr>
            <w:tcW w:w="709" w:type="dxa"/>
            <w:tcBorders>
              <w:top w:val="nil"/>
              <w:left w:val="nil"/>
              <w:bottom w:val="single" w:color="auto" w:sz="4" w:space="0"/>
              <w:right w:val="single" w:color="auto" w:sz="4" w:space="0"/>
            </w:tcBorders>
            <w:shd w:val="clear" w:color="auto" w:fill="auto"/>
            <w:noWrap/>
            <w:vAlign w:val="center"/>
          </w:tcPr>
          <w:p w14:paraId="0DE4F83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708" w:type="dxa"/>
            <w:tcBorders>
              <w:top w:val="nil"/>
              <w:left w:val="nil"/>
              <w:bottom w:val="single" w:color="auto" w:sz="4" w:space="0"/>
              <w:right w:val="single" w:color="auto" w:sz="4" w:space="0"/>
            </w:tcBorders>
            <w:shd w:val="clear" w:color="auto" w:fill="auto"/>
            <w:noWrap/>
            <w:vAlign w:val="center"/>
          </w:tcPr>
          <w:p w14:paraId="26341A7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63F014F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701" w:type="dxa"/>
            <w:tcBorders>
              <w:top w:val="nil"/>
              <w:left w:val="nil"/>
              <w:bottom w:val="single" w:color="auto" w:sz="4" w:space="0"/>
              <w:right w:val="single" w:color="auto" w:sz="4" w:space="0"/>
            </w:tcBorders>
            <w:shd w:val="clear" w:color="auto" w:fill="auto"/>
            <w:noWrap/>
            <w:vAlign w:val="bottom"/>
          </w:tcPr>
          <w:p w14:paraId="35F98C1A">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0F8EE5F1">
        <w:tblPrEx>
          <w:tblCellMar>
            <w:top w:w="0" w:type="dxa"/>
            <w:left w:w="108" w:type="dxa"/>
            <w:bottom w:w="0" w:type="dxa"/>
            <w:right w:w="108" w:type="dxa"/>
          </w:tblCellMar>
        </w:tblPrEx>
        <w:trPr>
          <w:trHeight w:val="73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4240113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1046" w:type="dxa"/>
            <w:vMerge w:val="continue"/>
            <w:tcBorders>
              <w:left w:val="nil"/>
              <w:right w:val="single" w:color="auto" w:sz="4" w:space="0"/>
            </w:tcBorders>
            <w:shd w:val="clear" w:color="auto" w:fill="auto"/>
            <w:vAlign w:val="center"/>
          </w:tcPr>
          <w:p w14:paraId="17F98BF7">
            <w:pPr>
              <w:spacing w:line="240" w:lineRule="auto"/>
              <w:jc w:val="center"/>
              <w:rPr>
                <w:rFonts w:ascii="等线" w:hAnsi="等线" w:eastAsia="等线" w:cs="宋体"/>
                <w:color w:val="000000"/>
                <w:kern w:val="0"/>
                <w:sz w:val="22"/>
                <w:szCs w:val="22"/>
              </w:rPr>
            </w:pPr>
          </w:p>
        </w:tc>
        <w:tc>
          <w:tcPr>
            <w:tcW w:w="4341" w:type="dxa"/>
            <w:gridSpan w:val="3"/>
            <w:tcBorders>
              <w:top w:val="single" w:color="auto" w:sz="4" w:space="0"/>
              <w:left w:val="nil"/>
              <w:bottom w:val="single" w:color="auto" w:sz="4" w:space="0"/>
              <w:right w:val="single" w:color="auto" w:sz="4" w:space="0"/>
            </w:tcBorders>
            <w:shd w:val="clear" w:color="auto" w:fill="auto"/>
            <w:vAlign w:val="center"/>
          </w:tcPr>
          <w:p w14:paraId="56E5A2B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服务过程中，服务人员应与服务对象当面清点钱物，做好相关证件与单据的交接，准确记录服务所涉及物品的名称、数量、价格等信息。</w:t>
            </w:r>
          </w:p>
        </w:tc>
        <w:tc>
          <w:tcPr>
            <w:tcW w:w="709" w:type="dxa"/>
            <w:tcBorders>
              <w:top w:val="nil"/>
              <w:left w:val="nil"/>
              <w:bottom w:val="single" w:color="auto" w:sz="4" w:space="0"/>
              <w:right w:val="single" w:color="auto" w:sz="4" w:space="0"/>
            </w:tcBorders>
            <w:shd w:val="clear" w:color="auto" w:fill="auto"/>
            <w:noWrap/>
            <w:vAlign w:val="center"/>
          </w:tcPr>
          <w:p w14:paraId="54C354C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708" w:type="dxa"/>
            <w:tcBorders>
              <w:top w:val="nil"/>
              <w:left w:val="nil"/>
              <w:bottom w:val="single" w:color="auto" w:sz="4" w:space="0"/>
              <w:right w:val="single" w:color="auto" w:sz="4" w:space="0"/>
            </w:tcBorders>
            <w:shd w:val="clear" w:color="auto" w:fill="auto"/>
            <w:noWrap/>
            <w:vAlign w:val="center"/>
          </w:tcPr>
          <w:p w14:paraId="5628A03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5B8A5D4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701" w:type="dxa"/>
            <w:tcBorders>
              <w:top w:val="nil"/>
              <w:left w:val="nil"/>
              <w:bottom w:val="single" w:color="auto" w:sz="4" w:space="0"/>
              <w:right w:val="single" w:color="auto" w:sz="4" w:space="0"/>
            </w:tcBorders>
            <w:shd w:val="clear" w:color="auto" w:fill="auto"/>
            <w:noWrap/>
            <w:vAlign w:val="bottom"/>
          </w:tcPr>
          <w:p w14:paraId="07170E26">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2BBBDFBC">
        <w:tblPrEx>
          <w:tblCellMar>
            <w:top w:w="0" w:type="dxa"/>
            <w:left w:w="108" w:type="dxa"/>
            <w:bottom w:w="0" w:type="dxa"/>
            <w:right w:w="108" w:type="dxa"/>
          </w:tblCellMar>
        </w:tblPrEx>
        <w:trPr>
          <w:trHeight w:val="98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6466E3A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1046" w:type="dxa"/>
            <w:vMerge w:val="continue"/>
            <w:tcBorders>
              <w:left w:val="nil"/>
              <w:bottom w:val="single" w:color="auto" w:sz="4" w:space="0"/>
              <w:right w:val="single" w:color="auto" w:sz="4" w:space="0"/>
            </w:tcBorders>
            <w:shd w:val="clear" w:color="auto" w:fill="auto"/>
            <w:vAlign w:val="center"/>
          </w:tcPr>
          <w:p w14:paraId="1C1A8D7B">
            <w:pPr>
              <w:widowControl/>
              <w:adjustRightInd/>
              <w:spacing w:line="240" w:lineRule="auto"/>
              <w:jc w:val="center"/>
              <w:rPr>
                <w:rFonts w:ascii="等线" w:hAnsi="等线" w:eastAsia="等线" w:cs="宋体"/>
                <w:color w:val="000000"/>
                <w:kern w:val="0"/>
                <w:sz w:val="22"/>
                <w:szCs w:val="22"/>
              </w:rPr>
            </w:pPr>
          </w:p>
        </w:tc>
        <w:tc>
          <w:tcPr>
            <w:tcW w:w="4341" w:type="dxa"/>
            <w:gridSpan w:val="3"/>
            <w:tcBorders>
              <w:top w:val="single" w:color="auto" w:sz="4" w:space="0"/>
              <w:left w:val="nil"/>
              <w:bottom w:val="single" w:color="auto" w:sz="4" w:space="0"/>
              <w:right w:val="single" w:color="auto" w:sz="4" w:space="0"/>
            </w:tcBorders>
            <w:shd w:val="clear" w:color="auto" w:fill="auto"/>
            <w:vAlign w:val="center"/>
          </w:tcPr>
          <w:p w14:paraId="6E29BE99">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服务人员应注意保护服务对象的隐私不得向他人谈论老人的联系方式、家庭情况及钱物情况。</w:t>
            </w:r>
          </w:p>
        </w:tc>
        <w:tc>
          <w:tcPr>
            <w:tcW w:w="709" w:type="dxa"/>
            <w:tcBorders>
              <w:top w:val="nil"/>
              <w:left w:val="nil"/>
              <w:bottom w:val="single" w:color="auto" w:sz="4" w:space="0"/>
              <w:right w:val="single" w:color="auto" w:sz="4" w:space="0"/>
            </w:tcBorders>
            <w:shd w:val="clear" w:color="auto" w:fill="auto"/>
            <w:noWrap/>
            <w:vAlign w:val="center"/>
          </w:tcPr>
          <w:p w14:paraId="7D7B214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708" w:type="dxa"/>
            <w:tcBorders>
              <w:top w:val="nil"/>
              <w:left w:val="nil"/>
              <w:bottom w:val="single" w:color="auto" w:sz="4" w:space="0"/>
              <w:right w:val="single" w:color="auto" w:sz="4" w:space="0"/>
            </w:tcBorders>
            <w:shd w:val="clear" w:color="auto" w:fill="auto"/>
            <w:noWrap/>
            <w:vAlign w:val="center"/>
          </w:tcPr>
          <w:p w14:paraId="435D4C3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1DD0A54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701" w:type="dxa"/>
            <w:tcBorders>
              <w:top w:val="nil"/>
              <w:left w:val="nil"/>
              <w:bottom w:val="single" w:color="auto" w:sz="4" w:space="0"/>
              <w:right w:val="single" w:color="auto" w:sz="4" w:space="0"/>
            </w:tcBorders>
            <w:shd w:val="clear" w:color="auto" w:fill="auto"/>
            <w:noWrap/>
            <w:vAlign w:val="bottom"/>
          </w:tcPr>
          <w:p w14:paraId="26B7FE84">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3AC32AEC">
        <w:tblPrEx>
          <w:tblCellMar>
            <w:top w:w="0" w:type="dxa"/>
            <w:left w:w="108" w:type="dxa"/>
            <w:bottom w:w="0" w:type="dxa"/>
            <w:right w:w="108" w:type="dxa"/>
          </w:tblCellMar>
        </w:tblPrEx>
        <w:trPr>
          <w:trHeight w:val="48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F75159C">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387" w:type="dxa"/>
            <w:gridSpan w:val="4"/>
            <w:tcBorders>
              <w:top w:val="single" w:color="auto" w:sz="4" w:space="0"/>
              <w:left w:val="nil"/>
              <w:bottom w:val="single" w:color="auto" w:sz="4" w:space="0"/>
              <w:right w:val="single" w:color="000000" w:sz="4" w:space="0"/>
            </w:tcBorders>
            <w:shd w:val="clear" w:color="auto" w:fill="auto"/>
            <w:noWrap/>
            <w:vAlign w:val="center"/>
          </w:tcPr>
          <w:p w14:paraId="4A2280EF">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709" w:type="dxa"/>
            <w:tcBorders>
              <w:top w:val="nil"/>
              <w:left w:val="nil"/>
              <w:bottom w:val="single" w:color="auto" w:sz="4" w:space="0"/>
              <w:right w:val="single" w:color="auto" w:sz="4" w:space="0"/>
            </w:tcBorders>
            <w:shd w:val="clear" w:color="auto" w:fill="auto"/>
            <w:noWrap/>
            <w:vAlign w:val="center"/>
          </w:tcPr>
          <w:p w14:paraId="135BD29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708" w:type="dxa"/>
            <w:tcBorders>
              <w:top w:val="nil"/>
              <w:left w:val="nil"/>
              <w:bottom w:val="single" w:color="auto" w:sz="4" w:space="0"/>
              <w:right w:val="single" w:color="auto" w:sz="4" w:space="0"/>
            </w:tcBorders>
            <w:shd w:val="clear" w:color="auto" w:fill="auto"/>
            <w:noWrap/>
            <w:vAlign w:val="bottom"/>
          </w:tcPr>
          <w:p w14:paraId="4666CEA7">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bottom"/>
          </w:tcPr>
          <w:p w14:paraId="1335B99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701" w:type="dxa"/>
            <w:tcBorders>
              <w:top w:val="nil"/>
              <w:left w:val="nil"/>
              <w:bottom w:val="single" w:color="auto" w:sz="4" w:space="0"/>
              <w:right w:val="single" w:color="auto" w:sz="4" w:space="0"/>
            </w:tcBorders>
            <w:shd w:val="clear" w:color="auto" w:fill="auto"/>
            <w:noWrap/>
            <w:vAlign w:val="bottom"/>
          </w:tcPr>
          <w:p w14:paraId="446D33B6">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r w14:paraId="1F5014C6">
        <w:tblPrEx>
          <w:tblCellMar>
            <w:top w:w="0" w:type="dxa"/>
            <w:left w:w="108" w:type="dxa"/>
            <w:bottom w:w="0" w:type="dxa"/>
            <w:right w:w="108" w:type="dxa"/>
          </w:tblCellMar>
        </w:tblPrEx>
        <w:trPr>
          <w:trHeight w:val="280" w:hRule="atLeast"/>
        </w:trPr>
        <w:tc>
          <w:tcPr>
            <w:tcW w:w="160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EA4533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67923FD7">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44D8AE59">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1221" w:type="dxa"/>
            <w:tcBorders>
              <w:top w:val="single" w:color="auto" w:sz="4" w:space="0"/>
              <w:left w:val="nil"/>
              <w:bottom w:val="single" w:color="auto" w:sz="4" w:space="0"/>
              <w:right w:val="single" w:color="auto" w:sz="4" w:space="0"/>
            </w:tcBorders>
            <w:shd w:val="clear" w:color="auto" w:fill="auto"/>
            <w:vAlign w:val="center"/>
          </w:tcPr>
          <w:p w14:paraId="5709A491">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417" w:type="dxa"/>
            <w:gridSpan w:val="2"/>
            <w:tcBorders>
              <w:top w:val="single" w:color="auto" w:sz="4" w:space="0"/>
              <w:left w:val="nil"/>
              <w:bottom w:val="single" w:color="auto" w:sz="4" w:space="0"/>
              <w:right w:val="single" w:color="auto" w:sz="4" w:space="0"/>
            </w:tcBorders>
            <w:shd w:val="clear" w:color="auto" w:fill="auto"/>
            <w:noWrap/>
            <w:vAlign w:val="center"/>
          </w:tcPr>
          <w:p w14:paraId="13B0C8A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709" w:type="dxa"/>
            <w:tcBorders>
              <w:top w:val="nil"/>
              <w:left w:val="nil"/>
              <w:bottom w:val="single" w:color="auto" w:sz="4" w:space="0"/>
              <w:right w:val="single" w:color="auto" w:sz="4" w:space="0"/>
            </w:tcBorders>
            <w:shd w:val="clear" w:color="auto" w:fill="auto"/>
            <w:noWrap/>
            <w:vAlign w:val="center"/>
          </w:tcPr>
          <w:p w14:paraId="1940EE9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701" w:type="dxa"/>
            <w:tcBorders>
              <w:top w:val="nil"/>
              <w:left w:val="nil"/>
              <w:bottom w:val="single" w:color="auto" w:sz="4" w:space="0"/>
              <w:right w:val="single" w:color="auto" w:sz="4" w:space="0"/>
            </w:tcBorders>
            <w:shd w:val="clear" w:color="auto" w:fill="auto"/>
            <w:noWrap/>
            <w:vAlign w:val="bottom"/>
          </w:tcPr>
          <w:p w14:paraId="49430DEA">
            <w:pPr>
              <w:widowControl/>
              <w:adjustRightInd/>
              <w:spacing w:line="240" w:lineRule="auto"/>
              <w:jc w:val="left"/>
              <w:rPr>
                <w:rFonts w:ascii="等线" w:hAnsi="等线" w:eastAsia="等线" w:cs="宋体"/>
                <w:color w:val="3333FF"/>
                <w:kern w:val="0"/>
                <w:sz w:val="22"/>
                <w:szCs w:val="22"/>
              </w:rPr>
            </w:pPr>
            <w:r>
              <w:rPr>
                <w:rFonts w:hint="eastAsia" w:ascii="等线" w:hAnsi="等线" w:eastAsia="等线" w:cs="宋体"/>
                <w:color w:val="3333FF"/>
                <w:kern w:val="0"/>
                <w:sz w:val="22"/>
                <w:szCs w:val="22"/>
              </w:rPr>
              <w:t>　</w:t>
            </w:r>
          </w:p>
        </w:tc>
      </w:tr>
    </w:tbl>
    <w:p w14:paraId="0A3B602E">
      <w:pPr>
        <w:rPr>
          <w:rFonts w:ascii="黑体" w:hAnsi="黑体" w:eastAsia="黑体"/>
        </w:rPr>
      </w:pPr>
    </w:p>
    <w:p w14:paraId="4B71E22B">
      <w:pPr>
        <w:rPr>
          <w:rFonts w:ascii="黑体" w:hAnsi="黑体" w:eastAsia="黑体"/>
        </w:rPr>
      </w:pPr>
    </w:p>
    <w:p w14:paraId="21F498DF">
      <w:pPr>
        <w:rPr>
          <w:rFonts w:ascii="黑体" w:hAnsi="黑体" w:eastAsia="黑体"/>
        </w:rPr>
      </w:pPr>
    </w:p>
    <w:p w14:paraId="67583A83">
      <w:pPr>
        <w:rPr>
          <w:rFonts w:ascii="黑体" w:hAnsi="黑体" w:eastAsia="黑体"/>
        </w:rPr>
      </w:pPr>
    </w:p>
    <w:p w14:paraId="3C15AE4B">
      <w:pPr>
        <w:rPr>
          <w:rFonts w:ascii="黑体" w:hAnsi="黑体" w:eastAsia="黑体"/>
        </w:rPr>
      </w:pPr>
    </w:p>
    <w:p w14:paraId="483EC2AF">
      <w:pPr>
        <w:rPr>
          <w:rFonts w:ascii="黑体" w:hAnsi="黑体" w:eastAsia="黑体"/>
        </w:rPr>
      </w:pPr>
    </w:p>
    <w:p w14:paraId="5B23FCC5">
      <w:pPr>
        <w:rPr>
          <w:rFonts w:ascii="黑体" w:hAnsi="黑体" w:eastAsia="黑体"/>
        </w:rPr>
      </w:pPr>
    </w:p>
    <w:p w14:paraId="192B6DAB">
      <w:pPr>
        <w:rPr>
          <w:rFonts w:ascii="黑体" w:hAnsi="黑体" w:eastAsia="黑体"/>
        </w:rPr>
      </w:pPr>
    </w:p>
    <w:p w14:paraId="7AB026D3">
      <w:pPr>
        <w:rPr>
          <w:rFonts w:ascii="黑体" w:hAnsi="黑体" w:eastAsia="黑体"/>
        </w:rPr>
      </w:pPr>
    </w:p>
    <w:p w14:paraId="3C08A9EF">
      <w:pPr>
        <w:rPr>
          <w:rFonts w:ascii="黑体" w:hAnsi="黑体" w:eastAsia="黑体"/>
        </w:rPr>
      </w:pPr>
    </w:p>
    <w:p w14:paraId="4B450F29">
      <w:pPr>
        <w:rPr>
          <w:rFonts w:ascii="黑体" w:hAnsi="黑体" w:eastAsia="黑体"/>
        </w:rPr>
      </w:pPr>
    </w:p>
    <w:p w14:paraId="48255253">
      <w:pPr>
        <w:rPr>
          <w:rFonts w:ascii="黑体" w:hAnsi="黑体" w:eastAsia="黑体"/>
        </w:rPr>
      </w:pPr>
    </w:p>
    <w:p w14:paraId="5DFF2BAA">
      <w:pPr>
        <w:rPr>
          <w:rFonts w:ascii="黑体" w:hAnsi="黑体" w:eastAsia="黑体"/>
        </w:rPr>
      </w:pPr>
    </w:p>
    <w:p w14:paraId="2C5B31EC">
      <w:pPr>
        <w:rPr>
          <w:rFonts w:ascii="黑体" w:hAnsi="黑体" w:eastAsia="黑体"/>
        </w:rPr>
      </w:pPr>
    </w:p>
    <w:p w14:paraId="693CA45B">
      <w:pPr>
        <w:jc w:val="center"/>
        <w:rPr>
          <w:rFonts w:ascii="宋体" w:hAnsi="宋体"/>
          <w:b/>
          <w:bCs/>
          <w:sz w:val="24"/>
          <w:szCs w:val="24"/>
        </w:rPr>
      </w:pPr>
      <w:r>
        <w:rPr>
          <w:rFonts w:hint="eastAsia" w:ascii="宋体" w:hAnsi="宋体"/>
          <w:b/>
          <w:bCs/>
          <w:sz w:val="24"/>
          <w:szCs w:val="24"/>
        </w:rPr>
        <w:t>表B.</w:t>
      </w:r>
      <w:r>
        <w:rPr>
          <w:rFonts w:ascii="宋体" w:hAnsi="宋体"/>
          <w:b/>
          <w:bCs/>
          <w:sz w:val="24"/>
          <w:szCs w:val="24"/>
        </w:rPr>
        <w:t>6</w:t>
      </w:r>
      <w:r>
        <w:rPr>
          <w:rFonts w:hint="eastAsia" w:ascii="宋体" w:hAnsi="宋体"/>
          <w:b/>
          <w:bCs/>
          <w:sz w:val="24"/>
          <w:szCs w:val="24"/>
        </w:rPr>
        <w:t>社区居家养老服务-</w:t>
      </w:r>
      <w:r>
        <w:rPr>
          <w:rFonts w:hint="eastAsia" w:ascii="宋体" w:hAnsi="宋体"/>
          <w:b/>
          <w:bCs/>
          <w:sz w:val="30"/>
          <w:szCs w:val="30"/>
        </w:rPr>
        <w:t>法律援助</w:t>
      </w:r>
      <w:r>
        <w:rPr>
          <w:rFonts w:hint="eastAsia" w:ascii="宋体" w:hAnsi="宋体"/>
          <w:b/>
          <w:bCs/>
          <w:sz w:val="24"/>
          <w:szCs w:val="24"/>
        </w:rPr>
        <w:t>特性测评工具</w:t>
      </w:r>
    </w:p>
    <w:p w14:paraId="08C1773B">
      <w:pPr>
        <w:rPr>
          <w:rFonts w:ascii="黑体" w:hAnsi="黑体" w:eastAsia="黑体"/>
        </w:rPr>
      </w:pPr>
    </w:p>
    <w:tbl>
      <w:tblPr>
        <w:tblStyle w:val="28"/>
        <w:tblW w:w="9924" w:type="dxa"/>
        <w:tblInd w:w="-431" w:type="dxa"/>
        <w:tblLayout w:type="autofit"/>
        <w:tblCellMar>
          <w:top w:w="0" w:type="dxa"/>
          <w:left w:w="108" w:type="dxa"/>
          <w:bottom w:w="0" w:type="dxa"/>
          <w:right w:w="108" w:type="dxa"/>
        </w:tblCellMar>
      </w:tblPr>
      <w:tblGrid>
        <w:gridCol w:w="704"/>
        <w:gridCol w:w="1046"/>
        <w:gridCol w:w="2080"/>
        <w:gridCol w:w="1040"/>
        <w:gridCol w:w="1085"/>
        <w:gridCol w:w="708"/>
        <w:gridCol w:w="993"/>
        <w:gridCol w:w="850"/>
        <w:gridCol w:w="1418"/>
      </w:tblGrid>
      <w:tr w14:paraId="5F96801A">
        <w:tblPrEx>
          <w:tblCellMar>
            <w:top w:w="0" w:type="dxa"/>
            <w:left w:w="108" w:type="dxa"/>
            <w:bottom w:w="0" w:type="dxa"/>
            <w:right w:w="108" w:type="dxa"/>
          </w:tblCellMar>
        </w:tblPrEx>
        <w:trPr>
          <w:trHeight w:val="560" w:hRule="atLeast"/>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1535C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1046" w:type="dxa"/>
            <w:tcBorders>
              <w:top w:val="single" w:color="auto" w:sz="4" w:space="0"/>
              <w:left w:val="nil"/>
              <w:bottom w:val="single" w:color="auto" w:sz="4" w:space="0"/>
              <w:right w:val="single" w:color="auto" w:sz="4" w:space="0"/>
            </w:tcBorders>
            <w:shd w:val="clear" w:color="auto" w:fill="auto"/>
            <w:vAlign w:val="center"/>
          </w:tcPr>
          <w:p w14:paraId="47ED686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评价项目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（分值）</w:t>
            </w:r>
          </w:p>
        </w:tc>
        <w:tc>
          <w:tcPr>
            <w:tcW w:w="4205" w:type="dxa"/>
            <w:gridSpan w:val="3"/>
            <w:tcBorders>
              <w:top w:val="single" w:color="auto" w:sz="4" w:space="0"/>
              <w:left w:val="nil"/>
              <w:bottom w:val="single" w:color="auto" w:sz="4" w:space="0"/>
              <w:right w:val="single" w:color="auto" w:sz="4" w:space="0"/>
            </w:tcBorders>
            <w:shd w:val="clear" w:color="auto" w:fill="auto"/>
            <w:noWrap/>
            <w:vAlign w:val="center"/>
          </w:tcPr>
          <w:p w14:paraId="68A3A7F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708" w:type="dxa"/>
            <w:tcBorders>
              <w:top w:val="single" w:color="auto" w:sz="4" w:space="0"/>
              <w:left w:val="nil"/>
              <w:bottom w:val="single" w:color="auto" w:sz="4" w:space="0"/>
              <w:right w:val="single" w:color="auto" w:sz="4" w:space="0"/>
            </w:tcBorders>
            <w:shd w:val="clear" w:color="auto" w:fill="auto"/>
            <w:vAlign w:val="center"/>
          </w:tcPr>
          <w:p w14:paraId="76FE3BC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993" w:type="dxa"/>
            <w:tcBorders>
              <w:top w:val="single" w:color="auto" w:sz="4" w:space="0"/>
              <w:left w:val="nil"/>
              <w:bottom w:val="single" w:color="auto" w:sz="4" w:space="0"/>
              <w:right w:val="single" w:color="auto" w:sz="4" w:space="0"/>
            </w:tcBorders>
            <w:shd w:val="clear" w:color="auto" w:fill="auto"/>
            <w:vAlign w:val="center"/>
          </w:tcPr>
          <w:p w14:paraId="2F614B3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850" w:type="dxa"/>
            <w:tcBorders>
              <w:top w:val="single" w:color="auto" w:sz="4" w:space="0"/>
              <w:left w:val="nil"/>
              <w:bottom w:val="single" w:color="auto" w:sz="4" w:space="0"/>
              <w:right w:val="single" w:color="auto" w:sz="4" w:space="0"/>
            </w:tcBorders>
            <w:shd w:val="clear" w:color="auto" w:fill="auto"/>
            <w:vAlign w:val="center"/>
          </w:tcPr>
          <w:p w14:paraId="55142A36">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 xml:space="preserve">测评 </w:t>
            </w:r>
            <w:r>
              <w:rPr>
                <w:rFonts w:hint="eastAsia" w:ascii="等线" w:hAnsi="等线" w:eastAsia="等线" w:cs="宋体"/>
                <w:color w:val="auto"/>
                <w:kern w:val="0"/>
                <w:sz w:val="22"/>
                <w:szCs w:val="22"/>
              </w:rPr>
              <w:br w:type="textWrapping"/>
            </w:r>
            <w:r>
              <w:rPr>
                <w:rFonts w:hint="eastAsia" w:ascii="等线" w:hAnsi="等线" w:eastAsia="等线" w:cs="宋体"/>
                <w:color w:val="auto"/>
                <w:kern w:val="0"/>
                <w:sz w:val="22"/>
                <w:szCs w:val="22"/>
              </w:rPr>
              <w:t>得分</w:t>
            </w:r>
          </w:p>
        </w:tc>
        <w:tc>
          <w:tcPr>
            <w:tcW w:w="1418" w:type="dxa"/>
            <w:tcBorders>
              <w:top w:val="single" w:color="auto" w:sz="4" w:space="0"/>
              <w:left w:val="nil"/>
              <w:bottom w:val="single" w:color="auto" w:sz="4" w:space="0"/>
              <w:right w:val="single" w:color="auto" w:sz="4" w:space="0"/>
            </w:tcBorders>
            <w:shd w:val="clear" w:color="auto" w:fill="auto"/>
            <w:vAlign w:val="center"/>
          </w:tcPr>
          <w:p w14:paraId="6DAF5386">
            <w:pPr>
              <w:widowControl/>
              <w:adjustRightInd/>
              <w:spacing w:line="240" w:lineRule="auto"/>
              <w:jc w:val="center"/>
              <w:rPr>
                <w:rFonts w:ascii="等线" w:hAnsi="等线" w:eastAsia="等线" w:cs="宋体"/>
                <w:color w:val="auto"/>
                <w:kern w:val="0"/>
                <w:sz w:val="22"/>
                <w:szCs w:val="22"/>
              </w:rPr>
            </w:pPr>
            <w:r>
              <w:rPr>
                <w:rFonts w:hint="eastAsia" w:ascii="等线" w:hAnsi="等线" w:eastAsia="等线" w:cs="宋体"/>
                <w:color w:val="auto"/>
                <w:kern w:val="0"/>
                <w:sz w:val="22"/>
                <w:szCs w:val="22"/>
              </w:rPr>
              <w:t>体验记录</w:t>
            </w:r>
          </w:p>
        </w:tc>
      </w:tr>
      <w:tr w14:paraId="313B6EAB">
        <w:tblPrEx>
          <w:tblCellMar>
            <w:top w:w="0" w:type="dxa"/>
            <w:left w:w="108" w:type="dxa"/>
            <w:bottom w:w="0" w:type="dxa"/>
            <w:right w:w="108" w:type="dxa"/>
          </w:tblCellMar>
        </w:tblPrEx>
        <w:trPr>
          <w:trHeight w:val="490" w:hRule="atLeast"/>
        </w:trPr>
        <w:tc>
          <w:tcPr>
            <w:tcW w:w="9924"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3C9D2843">
            <w:pPr>
              <w:widowControl/>
              <w:adjustRightInd/>
              <w:spacing w:line="240" w:lineRule="auto"/>
              <w:jc w:val="center"/>
              <w:rPr>
                <w:rFonts w:ascii="等线" w:hAnsi="等线" w:eastAsia="等线" w:cs="宋体"/>
                <w:kern w:val="0"/>
                <w:sz w:val="22"/>
                <w:szCs w:val="22"/>
              </w:rPr>
            </w:pPr>
            <w:r>
              <w:rPr>
                <w:rFonts w:ascii="等线" w:hAnsi="等线" w:eastAsia="等线" w:cs="宋体"/>
                <w:kern w:val="0"/>
                <w:sz w:val="22"/>
                <w:szCs w:val="22"/>
              </w:rPr>
              <w:t>6</w:t>
            </w:r>
            <w:r>
              <w:rPr>
                <w:rFonts w:hint="eastAsia" w:ascii="等线" w:hAnsi="等线" w:eastAsia="等线" w:cs="宋体"/>
                <w:kern w:val="0"/>
                <w:sz w:val="22"/>
                <w:szCs w:val="22"/>
              </w:rPr>
              <w:t xml:space="preserve"> 法律援助服务（100分）</w:t>
            </w:r>
          </w:p>
        </w:tc>
      </w:tr>
      <w:tr w14:paraId="7AE497E7">
        <w:tblPrEx>
          <w:tblCellMar>
            <w:top w:w="0" w:type="dxa"/>
            <w:left w:w="108" w:type="dxa"/>
            <w:bottom w:w="0" w:type="dxa"/>
            <w:right w:w="108" w:type="dxa"/>
          </w:tblCellMar>
        </w:tblPrEx>
        <w:trPr>
          <w:trHeight w:val="118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340B093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1046" w:type="dxa"/>
            <w:tcBorders>
              <w:top w:val="nil"/>
              <w:left w:val="nil"/>
              <w:bottom w:val="single" w:color="auto" w:sz="4" w:space="0"/>
              <w:right w:val="single" w:color="auto" w:sz="4" w:space="0"/>
            </w:tcBorders>
            <w:shd w:val="clear" w:color="auto" w:fill="auto"/>
            <w:vAlign w:val="center"/>
          </w:tcPr>
          <w:p w14:paraId="196919A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w:t>
            </w:r>
          </w:p>
          <w:p w14:paraId="617CC5B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内容</w:t>
            </w:r>
          </w:p>
        </w:tc>
        <w:tc>
          <w:tcPr>
            <w:tcW w:w="4205" w:type="dxa"/>
            <w:gridSpan w:val="3"/>
            <w:tcBorders>
              <w:top w:val="single" w:color="auto" w:sz="4" w:space="0"/>
              <w:left w:val="nil"/>
              <w:bottom w:val="single" w:color="auto" w:sz="4" w:space="0"/>
              <w:right w:val="single" w:color="auto" w:sz="4" w:space="0"/>
            </w:tcBorders>
            <w:shd w:val="clear" w:color="auto" w:fill="auto"/>
            <w:vAlign w:val="center"/>
          </w:tcPr>
          <w:p w14:paraId="1E0BF1FF">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应根据老年人需求提供多种形式的法律援助服务，包括但不限于法律咨询、代写起诉状/答辩状/上诉状/申诉状等起诉文书、代写委托书/遗嘱等法律事务文书。</w:t>
            </w:r>
          </w:p>
        </w:tc>
        <w:tc>
          <w:tcPr>
            <w:tcW w:w="708" w:type="dxa"/>
            <w:tcBorders>
              <w:top w:val="nil"/>
              <w:left w:val="nil"/>
              <w:bottom w:val="single" w:color="auto" w:sz="4" w:space="0"/>
              <w:right w:val="single" w:color="auto" w:sz="4" w:space="0"/>
            </w:tcBorders>
            <w:shd w:val="clear" w:color="auto" w:fill="auto"/>
            <w:noWrap/>
            <w:vAlign w:val="center"/>
          </w:tcPr>
          <w:p w14:paraId="1037A91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50</w:t>
            </w:r>
          </w:p>
        </w:tc>
        <w:tc>
          <w:tcPr>
            <w:tcW w:w="993" w:type="dxa"/>
            <w:tcBorders>
              <w:top w:val="nil"/>
              <w:left w:val="nil"/>
              <w:bottom w:val="single" w:color="auto" w:sz="4" w:space="0"/>
              <w:right w:val="single" w:color="auto" w:sz="4" w:space="0"/>
            </w:tcBorders>
            <w:shd w:val="clear" w:color="auto" w:fill="auto"/>
            <w:noWrap/>
            <w:vAlign w:val="center"/>
          </w:tcPr>
          <w:p w14:paraId="336C1F4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50" w:type="dxa"/>
            <w:tcBorders>
              <w:top w:val="nil"/>
              <w:left w:val="nil"/>
              <w:bottom w:val="single" w:color="auto" w:sz="4" w:space="0"/>
              <w:right w:val="single" w:color="auto" w:sz="4" w:space="0"/>
            </w:tcBorders>
            <w:shd w:val="clear" w:color="auto" w:fill="auto"/>
            <w:noWrap/>
            <w:vAlign w:val="center"/>
          </w:tcPr>
          <w:p w14:paraId="029C301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18" w:type="dxa"/>
            <w:tcBorders>
              <w:top w:val="nil"/>
              <w:left w:val="nil"/>
              <w:bottom w:val="single" w:color="auto" w:sz="4" w:space="0"/>
              <w:right w:val="single" w:color="auto" w:sz="4" w:space="0"/>
            </w:tcBorders>
            <w:shd w:val="clear" w:color="auto" w:fill="auto"/>
            <w:noWrap/>
            <w:vAlign w:val="bottom"/>
          </w:tcPr>
          <w:p w14:paraId="7F1D2A0B">
            <w:pPr>
              <w:widowControl/>
              <w:adjustRightInd/>
              <w:spacing w:line="240" w:lineRule="auto"/>
              <w:jc w:val="left"/>
              <w:rPr>
                <w:rFonts w:ascii="等线" w:hAnsi="等线" w:eastAsia="等线" w:cs="宋体"/>
                <w:color w:val="FF0000"/>
                <w:kern w:val="0"/>
                <w:sz w:val="22"/>
                <w:szCs w:val="22"/>
              </w:rPr>
            </w:pPr>
            <w:r>
              <w:rPr>
                <w:rFonts w:hint="eastAsia" w:ascii="等线" w:hAnsi="等线" w:eastAsia="等线" w:cs="宋体"/>
                <w:color w:val="FF0000"/>
                <w:kern w:val="0"/>
                <w:sz w:val="22"/>
                <w:szCs w:val="22"/>
              </w:rPr>
              <w:t>　</w:t>
            </w:r>
          </w:p>
        </w:tc>
      </w:tr>
      <w:tr w14:paraId="2AABF5A3">
        <w:tblPrEx>
          <w:tblCellMar>
            <w:top w:w="0" w:type="dxa"/>
            <w:left w:w="108" w:type="dxa"/>
            <w:bottom w:w="0" w:type="dxa"/>
            <w:right w:w="108" w:type="dxa"/>
          </w:tblCellMar>
        </w:tblPrEx>
        <w:trPr>
          <w:trHeight w:val="71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5541408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1046" w:type="dxa"/>
            <w:vMerge w:val="restart"/>
            <w:tcBorders>
              <w:top w:val="nil"/>
              <w:left w:val="single" w:color="auto" w:sz="4" w:space="0"/>
              <w:bottom w:val="single" w:color="000000" w:sz="4" w:space="0"/>
              <w:right w:val="single" w:color="auto" w:sz="4" w:space="0"/>
            </w:tcBorders>
            <w:shd w:val="clear" w:color="auto" w:fill="auto"/>
            <w:vAlign w:val="center"/>
          </w:tcPr>
          <w:p w14:paraId="38F5F18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w:t>
            </w:r>
          </w:p>
          <w:p w14:paraId="0306A23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要求</w:t>
            </w:r>
          </w:p>
        </w:tc>
        <w:tc>
          <w:tcPr>
            <w:tcW w:w="4205" w:type="dxa"/>
            <w:gridSpan w:val="3"/>
            <w:tcBorders>
              <w:top w:val="single" w:color="auto" w:sz="4" w:space="0"/>
              <w:left w:val="nil"/>
              <w:bottom w:val="single" w:color="auto" w:sz="4" w:space="0"/>
              <w:right w:val="single" w:color="auto" w:sz="4" w:space="0"/>
            </w:tcBorders>
            <w:shd w:val="clear" w:color="auto" w:fill="auto"/>
            <w:vAlign w:val="center"/>
          </w:tcPr>
          <w:p w14:paraId="41F4BFAC">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养老护理员应具备法律工作者或律师资格。</w:t>
            </w:r>
          </w:p>
        </w:tc>
        <w:tc>
          <w:tcPr>
            <w:tcW w:w="708" w:type="dxa"/>
            <w:tcBorders>
              <w:top w:val="nil"/>
              <w:left w:val="nil"/>
              <w:bottom w:val="single" w:color="auto" w:sz="4" w:space="0"/>
              <w:right w:val="single" w:color="auto" w:sz="4" w:space="0"/>
            </w:tcBorders>
            <w:shd w:val="clear" w:color="auto" w:fill="auto"/>
            <w:noWrap/>
            <w:vAlign w:val="center"/>
          </w:tcPr>
          <w:p w14:paraId="6B7B302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993" w:type="dxa"/>
            <w:tcBorders>
              <w:top w:val="nil"/>
              <w:left w:val="nil"/>
              <w:bottom w:val="single" w:color="auto" w:sz="4" w:space="0"/>
              <w:right w:val="single" w:color="auto" w:sz="4" w:space="0"/>
            </w:tcBorders>
            <w:shd w:val="clear" w:color="auto" w:fill="auto"/>
            <w:noWrap/>
            <w:vAlign w:val="center"/>
          </w:tcPr>
          <w:p w14:paraId="05EB979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50" w:type="dxa"/>
            <w:tcBorders>
              <w:top w:val="nil"/>
              <w:left w:val="nil"/>
              <w:bottom w:val="single" w:color="auto" w:sz="4" w:space="0"/>
              <w:right w:val="single" w:color="auto" w:sz="4" w:space="0"/>
            </w:tcBorders>
            <w:shd w:val="clear" w:color="auto" w:fill="auto"/>
            <w:noWrap/>
            <w:vAlign w:val="center"/>
          </w:tcPr>
          <w:p w14:paraId="36C910F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18" w:type="dxa"/>
            <w:tcBorders>
              <w:top w:val="nil"/>
              <w:left w:val="nil"/>
              <w:bottom w:val="single" w:color="auto" w:sz="4" w:space="0"/>
              <w:right w:val="single" w:color="auto" w:sz="4" w:space="0"/>
            </w:tcBorders>
            <w:shd w:val="clear" w:color="auto" w:fill="auto"/>
            <w:noWrap/>
            <w:vAlign w:val="bottom"/>
          </w:tcPr>
          <w:p w14:paraId="1B66DC6E">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425D80F">
        <w:tblPrEx>
          <w:tblCellMar>
            <w:top w:w="0" w:type="dxa"/>
            <w:left w:w="108" w:type="dxa"/>
            <w:bottom w:w="0" w:type="dxa"/>
            <w:right w:w="108" w:type="dxa"/>
          </w:tblCellMar>
        </w:tblPrEx>
        <w:trPr>
          <w:trHeight w:val="71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6EEDFF7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1046" w:type="dxa"/>
            <w:vMerge w:val="continue"/>
            <w:tcBorders>
              <w:top w:val="nil"/>
              <w:left w:val="single" w:color="auto" w:sz="4" w:space="0"/>
              <w:bottom w:val="single" w:color="000000" w:sz="4" w:space="0"/>
              <w:right w:val="single" w:color="auto" w:sz="4" w:space="0"/>
            </w:tcBorders>
            <w:shd w:val="clear" w:color="auto" w:fill="auto"/>
            <w:vAlign w:val="center"/>
          </w:tcPr>
          <w:p w14:paraId="00E95514">
            <w:pPr>
              <w:widowControl/>
              <w:adjustRightInd/>
              <w:spacing w:line="240" w:lineRule="auto"/>
              <w:jc w:val="left"/>
              <w:rPr>
                <w:rFonts w:ascii="等线" w:hAnsi="等线" w:eastAsia="等线" w:cs="宋体"/>
                <w:color w:val="000000"/>
                <w:kern w:val="0"/>
                <w:sz w:val="22"/>
                <w:szCs w:val="22"/>
              </w:rPr>
            </w:pPr>
          </w:p>
        </w:tc>
        <w:tc>
          <w:tcPr>
            <w:tcW w:w="4205" w:type="dxa"/>
            <w:gridSpan w:val="3"/>
            <w:tcBorders>
              <w:top w:val="single" w:color="auto" w:sz="4" w:space="0"/>
              <w:left w:val="nil"/>
              <w:bottom w:val="single" w:color="auto" w:sz="4" w:space="0"/>
              <w:right w:val="single" w:color="auto" w:sz="4" w:space="0"/>
            </w:tcBorders>
            <w:shd w:val="clear" w:color="auto" w:fill="auto"/>
            <w:vAlign w:val="center"/>
          </w:tcPr>
          <w:p w14:paraId="0A60C608">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养老护理员应遵守职业纪律和道德，服务过程中不得超越职责权限。</w:t>
            </w:r>
          </w:p>
        </w:tc>
        <w:tc>
          <w:tcPr>
            <w:tcW w:w="708" w:type="dxa"/>
            <w:tcBorders>
              <w:top w:val="nil"/>
              <w:left w:val="nil"/>
              <w:bottom w:val="single" w:color="auto" w:sz="4" w:space="0"/>
              <w:right w:val="single" w:color="auto" w:sz="4" w:space="0"/>
            </w:tcBorders>
            <w:shd w:val="clear" w:color="auto" w:fill="auto"/>
            <w:noWrap/>
            <w:vAlign w:val="center"/>
          </w:tcPr>
          <w:p w14:paraId="4C25D12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993" w:type="dxa"/>
            <w:tcBorders>
              <w:top w:val="nil"/>
              <w:left w:val="nil"/>
              <w:bottom w:val="single" w:color="auto" w:sz="4" w:space="0"/>
              <w:right w:val="single" w:color="auto" w:sz="4" w:space="0"/>
            </w:tcBorders>
            <w:shd w:val="clear" w:color="auto" w:fill="auto"/>
            <w:noWrap/>
            <w:vAlign w:val="center"/>
          </w:tcPr>
          <w:p w14:paraId="6769639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50" w:type="dxa"/>
            <w:tcBorders>
              <w:top w:val="nil"/>
              <w:left w:val="nil"/>
              <w:bottom w:val="single" w:color="auto" w:sz="4" w:space="0"/>
              <w:right w:val="single" w:color="auto" w:sz="4" w:space="0"/>
            </w:tcBorders>
            <w:shd w:val="clear" w:color="auto" w:fill="auto"/>
            <w:noWrap/>
            <w:vAlign w:val="center"/>
          </w:tcPr>
          <w:p w14:paraId="370207C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18" w:type="dxa"/>
            <w:tcBorders>
              <w:top w:val="nil"/>
              <w:left w:val="nil"/>
              <w:bottom w:val="single" w:color="auto" w:sz="4" w:space="0"/>
              <w:right w:val="single" w:color="auto" w:sz="4" w:space="0"/>
            </w:tcBorders>
            <w:shd w:val="clear" w:color="auto" w:fill="auto"/>
            <w:noWrap/>
            <w:vAlign w:val="bottom"/>
          </w:tcPr>
          <w:p w14:paraId="400C0FE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245353B">
        <w:tblPrEx>
          <w:tblCellMar>
            <w:top w:w="0" w:type="dxa"/>
            <w:left w:w="108" w:type="dxa"/>
            <w:bottom w:w="0" w:type="dxa"/>
            <w:right w:w="108" w:type="dxa"/>
          </w:tblCellMar>
        </w:tblPrEx>
        <w:trPr>
          <w:trHeight w:val="570"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784832CB">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5251" w:type="dxa"/>
            <w:gridSpan w:val="4"/>
            <w:tcBorders>
              <w:top w:val="single" w:color="auto" w:sz="4" w:space="0"/>
              <w:left w:val="nil"/>
              <w:bottom w:val="single" w:color="auto" w:sz="4" w:space="0"/>
              <w:right w:val="single" w:color="auto" w:sz="4" w:space="0"/>
            </w:tcBorders>
            <w:shd w:val="clear" w:color="auto" w:fill="auto"/>
            <w:noWrap/>
            <w:vAlign w:val="center"/>
          </w:tcPr>
          <w:p w14:paraId="56A64F20">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708" w:type="dxa"/>
            <w:tcBorders>
              <w:top w:val="nil"/>
              <w:left w:val="nil"/>
              <w:bottom w:val="single" w:color="auto" w:sz="4" w:space="0"/>
              <w:right w:val="single" w:color="auto" w:sz="4" w:space="0"/>
            </w:tcBorders>
            <w:shd w:val="clear" w:color="auto" w:fill="auto"/>
            <w:noWrap/>
            <w:vAlign w:val="center"/>
          </w:tcPr>
          <w:p w14:paraId="3D1B8BF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993" w:type="dxa"/>
            <w:tcBorders>
              <w:top w:val="nil"/>
              <w:left w:val="nil"/>
              <w:bottom w:val="single" w:color="auto" w:sz="4" w:space="0"/>
              <w:right w:val="single" w:color="auto" w:sz="4" w:space="0"/>
            </w:tcBorders>
            <w:shd w:val="clear" w:color="auto" w:fill="auto"/>
            <w:noWrap/>
            <w:vAlign w:val="bottom"/>
          </w:tcPr>
          <w:p w14:paraId="4EF614D7">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850" w:type="dxa"/>
            <w:tcBorders>
              <w:top w:val="nil"/>
              <w:left w:val="nil"/>
              <w:bottom w:val="single" w:color="auto" w:sz="4" w:space="0"/>
              <w:right w:val="single" w:color="auto" w:sz="4" w:space="0"/>
            </w:tcBorders>
            <w:shd w:val="clear" w:color="auto" w:fill="auto"/>
            <w:noWrap/>
            <w:vAlign w:val="bottom"/>
          </w:tcPr>
          <w:p w14:paraId="50F7259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18" w:type="dxa"/>
            <w:tcBorders>
              <w:top w:val="nil"/>
              <w:left w:val="nil"/>
              <w:bottom w:val="single" w:color="auto" w:sz="4" w:space="0"/>
              <w:right w:val="single" w:color="auto" w:sz="4" w:space="0"/>
            </w:tcBorders>
            <w:shd w:val="clear" w:color="auto" w:fill="auto"/>
            <w:noWrap/>
            <w:vAlign w:val="bottom"/>
          </w:tcPr>
          <w:p w14:paraId="66ADAB7C">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B3517A1">
        <w:tblPrEx>
          <w:tblCellMar>
            <w:top w:w="0" w:type="dxa"/>
            <w:left w:w="108" w:type="dxa"/>
            <w:bottom w:w="0" w:type="dxa"/>
            <w:right w:w="108" w:type="dxa"/>
          </w:tblCellMar>
        </w:tblPrEx>
        <w:trPr>
          <w:trHeight w:val="640" w:hRule="atLeast"/>
        </w:trPr>
        <w:tc>
          <w:tcPr>
            <w:tcW w:w="175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CB2FBB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346552BC">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08868AB8">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1085" w:type="dxa"/>
            <w:tcBorders>
              <w:top w:val="single" w:color="auto" w:sz="4" w:space="0"/>
              <w:left w:val="nil"/>
              <w:bottom w:val="single" w:color="auto" w:sz="4" w:space="0"/>
              <w:right w:val="single" w:color="auto" w:sz="4" w:space="0"/>
            </w:tcBorders>
            <w:shd w:val="clear" w:color="auto" w:fill="auto"/>
            <w:vAlign w:val="center"/>
          </w:tcPr>
          <w:p w14:paraId="636F657C">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701" w:type="dxa"/>
            <w:gridSpan w:val="2"/>
            <w:tcBorders>
              <w:top w:val="single" w:color="auto" w:sz="4" w:space="0"/>
              <w:left w:val="nil"/>
              <w:bottom w:val="single" w:color="auto" w:sz="4" w:space="0"/>
              <w:right w:val="single" w:color="auto" w:sz="4" w:space="0"/>
            </w:tcBorders>
            <w:shd w:val="clear" w:color="auto" w:fill="auto"/>
            <w:noWrap/>
            <w:vAlign w:val="center"/>
          </w:tcPr>
          <w:p w14:paraId="07925B1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850" w:type="dxa"/>
            <w:tcBorders>
              <w:top w:val="nil"/>
              <w:left w:val="nil"/>
              <w:bottom w:val="single" w:color="auto" w:sz="4" w:space="0"/>
              <w:right w:val="single" w:color="auto" w:sz="4" w:space="0"/>
            </w:tcBorders>
            <w:shd w:val="clear" w:color="auto" w:fill="auto"/>
            <w:noWrap/>
            <w:vAlign w:val="center"/>
          </w:tcPr>
          <w:p w14:paraId="5F29EC1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1418" w:type="dxa"/>
            <w:tcBorders>
              <w:top w:val="nil"/>
              <w:left w:val="nil"/>
              <w:bottom w:val="single" w:color="auto" w:sz="4" w:space="0"/>
              <w:right w:val="single" w:color="auto" w:sz="4" w:space="0"/>
            </w:tcBorders>
            <w:shd w:val="clear" w:color="auto" w:fill="auto"/>
            <w:noWrap/>
            <w:vAlign w:val="bottom"/>
          </w:tcPr>
          <w:p w14:paraId="4715AAD9">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77AD0017">
      <w:pPr>
        <w:rPr>
          <w:rFonts w:ascii="黑体" w:hAnsi="黑体" w:eastAsia="黑体"/>
        </w:rPr>
      </w:pPr>
    </w:p>
    <w:p w14:paraId="32444130">
      <w:pPr>
        <w:rPr>
          <w:rFonts w:ascii="黑体" w:hAnsi="黑体" w:eastAsia="黑体"/>
        </w:rPr>
      </w:pPr>
    </w:p>
    <w:p w14:paraId="67684C4C">
      <w:pPr>
        <w:rPr>
          <w:rFonts w:ascii="黑体" w:hAnsi="黑体" w:eastAsia="黑体"/>
        </w:rPr>
      </w:pPr>
    </w:p>
    <w:p w14:paraId="7D0D9EE0">
      <w:pPr>
        <w:rPr>
          <w:rFonts w:ascii="黑体" w:hAnsi="黑体" w:eastAsia="黑体"/>
        </w:rPr>
      </w:pPr>
    </w:p>
    <w:p w14:paraId="694E5FB6">
      <w:pPr>
        <w:rPr>
          <w:rFonts w:ascii="黑体" w:hAnsi="黑体" w:eastAsia="黑体"/>
        </w:rPr>
      </w:pPr>
    </w:p>
    <w:p w14:paraId="2D013B83">
      <w:pPr>
        <w:rPr>
          <w:rFonts w:ascii="黑体" w:hAnsi="黑体" w:eastAsia="黑体"/>
        </w:rPr>
      </w:pPr>
    </w:p>
    <w:p w14:paraId="348C8784">
      <w:pPr>
        <w:rPr>
          <w:rFonts w:ascii="黑体" w:hAnsi="黑体" w:eastAsia="黑体"/>
        </w:rPr>
      </w:pPr>
    </w:p>
    <w:p w14:paraId="1C465DB4">
      <w:pPr>
        <w:pStyle w:val="2"/>
      </w:pPr>
    </w:p>
    <w:p w14:paraId="60F4D9B3">
      <w:pPr>
        <w:rPr>
          <w:rFonts w:ascii="黑体" w:hAnsi="黑体" w:eastAsia="黑体"/>
        </w:rPr>
      </w:pPr>
    </w:p>
    <w:p w14:paraId="303757B2">
      <w:pPr>
        <w:rPr>
          <w:rFonts w:ascii="黑体" w:hAnsi="黑体" w:eastAsia="黑体"/>
        </w:rPr>
      </w:pPr>
    </w:p>
    <w:p w14:paraId="4B371DE1">
      <w:pPr>
        <w:rPr>
          <w:rFonts w:ascii="黑体" w:hAnsi="黑体" w:eastAsia="黑体"/>
        </w:rPr>
      </w:pPr>
    </w:p>
    <w:p w14:paraId="080A38A0">
      <w:pPr>
        <w:rPr>
          <w:rFonts w:ascii="黑体" w:hAnsi="黑体" w:eastAsia="黑体"/>
        </w:rPr>
      </w:pPr>
    </w:p>
    <w:p w14:paraId="5CD95F74">
      <w:pPr>
        <w:rPr>
          <w:rFonts w:ascii="黑体" w:hAnsi="黑体" w:eastAsia="黑体"/>
        </w:rPr>
      </w:pPr>
    </w:p>
    <w:p w14:paraId="190BADBA">
      <w:pPr>
        <w:rPr>
          <w:rFonts w:ascii="黑体" w:hAnsi="黑体" w:eastAsia="黑体"/>
        </w:rPr>
      </w:pPr>
    </w:p>
    <w:p w14:paraId="5C2015EB">
      <w:pPr>
        <w:rPr>
          <w:rFonts w:ascii="黑体" w:hAnsi="黑体" w:eastAsia="黑体"/>
        </w:rPr>
      </w:pPr>
    </w:p>
    <w:p w14:paraId="09149C69">
      <w:pPr>
        <w:rPr>
          <w:rFonts w:ascii="黑体" w:hAnsi="黑体" w:eastAsia="黑体"/>
        </w:rPr>
      </w:pPr>
    </w:p>
    <w:p w14:paraId="3F430775">
      <w:pPr>
        <w:rPr>
          <w:rFonts w:ascii="黑体" w:hAnsi="黑体" w:eastAsia="黑体"/>
        </w:rPr>
      </w:pPr>
    </w:p>
    <w:p w14:paraId="6393B53B">
      <w:pPr>
        <w:rPr>
          <w:rFonts w:ascii="黑体" w:hAnsi="黑体" w:eastAsia="黑体"/>
        </w:rPr>
      </w:pPr>
    </w:p>
    <w:p w14:paraId="06BEBB33">
      <w:pPr>
        <w:jc w:val="center"/>
        <w:rPr>
          <w:rFonts w:ascii="黑体" w:hAnsi="黑体"/>
          <w:b/>
          <w:bCs/>
          <w:sz w:val="24"/>
          <w:szCs w:val="24"/>
        </w:rPr>
      </w:pPr>
      <w:r>
        <w:rPr>
          <w:rFonts w:hint="eastAsia" w:ascii="黑体" w:hAnsi="黑体"/>
          <w:b/>
          <w:bCs/>
          <w:sz w:val="24"/>
          <w:szCs w:val="24"/>
        </w:rPr>
        <w:t>表B.</w:t>
      </w:r>
      <w:r>
        <w:rPr>
          <w:rFonts w:ascii="黑体" w:hAnsi="黑体"/>
          <w:b/>
          <w:bCs/>
          <w:sz w:val="24"/>
          <w:szCs w:val="24"/>
        </w:rPr>
        <w:t>7</w:t>
      </w:r>
      <w:r>
        <w:rPr>
          <w:rFonts w:hint="eastAsia" w:ascii="黑体" w:hAnsi="黑体"/>
          <w:b/>
          <w:bCs/>
          <w:sz w:val="24"/>
          <w:szCs w:val="24"/>
        </w:rPr>
        <w:t>社区居家养老服务-</w:t>
      </w:r>
      <w:r>
        <w:rPr>
          <w:rFonts w:hint="eastAsia" w:ascii="黑体" w:hAnsi="黑体"/>
          <w:b/>
          <w:bCs/>
          <w:sz w:val="30"/>
          <w:szCs w:val="30"/>
        </w:rPr>
        <w:t>文化娱乐</w:t>
      </w:r>
      <w:r>
        <w:rPr>
          <w:rFonts w:hint="eastAsia" w:ascii="黑体" w:hAnsi="黑体"/>
          <w:b/>
          <w:bCs/>
          <w:sz w:val="24"/>
          <w:szCs w:val="24"/>
        </w:rPr>
        <w:t>服务特性测评工具</w:t>
      </w:r>
    </w:p>
    <w:p w14:paraId="7A0841D2">
      <w:pPr>
        <w:jc w:val="center"/>
        <w:rPr>
          <w:rFonts w:ascii="黑体" w:hAnsi="黑体"/>
          <w:b/>
          <w:bCs/>
          <w:sz w:val="24"/>
          <w:szCs w:val="24"/>
        </w:rPr>
      </w:pPr>
    </w:p>
    <w:tbl>
      <w:tblPr>
        <w:tblStyle w:val="28"/>
        <w:tblW w:w="10033" w:type="dxa"/>
        <w:tblInd w:w="-431" w:type="dxa"/>
        <w:tblLayout w:type="autofit"/>
        <w:tblCellMar>
          <w:top w:w="0" w:type="dxa"/>
          <w:left w:w="108" w:type="dxa"/>
          <w:bottom w:w="0" w:type="dxa"/>
          <w:right w:w="108" w:type="dxa"/>
        </w:tblCellMar>
      </w:tblPr>
      <w:tblGrid>
        <w:gridCol w:w="562"/>
        <w:gridCol w:w="709"/>
        <w:gridCol w:w="2080"/>
        <w:gridCol w:w="1040"/>
        <w:gridCol w:w="991"/>
        <w:gridCol w:w="1040"/>
        <w:gridCol w:w="661"/>
        <w:gridCol w:w="709"/>
        <w:gridCol w:w="2241"/>
      </w:tblGrid>
      <w:tr w14:paraId="5991E0D4">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5B4A1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709" w:type="dxa"/>
            <w:tcBorders>
              <w:top w:val="single" w:color="auto" w:sz="4" w:space="0"/>
              <w:left w:val="nil"/>
              <w:bottom w:val="single" w:color="auto" w:sz="4" w:space="0"/>
              <w:right w:val="single" w:color="auto" w:sz="4" w:space="0"/>
            </w:tcBorders>
            <w:shd w:val="clear" w:color="auto" w:fill="auto"/>
            <w:vAlign w:val="center"/>
          </w:tcPr>
          <w:p w14:paraId="01F1B42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评价项目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（分值）</w:t>
            </w:r>
          </w:p>
        </w:tc>
        <w:tc>
          <w:tcPr>
            <w:tcW w:w="4111" w:type="dxa"/>
            <w:gridSpan w:val="3"/>
            <w:tcBorders>
              <w:top w:val="single" w:color="auto" w:sz="4" w:space="0"/>
              <w:left w:val="nil"/>
              <w:bottom w:val="single" w:color="auto" w:sz="4" w:space="0"/>
              <w:right w:val="single" w:color="auto" w:sz="4" w:space="0"/>
            </w:tcBorders>
            <w:shd w:val="clear" w:color="auto" w:fill="auto"/>
            <w:noWrap/>
            <w:vAlign w:val="center"/>
          </w:tcPr>
          <w:p w14:paraId="41A55A7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1040" w:type="dxa"/>
            <w:tcBorders>
              <w:top w:val="single" w:color="auto" w:sz="4" w:space="0"/>
              <w:left w:val="nil"/>
              <w:bottom w:val="single" w:color="auto" w:sz="4" w:space="0"/>
              <w:right w:val="single" w:color="auto" w:sz="4" w:space="0"/>
            </w:tcBorders>
            <w:shd w:val="clear" w:color="auto" w:fill="auto"/>
            <w:vAlign w:val="center"/>
          </w:tcPr>
          <w:p w14:paraId="34BCAC7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661" w:type="dxa"/>
            <w:tcBorders>
              <w:top w:val="single" w:color="auto" w:sz="4" w:space="0"/>
              <w:left w:val="nil"/>
              <w:bottom w:val="single" w:color="auto" w:sz="4" w:space="0"/>
              <w:right w:val="single" w:color="auto" w:sz="4" w:space="0"/>
            </w:tcBorders>
            <w:shd w:val="clear" w:color="auto" w:fill="auto"/>
            <w:vAlign w:val="center"/>
          </w:tcPr>
          <w:p w14:paraId="495AA52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709" w:type="dxa"/>
            <w:tcBorders>
              <w:top w:val="single" w:color="auto" w:sz="4" w:space="0"/>
              <w:left w:val="nil"/>
              <w:bottom w:val="single" w:color="auto" w:sz="4" w:space="0"/>
              <w:right w:val="single" w:color="auto" w:sz="4" w:space="0"/>
            </w:tcBorders>
            <w:shd w:val="clear" w:color="auto" w:fill="auto"/>
            <w:vAlign w:val="center"/>
          </w:tcPr>
          <w:p w14:paraId="2328E45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2241" w:type="dxa"/>
            <w:tcBorders>
              <w:top w:val="single" w:color="auto" w:sz="4" w:space="0"/>
              <w:left w:val="nil"/>
              <w:bottom w:val="single" w:color="auto" w:sz="4" w:space="0"/>
              <w:right w:val="single" w:color="auto" w:sz="4" w:space="0"/>
            </w:tcBorders>
            <w:shd w:val="clear" w:color="auto" w:fill="auto"/>
            <w:vAlign w:val="center"/>
          </w:tcPr>
          <w:p w14:paraId="6121870F">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体验记录</w:t>
            </w:r>
          </w:p>
        </w:tc>
      </w:tr>
      <w:tr w14:paraId="043A6599">
        <w:tblPrEx>
          <w:tblCellMar>
            <w:top w:w="0" w:type="dxa"/>
            <w:left w:w="108" w:type="dxa"/>
            <w:bottom w:w="0" w:type="dxa"/>
            <w:right w:w="108" w:type="dxa"/>
          </w:tblCellMar>
        </w:tblPrEx>
        <w:trPr>
          <w:trHeight w:val="650" w:hRule="atLeast"/>
        </w:trPr>
        <w:tc>
          <w:tcPr>
            <w:tcW w:w="10033"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0D4D49DA">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7</w:t>
            </w:r>
            <w:r>
              <w:rPr>
                <w:rFonts w:hint="eastAsia" w:ascii="等线" w:hAnsi="等线" w:eastAsia="等线" w:cs="宋体"/>
                <w:color w:val="000000"/>
                <w:kern w:val="0"/>
                <w:sz w:val="22"/>
                <w:szCs w:val="22"/>
              </w:rPr>
              <w:t xml:space="preserve"> 文化娱乐服务（100分）</w:t>
            </w:r>
          </w:p>
        </w:tc>
      </w:tr>
      <w:tr w14:paraId="1D13F52F">
        <w:tblPrEx>
          <w:tblCellMar>
            <w:top w:w="0" w:type="dxa"/>
            <w:left w:w="108" w:type="dxa"/>
            <w:bottom w:w="0" w:type="dxa"/>
            <w:right w:w="108" w:type="dxa"/>
          </w:tblCellMar>
        </w:tblPrEx>
        <w:trPr>
          <w:trHeight w:val="156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4888CD9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709" w:type="dxa"/>
            <w:tcBorders>
              <w:top w:val="nil"/>
              <w:left w:val="nil"/>
              <w:bottom w:val="single" w:color="auto" w:sz="4" w:space="0"/>
              <w:right w:val="single" w:color="auto" w:sz="4" w:space="0"/>
            </w:tcBorders>
            <w:shd w:val="clear" w:color="auto" w:fill="auto"/>
            <w:vAlign w:val="center"/>
          </w:tcPr>
          <w:p w14:paraId="00FB88E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111" w:type="dxa"/>
            <w:gridSpan w:val="3"/>
            <w:tcBorders>
              <w:top w:val="single" w:color="auto" w:sz="4" w:space="0"/>
              <w:left w:val="nil"/>
              <w:bottom w:val="single" w:color="auto" w:sz="4" w:space="0"/>
              <w:right w:val="single" w:color="auto" w:sz="4" w:space="0"/>
            </w:tcBorders>
            <w:shd w:val="clear" w:color="auto" w:fill="auto"/>
            <w:vAlign w:val="center"/>
          </w:tcPr>
          <w:p w14:paraId="344B12FB">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应根据老年人需求提供多种有益于身心健康的文化体育服务，包括但不限于：</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a) 老年大学和老年社团活动;</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b) 开展手工编织、书法、插花、茶艺活动;</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c) 组织观看电影，口述历史记录;</w:t>
            </w:r>
            <w:r>
              <w:rPr>
                <w:rFonts w:hint="eastAsia" w:ascii="等线" w:hAnsi="等线" w:eastAsia="等线" w:cs="宋体"/>
                <w:color w:val="000000"/>
                <w:kern w:val="0"/>
                <w:sz w:val="18"/>
                <w:szCs w:val="18"/>
              </w:rPr>
              <w:br w:type="textWrapping"/>
            </w:r>
            <w:r>
              <w:rPr>
                <w:rFonts w:hint="eastAsia" w:ascii="等线" w:hAnsi="等线" w:eastAsia="等线" w:cs="宋体"/>
                <w:color w:val="000000"/>
                <w:kern w:val="0"/>
                <w:sz w:val="18"/>
                <w:szCs w:val="18"/>
              </w:rPr>
              <w:t xml:space="preserve">     d) 健康讲座、法律讲座、心理讲座等。</w:t>
            </w:r>
          </w:p>
        </w:tc>
        <w:tc>
          <w:tcPr>
            <w:tcW w:w="1040" w:type="dxa"/>
            <w:tcBorders>
              <w:top w:val="nil"/>
              <w:left w:val="nil"/>
              <w:bottom w:val="single" w:color="auto" w:sz="4" w:space="0"/>
              <w:right w:val="single" w:color="auto" w:sz="4" w:space="0"/>
            </w:tcBorders>
            <w:shd w:val="clear" w:color="auto" w:fill="auto"/>
            <w:noWrap/>
            <w:vAlign w:val="center"/>
          </w:tcPr>
          <w:p w14:paraId="49001439">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30</w:t>
            </w:r>
          </w:p>
        </w:tc>
        <w:tc>
          <w:tcPr>
            <w:tcW w:w="661" w:type="dxa"/>
            <w:tcBorders>
              <w:top w:val="nil"/>
              <w:left w:val="nil"/>
              <w:bottom w:val="single" w:color="auto" w:sz="4" w:space="0"/>
              <w:right w:val="single" w:color="auto" w:sz="4" w:space="0"/>
            </w:tcBorders>
            <w:shd w:val="clear" w:color="auto" w:fill="auto"/>
            <w:noWrap/>
            <w:vAlign w:val="center"/>
          </w:tcPr>
          <w:p w14:paraId="277E0B1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360FDB0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1" w:type="dxa"/>
            <w:tcBorders>
              <w:top w:val="nil"/>
              <w:left w:val="nil"/>
              <w:bottom w:val="single" w:color="auto" w:sz="4" w:space="0"/>
              <w:right w:val="single" w:color="auto" w:sz="4" w:space="0"/>
            </w:tcBorders>
            <w:shd w:val="clear" w:color="auto" w:fill="auto"/>
            <w:noWrap/>
            <w:vAlign w:val="bottom"/>
          </w:tcPr>
          <w:p w14:paraId="52804863">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E75A631">
        <w:tblPrEx>
          <w:tblCellMar>
            <w:top w:w="0" w:type="dxa"/>
            <w:left w:w="108" w:type="dxa"/>
            <w:bottom w:w="0" w:type="dxa"/>
            <w:right w:w="108" w:type="dxa"/>
          </w:tblCellMar>
        </w:tblPrEx>
        <w:trPr>
          <w:trHeight w:val="57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D99CC2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709" w:type="dxa"/>
            <w:vMerge w:val="restart"/>
            <w:tcBorders>
              <w:top w:val="nil"/>
              <w:left w:val="single" w:color="auto" w:sz="4" w:space="0"/>
              <w:bottom w:val="single" w:color="000000" w:sz="4" w:space="0"/>
              <w:right w:val="single" w:color="auto" w:sz="4" w:space="0"/>
            </w:tcBorders>
            <w:shd w:val="clear" w:color="auto" w:fill="auto"/>
            <w:vAlign w:val="center"/>
          </w:tcPr>
          <w:p w14:paraId="46C45AB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111" w:type="dxa"/>
            <w:gridSpan w:val="3"/>
            <w:tcBorders>
              <w:top w:val="single" w:color="auto" w:sz="4" w:space="0"/>
              <w:left w:val="nil"/>
              <w:bottom w:val="single" w:color="auto" w:sz="4" w:space="0"/>
              <w:right w:val="single" w:color="auto" w:sz="4" w:space="0"/>
            </w:tcBorders>
            <w:shd w:val="clear" w:color="auto" w:fill="auto"/>
            <w:vAlign w:val="center"/>
          </w:tcPr>
          <w:p w14:paraId="5D4FB231">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活动策划安排应合理，活动时间及运动量适宜，不影响老年人休息与身体健康。</w:t>
            </w:r>
          </w:p>
        </w:tc>
        <w:tc>
          <w:tcPr>
            <w:tcW w:w="1040" w:type="dxa"/>
            <w:tcBorders>
              <w:top w:val="nil"/>
              <w:left w:val="nil"/>
              <w:bottom w:val="single" w:color="auto" w:sz="4" w:space="0"/>
              <w:right w:val="single" w:color="auto" w:sz="4" w:space="0"/>
            </w:tcBorders>
            <w:shd w:val="clear" w:color="auto" w:fill="auto"/>
            <w:noWrap/>
            <w:vAlign w:val="center"/>
          </w:tcPr>
          <w:p w14:paraId="6062AD8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661" w:type="dxa"/>
            <w:tcBorders>
              <w:top w:val="nil"/>
              <w:left w:val="nil"/>
              <w:bottom w:val="single" w:color="auto" w:sz="4" w:space="0"/>
              <w:right w:val="single" w:color="auto" w:sz="4" w:space="0"/>
            </w:tcBorders>
            <w:shd w:val="clear" w:color="auto" w:fill="auto"/>
            <w:noWrap/>
            <w:vAlign w:val="center"/>
          </w:tcPr>
          <w:p w14:paraId="02052D2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104C800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1" w:type="dxa"/>
            <w:tcBorders>
              <w:top w:val="nil"/>
              <w:left w:val="nil"/>
              <w:bottom w:val="single" w:color="auto" w:sz="4" w:space="0"/>
              <w:right w:val="single" w:color="auto" w:sz="4" w:space="0"/>
            </w:tcBorders>
            <w:shd w:val="clear" w:color="auto" w:fill="auto"/>
            <w:noWrap/>
            <w:vAlign w:val="bottom"/>
          </w:tcPr>
          <w:p w14:paraId="67988CC1">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B263E9C">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1FB0209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709" w:type="dxa"/>
            <w:vMerge w:val="continue"/>
            <w:tcBorders>
              <w:top w:val="nil"/>
              <w:left w:val="single" w:color="auto" w:sz="4" w:space="0"/>
              <w:bottom w:val="single" w:color="000000" w:sz="4" w:space="0"/>
              <w:right w:val="single" w:color="auto" w:sz="4" w:space="0"/>
            </w:tcBorders>
            <w:shd w:val="clear" w:color="auto" w:fill="auto"/>
            <w:vAlign w:val="center"/>
          </w:tcPr>
          <w:p w14:paraId="1E6158AD">
            <w:pPr>
              <w:widowControl/>
              <w:adjustRightInd/>
              <w:spacing w:line="240" w:lineRule="auto"/>
              <w:jc w:val="left"/>
              <w:rPr>
                <w:rFonts w:ascii="等线" w:hAnsi="等线" w:eastAsia="等线" w:cs="宋体"/>
                <w:color w:val="000000"/>
                <w:kern w:val="0"/>
                <w:sz w:val="22"/>
                <w:szCs w:val="22"/>
              </w:rPr>
            </w:pPr>
          </w:p>
        </w:tc>
        <w:tc>
          <w:tcPr>
            <w:tcW w:w="4111" w:type="dxa"/>
            <w:gridSpan w:val="3"/>
            <w:tcBorders>
              <w:top w:val="single" w:color="auto" w:sz="4" w:space="0"/>
              <w:left w:val="nil"/>
              <w:bottom w:val="single" w:color="auto" w:sz="4" w:space="0"/>
              <w:right w:val="single" w:color="auto" w:sz="4" w:space="0"/>
            </w:tcBorders>
            <w:shd w:val="clear" w:color="auto" w:fill="auto"/>
            <w:vAlign w:val="center"/>
          </w:tcPr>
          <w:p w14:paraId="7E802EC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应提前公示各项活动开始的时间、注意事项及服务保障措施。</w:t>
            </w:r>
          </w:p>
        </w:tc>
        <w:tc>
          <w:tcPr>
            <w:tcW w:w="1040" w:type="dxa"/>
            <w:tcBorders>
              <w:top w:val="nil"/>
              <w:left w:val="nil"/>
              <w:bottom w:val="single" w:color="auto" w:sz="4" w:space="0"/>
              <w:right w:val="single" w:color="auto" w:sz="4" w:space="0"/>
            </w:tcBorders>
            <w:shd w:val="clear" w:color="auto" w:fill="auto"/>
            <w:noWrap/>
            <w:vAlign w:val="center"/>
          </w:tcPr>
          <w:p w14:paraId="5ADA46C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661" w:type="dxa"/>
            <w:tcBorders>
              <w:top w:val="nil"/>
              <w:left w:val="nil"/>
              <w:bottom w:val="single" w:color="auto" w:sz="4" w:space="0"/>
              <w:right w:val="single" w:color="auto" w:sz="4" w:space="0"/>
            </w:tcBorders>
            <w:shd w:val="clear" w:color="auto" w:fill="auto"/>
            <w:noWrap/>
            <w:vAlign w:val="center"/>
          </w:tcPr>
          <w:p w14:paraId="474DF4E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4353F99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1" w:type="dxa"/>
            <w:tcBorders>
              <w:top w:val="nil"/>
              <w:left w:val="nil"/>
              <w:bottom w:val="single" w:color="auto" w:sz="4" w:space="0"/>
              <w:right w:val="single" w:color="auto" w:sz="4" w:space="0"/>
            </w:tcBorders>
            <w:shd w:val="clear" w:color="auto" w:fill="auto"/>
            <w:noWrap/>
            <w:vAlign w:val="bottom"/>
          </w:tcPr>
          <w:p w14:paraId="76D3D312">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06A91DE">
        <w:tblPrEx>
          <w:tblCellMar>
            <w:top w:w="0" w:type="dxa"/>
            <w:left w:w="108" w:type="dxa"/>
            <w:bottom w:w="0" w:type="dxa"/>
            <w:right w:w="108" w:type="dxa"/>
          </w:tblCellMar>
        </w:tblPrEx>
        <w:trPr>
          <w:trHeight w:val="69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EA845A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709" w:type="dxa"/>
            <w:vMerge w:val="continue"/>
            <w:tcBorders>
              <w:top w:val="nil"/>
              <w:left w:val="single" w:color="auto" w:sz="4" w:space="0"/>
              <w:bottom w:val="single" w:color="000000" w:sz="4" w:space="0"/>
              <w:right w:val="single" w:color="auto" w:sz="4" w:space="0"/>
            </w:tcBorders>
            <w:shd w:val="clear" w:color="auto" w:fill="auto"/>
            <w:vAlign w:val="center"/>
          </w:tcPr>
          <w:p w14:paraId="049F92D7">
            <w:pPr>
              <w:widowControl/>
              <w:adjustRightInd/>
              <w:spacing w:line="240" w:lineRule="auto"/>
              <w:jc w:val="left"/>
              <w:rPr>
                <w:rFonts w:ascii="等线" w:hAnsi="等线" w:eastAsia="等线" w:cs="宋体"/>
                <w:color w:val="000000"/>
                <w:kern w:val="0"/>
                <w:sz w:val="22"/>
                <w:szCs w:val="22"/>
              </w:rPr>
            </w:pPr>
          </w:p>
        </w:tc>
        <w:tc>
          <w:tcPr>
            <w:tcW w:w="4111" w:type="dxa"/>
            <w:gridSpan w:val="3"/>
            <w:tcBorders>
              <w:top w:val="single" w:color="auto" w:sz="4" w:space="0"/>
              <w:left w:val="nil"/>
              <w:bottom w:val="single" w:color="auto" w:sz="4" w:space="0"/>
              <w:right w:val="single" w:color="auto" w:sz="4" w:space="0"/>
            </w:tcBorders>
            <w:shd w:val="clear" w:color="auto" w:fill="auto"/>
            <w:vAlign w:val="center"/>
          </w:tcPr>
          <w:p w14:paraId="0D7FBAE9">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应配备专门的养老护理员做好现场组织工作并随时注意观察参与活动的老年人情况，确保活动安全。</w:t>
            </w:r>
          </w:p>
        </w:tc>
        <w:tc>
          <w:tcPr>
            <w:tcW w:w="1040" w:type="dxa"/>
            <w:tcBorders>
              <w:top w:val="nil"/>
              <w:left w:val="nil"/>
              <w:bottom w:val="single" w:color="auto" w:sz="4" w:space="0"/>
              <w:right w:val="single" w:color="auto" w:sz="4" w:space="0"/>
            </w:tcBorders>
            <w:shd w:val="clear" w:color="auto" w:fill="auto"/>
            <w:noWrap/>
            <w:vAlign w:val="center"/>
          </w:tcPr>
          <w:p w14:paraId="3A68E38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661" w:type="dxa"/>
            <w:tcBorders>
              <w:top w:val="nil"/>
              <w:left w:val="nil"/>
              <w:bottom w:val="single" w:color="auto" w:sz="4" w:space="0"/>
              <w:right w:val="single" w:color="auto" w:sz="4" w:space="0"/>
            </w:tcBorders>
            <w:shd w:val="clear" w:color="auto" w:fill="auto"/>
            <w:noWrap/>
            <w:vAlign w:val="center"/>
          </w:tcPr>
          <w:p w14:paraId="597067E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22592F3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1" w:type="dxa"/>
            <w:tcBorders>
              <w:top w:val="nil"/>
              <w:left w:val="nil"/>
              <w:bottom w:val="single" w:color="auto" w:sz="4" w:space="0"/>
              <w:right w:val="single" w:color="auto" w:sz="4" w:space="0"/>
            </w:tcBorders>
            <w:shd w:val="clear" w:color="auto" w:fill="auto"/>
            <w:noWrap/>
            <w:vAlign w:val="bottom"/>
          </w:tcPr>
          <w:p w14:paraId="527339AD">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AE88771">
        <w:tblPrEx>
          <w:tblCellMar>
            <w:top w:w="0" w:type="dxa"/>
            <w:left w:w="108" w:type="dxa"/>
            <w:bottom w:w="0" w:type="dxa"/>
            <w:right w:w="108" w:type="dxa"/>
          </w:tblCellMar>
        </w:tblPrEx>
        <w:trPr>
          <w:trHeight w:val="45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543E0C0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709" w:type="dxa"/>
            <w:vMerge w:val="continue"/>
            <w:tcBorders>
              <w:top w:val="nil"/>
              <w:left w:val="single" w:color="auto" w:sz="4" w:space="0"/>
              <w:bottom w:val="single" w:color="000000" w:sz="4" w:space="0"/>
              <w:right w:val="single" w:color="auto" w:sz="4" w:space="0"/>
            </w:tcBorders>
            <w:shd w:val="clear" w:color="auto" w:fill="auto"/>
            <w:vAlign w:val="center"/>
          </w:tcPr>
          <w:p w14:paraId="3D5EFCF2">
            <w:pPr>
              <w:widowControl/>
              <w:adjustRightInd/>
              <w:spacing w:line="240" w:lineRule="auto"/>
              <w:jc w:val="left"/>
              <w:rPr>
                <w:rFonts w:ascii="等线" w:hAnsi="等线" w:eastAsia="等线" w:cs="宋体"/>
                <w:color w:val="000000"/>
                <w:kern w:val="0"/>
                <w:sz w:val="22"/>
                <w:szCs w:val="22"/>
              </w:rPr>
            </w:pPr>
          </w:p>
        </w:tc>
        <w:tc>
          <w:tcPr>
            <w:tcW w:w="4111" w:type="dxa"/>
            <w:gridSpan w:val="3"/>
            <w:tcBorders>
              <w:top w:val="single" w:color="auto" w:sz="4" w:space="0"/>
              <w:left w:val="nil"/>
              <w:bottom w:val="single" w:color="auto" w:sz="4" w:space="0"/>
              <w:right w:val="single" w:color="auto" w:sz="4" w:space="0"/>
            </w:tcBorders>
            <w:shd w:val="clear" w:color="auto" w:fill="auto"/>
            <w:vAlign w:val="center"/>
          </w:tcPr>
          <w:p w14:paraId="11581A30">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活动结束后应及时清理活动现场，确保整洁</w:t>
            </w:r>
          </w:p>
        </w:tc>
        <w:tc>
          <w:tcPr>
            <w:tcW w:w="1040" w:type="dxa"/>
            <w:tcBorders>
              <w:top w:val="nil"/>
              <w:left w:val="nil"/>
              <w:bottom w:val="single" w:color="auto" w:sz="4" w:space="0"/>
              <w:right w:val="single" w:color="auto" w:sz="4" w:space="0"/>
            </w:tcBorders>
            <w:shd w:val="clear" w:color="auto" w:fill="auto"/>
            <w:noWrap/>
            <w:vAlign w:val="center"/>
          </w:tcPr>
          <w:p w14:paraId="5BDFDE59">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color w:val="auto"/>
                <w:kern w:val="0"/>
                <w:sz w:val="22"/>
                <w:szCs w:val="22"/>
              </w:rPr>
              <w:t>10</w:t>
            </w:r>
          </w:p>
        </w:tc>
        <w:tc>
          <w:tcPr>
            <w:tcW w:w="661" w:type="dxa"/>
            <w:tcBorders>
              <w:top w:val="nil"/>
              <w:left w:val="nil"/>
              <w:bottom w:val="single" w:color="auto" w:sz="4" w:space="0"/>
              <w:right w:val="single" w:color="auto" w:sz="4" w:space="0"/>
            </w:tcBorders>
            <w:shd w:val="clear" w:color="auto" w:fill="auto"/>
            <w:noWrap/>
            <w:vAlign w:val="center"/>
          </w:tcPr>
          <w:p w14:paraId="06B0F18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40924CC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1" w:type="dxa"/>
            <w:tcBorders>
              <w:top w:val="nil"/>
              <w:left w:val="nil"/>
              <w:bottom w:val="single" w:color="auto" w:sz="4" w:space="0"/>
              <w:right w:val="single" w:color="auto" w:sz="4" w:space="0"/>
            </w:tcBorders>
            <w:shd w:val="clear" w:color="auto" w:fill="auto"/>
            <w:noWrap/>
            <w:vAlign w:val="bottom"/>
          </w:tcPr>
          <w:p w14:paraId="17E5ED5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5356565">
        <w:tblPrEx>
          <w:tblCellMar>
            <w:top w:w="0" w:type="dxa"/>
            <w:left w:w="108" w:type="dxa"/>
            <w:bottom w:w="0" w:type="dxa"/>
            <w:right w:w="108" w:type="dxa"/>
          </w:tblCellMar>
        </w:tblPrEx>
        <w:trPr>
          <w:trHeight w:val="5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0F6A54B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0" w:type="dxa"/>
            <w:gridSpan w:val="4"/>
            <w:tcBorders>
              <w:top w:val="single" w:color="auto" w:sz="4" w:space="0"/>
              <w:left w:val="nil"/>
              <w:bottom w:val="single" w:color="auto" w:sz="4" w:space="0"/>
              <w:right w:val="single" w:color="auto" w:sz="4" w:space="0"/>
            </w:tcBorders>
            <w:shd w:val="clear" w:color="auto" w:fill="auto"/>
            <w:noWrap/>
            <w:vAlign w:val="center"/>
          </w:tcPr>
          <w:p w14:paraId="02D4FA67">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1040" w:type="dxa"/>
            <w:tcBorders>
              <w:top w:val="nil"/>
              <w:left w:val="nil"/>
              <w:bottom w:val="single" w:color="auto" w:sz="4" w:space="0"/>
              <w:right w:val="single" w:color="auto" w:sz="4" w:space="0"/>
            </w:tcBorders>
            <w:shd w:val="clear" w:color="auto" w:fill="auto"/>
            <w:noWrap/>
            <w:vAlign w:val="center"/>
          </w:tcPr>
          <w:p w14:paraId="40E329F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661" w:type="dxa"/>
            <w:tcBorders>
              <w:top w:val="nil"/>
              <w:left w:val="nil"/>
              <w:bottom w:val="single" w:color="auto" w:sz="4" w:space="0"/>
              <w:right w:val="single" w:color="auto" w:sz="4" w:space="0"/>
            </w:tcBorders>
            <w:shd w:val="clear" w:color="auto" w:fill="auto"/>
            <w:noWrap/>
            <w:vAlign w:val="bottom"/>
          </w:tcPr>
          <w:p w14:paraId="2194FE32">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bottom"/>
          </w:tcPr>
          <w:p w14:paraId="40D94643">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1" w:type="dxa"/>
            <w:tcBorders>
              <w:top w:val="nil"/>
              <w:left w:val="nil"/>
              <w:bottom w:val="single" w:color="auto" w:sz="4" w:space="0"/>
              <w:right w:val="single" w:color="auto" w:sz="4" w:space="0"/>
            </w:tcBorders>
            <w:shd w:val="clear" w:color="auto" w:fill="auto"/>
            <w:noWrap/>
            <w:vAlign w:val="bottom"/>
          </w:tcPr>
          <w:p w14:paraId="78D1B76B">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7AB87F7">
        <w:tblPrEx>
          <w:tblCellMar>
            <w:top w:w="0" w:type="dxa"/>
            <w:left w:w="108" w:type="dxa"/>
            <w:bottom w:w="0" w:type="dxa"/>
            <w:right w:w="108" w:type="dxa"/>
          </w:tblCellMar>
        </w:tblPrEx>
        <w:trPr>
          <w:trHeight w:val="630" w:hRule="atLeast"/>
        </w:trPr>
        <w:tc>
          <w:tcPr>
            <w:tcW w:w="127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B6C564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384F84A2">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43F68B3D">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991" w:type="dxa"/>
            <w:tcBorders>
              <w:top w:val="single" w:color="auto" w:sz="4" w:space="0"/>
              <w:left w:val="nil"/>
              <w:bottom w:val="single" w:color="auto" w:sz="4" w:space="0"/>
              <w:right w:val="single" w:color="auto" w:sz="4" w:space="0"/>
            </w:tcBorders>
            <w:shd w:val="clear" w:color="auto" w:fill="auto"/>
            <w:vAlign w:val="center"/>
          </w:tcPr>
          <w:p w14:paraId="6811B80B">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701" w:type="dxa"/>
            <w:gridSpan w:val="2"/>
            <w:tcBorders>
              <w:top w:val="single" w:color="auto" w:sz="4" w:space="0"/>
              <w:left w:val="nil"/>
              <w:bottom w:val="single" w:color="auto" w:sz="4" w:space="0"/>
              <w:right w:val="single" w:color="auto" w:sz="4" w:space="0"/>
            </w:tcBorders>
            <w:shd w:val="clear" w:color="auto" w:fill="auto"/>
            <w:noWrap/>
            <w:vAlign w:val="center"/>
          </w:tcPr>
          <w:p w14:paraId="207006C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709" w:type="dxa"/>
            <w:tcBorders>
              <w:top w:val="nil"/>
              <w:left w:val="nil"/>
              <w:bottom w:val="single" w:color="auto" w:sz="4" w:space="0"/>
              <w:right w:val="single" w:color="auto" w:sz="4" w:space="0"/>
            </w:tcBorders>
            <w:shd w:val="clear" w:color="auto" w:fill="auto"/>
            <w:noWrap/>
            <w:vAlign w:val="center"/>
          </w:tcPr>
          <w:p w14:paraId="19F4242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1" w:type="dxa"/>
            <w:tcBorders>
              <w:top w:val="nil"/>
              <w:left w:val="nil"/>
              <w:bottom w:val="single" w:color="auto" w:sz="4" w:space="0"/>
              <w:right w:val="single" w:color="auto" w:sz="4" w:space="0"/>
            </w:tcBorders>
            <w:shd w:val="clear" w:color="auto" w:fill="auto"/>
            <w:noWrap/>
            <w:vAlign w:val="bottom"/>
          </w:tcPr>
          <w:p w14:paraId="2407B6B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7CEA43FB">
      <w:pPr>
        <w:rPr>
          <w:rFonts w:ascii="黑体" w:hAnsi="黑体" w:eastAsia="黑体"/>
        </w:rPr>
      </w:pPr>
    </w:p>
    <w:p w14:paraId="19525A71">
      <w:pPr>
        <w:rPr>
          <w:rFonts w:ascii="黑体" w:hAnsi="黑体" w:eastAsia="黑体"/>
        </w:rPr>
      </w:pPr>
    </w:p>
    <w:p w14:paraId="3E96314C">
      <w:pPr>
        <w:rPr>
          <w:rFonts w:ascii="黑体" w:hAnsi="黑体" w:eastAsia="黑体"/>
        </w:rPr>
      </w:pPr>
    </w:p>
    <w:p w14:paraId="36F16AA3">
      <w:pPr>
        <w:rPr>
          <w:rFonts w:ascii="黑体" w:hAnsi="黑体" w:eastAsia="黑体"/>
        </w:rPr>
      </w:pPr>
    </w:p>
    <w:p w14:paraId="403BCAB9">
      <w:pPr>
        <w:rPr>
          <w:rFonts w:ascii="黑体" w:hAnsi="黑体" w:eastAsia="黑体"/>
        </w:rPr>
      </w:pPr>
    </w:p>
    <w:p w14:paraId="5D17B685">
      <w:pPr>
        <w:rPr>
          <w:rFonts w:ascii="黑体" w:hAnsi="黑体" w:eastAsia="黑体"/>
        </w:rPr>
      </w:pPr>
    </w:p>
    <w:p w14:paraId="58AAC677">
      <w:pPr>
        <w:rPr>
          <w:rFonts w:ascii="黑体" w:hAnsi="黑体" w:eastAsia="黑体"/>
        </w:rPr>
      </w:pPr>
    </w:p>
    <w:p w14:paraId="5C973624">
      <w:pPr>
        <w:rPr>
          <w:rFonts w:ascii="黑体" w:hAnsi="黑体" w:eastAsia="黑体"/>
        </w:rPr>
      </w:pPr>
    </w:p>
    <w:p w14:paraId="3CAD840C">
      <w:pPr>
        <w:rPr>
          <w:rFonts w:ascii="黑体" w:hAnsi="黑体" w:eastAsia="黑体"/>
        </w:rPr>
      </w:pPr>
    </w:p>
    <w:p w14:paraId="230EE262">
      <w:pPr>
        <w:rPr>
          <w:rFonts w:ascii="黑体" w:hAnsi="黑体" w:eastAsia="黑体"/>
        </w:rPr>
      </w:pPr>
    </w:p>
    <w:p w14:paraId="43894701">
      <w:pPr>
        <w:rPr>
          <w:rFonts w:ascii="黑体" w:hAnsi="黑体" w:eastAsia="黑体"/>
        </w:rPr>
      </w:pPr>
    </w:p>
    <w:p w14:paraId="24D715C5">
      <w:pPr>
        <w:rPr>
          <w:rFonts w:ascii="黑体" w:hAnsi="黑体" w:eastAsia="黑体"/>
        </w:rPr>
      </w:pPr>
    </w:p>
    <w:p w14:paraId="2C418150">
      <w:pPr>
        <w:jc w:val="center"/>
        <w:rPr>
          <w:rFonts w:ascii="黑体" w:hAnsi="黑体"/>
          <w:b/>
          <w:bCs/>
          <w:sz w:val="24"/>
          <w:szCs w:val="24"/>
        </w:rPr>
      </w:pPr>
      <w:r>
        <w:rPr>
          <w:rFonts w:hint="eastAsia" w:ascii="黑体" w:hAnsi="黑体"/>
          <w:b/>
          <w:bCs/>
          <w:sz w:val="24"/>
          <w:szCs w:val="24"/>
        </w:rPr>
        <w:t>表B.</w:t>
      </w:r>
      <w:r>
        <w:rPr>
          <w:rFonts w:ascii="黑体" w:hAnsi="黑体"/>
          <w:b/>
          <w:bCs/>
          <w:sz w:val="24"/>
          <w:szCs w:val="24"/>
        </w:rPr>
        <w:t>8</w:t>
      </w:r>
      <w:r>
        <w:rPr>
          <w:rFonts w:hint="eastAsia" w:ascii="黑体" w:hAnsi="黑体"/>
          <w:b/>
          <w:bCs/>
          <w:sz w:val="24"/>
          <w:szCs w:val="24"/>
        </w:rPr>
        <w:t>社区居家养老服务-</w:t>
      </w:r>
      <w:r>
        <w:rPr>
          <w:rFonts w:hint="eastAsia" w:ascii="黑体" w:hAnsi="黑体"/>
          <w:b/>
          <w:bCs/>
          <w:sz w:val="30"/>
          <w:szCs w:val="30"/>
        </w:rPr>
        <w:t>能力评估</w:t>
      </w:r>
      <w:r>
        <w:rPr>
          <w:rFonts w:hint="eastAsia" w:ascii="黑体" w:hAnsi="黑体"/>
          <w:b/>
          <w:bCs/>
          <w:sz w:val="24"/>
          <w:szCs w:val="24"/>
        </w:rPr>
        <w:t>特性测评工具</w:t>
      </w:r>
    </w:p>
    <w:p w14:paraId="79EE31C2">
      <w:pPr>
        <w:rPr>
          <w:rFonts w:ascii="黑体" w:hAnsi="黑体" w:eastAsia="黑体"/>
        </w:rPr>
      </w:pPr>
    </w:p>
    <w:tbl>
      <w:tblPr>
        <w:tblStyle w:val="28"/>
        <w:tblW w:w="9994" w:type="dxa"/>
        <w:tblInd w:w="-431" w:type="dxa"/>
        <w:tblLayout w:type="autofit"/>
        <w:tblCellMar>
          <w:top w:w="0" w:type="dxa"/>
          <w:left w:w="108" w:type="dxa"/>
          <w:bottom w:w="0" w:type="dxa"/>
          <w:right w:w="108" w:type="dxa"/>
        </w:tblCellMar>
      </w:tblPr>
      <w:tblGrid>
        <w:gridCol w:w="562"/>
        <w:gridCol w:w="804"/>
        <w:gridCol w:w="2080"/>
        <w:gridCol w:w="1040"/>
        <w:gridCol w:w="902"/>
        <w:gridCol w:w="850"/>
        <w:gridCol w:w="807"/>
        <w:gridCol w:w="709"/>
        <w:gridCol w:w="2245"/>
      </w:tblGrid>
      <w:tr w14:paraId="2D8EF26D">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ADE36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804" w:type="dxa"/>
            <w:tcBorders>
              <w:top w:val="single" w:color="auto" w:sz="4" w:space="0"/>
              <w:left w:val="nil"/>
              <w:bottom w:val="single" w:color="auto" w:sz="4" w:space="0"/>
              <w:right w:val="single" w:color="auto" w:sz="4" w:space="0"/>
            </w:tcBorders>
            <w:shd w:val="clear" w:color="auto" w:fill="auto"/>
            <w:vAlign w:val="center"/>
          </w:tcPr>
          <w:p w14:paraId="721A69D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评价项目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（分值）</w:t>
            </w:r>
          </w:p>
        </w:tc>
        <w:tc>
          <w:tcPr>
            <w:tcW w:w="4022" w:type="dxa"/>
            <w:gridSpan w:val="3"/>
            <w:tcBorders>
              <w:top w:val="single" w:color="auto" w:sz="4" w:space="0"/>
              <w:left w:val="nil"/>
              <w:bottom w:val="single" w:color="auto" w:sz="4" w:space="0"/>
              <w:right w:val="single" w:color="auto" w:sz="4" w:space="0"/>
            </w:tcBorders>
            <w:shd w:val="clear" w:color="auto" w:fill="auto"/>
            <w:noWrap/>
            <w:vAlign w:val="center"/>
          </w:tcPr>
          <w:p w14:paraId="039D76C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0" w:type="dxa"/>
            <w:tcBorders>
              <w:top w:val="single" w:color="auto" w:sz="4" w:space="0"/>
              <w:left w:val="nil"/>
              <w:bottom w:val="single" w:color="auto" w:sz="4" w:space="0"/>
              <w:right w:val="single" w:color="auto" w:sz="4" w:space="0"/>
            </w:tcBorders>
            <w:shd w:val="clear" w:color="auto" w:fill="auto"/>
            <w:vAlign w:val="center"/>
          </w:tcPr>
          <w:p w14:paraId="27E1C26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802" w:type="dxa"/>
            <w:tcBorders>
              <w:top w:val="single" w:color="auto" w:sz="4" w:space="0"/>
              <w:left w:val="nil"/>
              <w:bottom w:val="single" w:color="auto" w:sz="4" w:space="0"/>
              <w:right w:val="single" w:color="auto" w:sz="4" w:space="0"/>
            </w:tcBorders>
            <w:shd w:val="clear" w:color="auto" w:fill="auto"/>
            <w:vAlign w:val="center"/>
          </w:tcPr>
          <w:p w14:paraId="209D96E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709" w:type="dxa"/>
            <w:tcBorders>
              <w:top w:val="single" w:color="auto" w:sz="4" w:space="0"/>
              <w:left w:val="nil"/>
              <w:bottom w:val="single" w:color="auto" w:sz="4" w:space="0"/>
              <w:right w:val="single" w:color="auto" w:sz="4" w:space="0"/>
            </w:tcBorders>
            <w:shd w:val="clear" w:color="auto" w:fill="auto"/>
            <w:vAlign w:val="center"/>
          </w:tcPr>
          <w:p w14:paraId="7B8911C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2240" w:type="dxa"/>
            <w:tcBorders>
              <w:top w:val="single" w:color="auto" w:sz="4" w:space="0"/>
              <w:left w:val="nil"/>
              <w:bottom w:val="single" w:color="auto" w:sz="4" w:space="0"/>
              <w:right w:val="single" w:color="auto" w:sz="4" w:space="0"/>
            </w:tcBorders>
            <w:shd w:val="clear" w:color="auto" w:fill="auto"/>
            <w:vAlign w:val="center"/>
          </w:tcPr>
          <w:p w14:paraId="5700397E">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kern w:val="0"/>
                <w:sz w:val="22"/>
                <w:szCs w:val="22"/>
              </w:rPr>
              <w:t>体验记录</w:t>
            </w:r>
          </w:p>
        </w:tc>
      </w:tr>
      <w:tr w14:paraId="5AE4B46A">
        <w:tblPrEx>
          <w:tblCellMar>
            <w:top w:w="0" w:type="dxa"/>
            <w:left w:w="108" w:type="dxa"/>
            <w:bottom w:w="0" w:type="dxa"/>
            <w:right w:w="108" w:type="dxa"/>
          </w:tblCellMar>
        </w:tblPrEx>
        <w:trPr>
          <w:trHeight w:val="650" w:hRule="atLeast"/>
        </w:trPr>
        <w:tc>
          <w:tcPr>
            <w:tcW w:w="9994"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4B3DB3C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.8 能力评估服务（100分）</w:t>
            </w:r>
          </w:p>
        </w:tc>
      </w:tr>
      <w:tr w14:paraId="40FEA38E">
        <w:tblPrEx>
          <w:tblCellMar>
            <w:top w:w="0" w:type="dxa"/>
            <w:left w:w="108" w:type="dxa"/>
            <w:bottom w:w="0" w:type="dxa"/>
            <w:right w:w="108" w:type="dxa"/>
          </w:tblCellMar>
        </w:tblPrEx>
        <w:trPr>
          <w:trHeight w:val="11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0CD0F0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04" w:type="dxa"/>
            <w:tcBorders>
              <w:top w:val="nil"/>
              <w:left w:val="nil"/>
              <w:bottom w:val="single" w:color="auto" w:sz="4" w:space="0"/>
              <w:right w:val="single" w:color="auto" w:sz="4" w:space="0"/>
            </w:tcBorders>
            <w:shd w:val="clear" w:color="auto" w:fill="auto"/>
            <w:vAlign w:val="center"/>
          </w:tcPr>
          <w:p w14:paraId="7A89CA1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42CCA358">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应根据服务对象的服务需求对老年人的生理、心理状况和服务需求进行评估。</w:t>
            </w:r>
          </w:p>
        </w:tc>
        <w:tc>
          <w:tcPr>
            <w:tcW w:w="850" w:type="dxa"/>
            <w:tcBorders>
              <w:top w:val="nil"/>
              <w:left w:val="nil"/>
              <w:bottom w:val="single" w:color="auto" w:sz="4" w:space="0"/>
              <w:right w:val="single" w:color="auto" w:sz="4" w:space="0"/>
            </w:tcBorders>
            <w:shd w:val="clear" w:color="auto" w:fill="auto"/>
            <w:noWrap/>
            <w:vAlign w:val="center"/>
          </w:tcPr>
          <w:p w14:paraId="370F9D65">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kern w:val="0"/>
                <w:sz w:val="22"/>
                <w:szCs w:val="22"/>
              </w:rPr>
              <w:t>20</w:t>
            </w:r>
          </w:p>
        </w:tc>
        <w:tc>
          <w:tcPr>
            <w:tcW w:w="802" w:type="dxa"/>
            <w:tcBorders>
              <w:top w:val="nil"/>
              <w:left w:val="nil"/>
              <w:bottom w:val="single" w:color="auto" w:sz="4" w:space="0"/>
              <w:right w:val="single" w:color="auto" w:sz="4" w:space="0"/>
            </w:tcBorders>
            <w:shd w:val="clear" w:color="auto" w:fill="auto"/>
            <w:noWrap/>
            <w:vAlign w:val="center"/>
          </w:tcPr>
          <w:p w14:paraId="620E5B4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4087047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34168C11">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49AE1E6">
        <w:tblPrEx>
          <w:tblCellMar>
            <w:top w:w="0" w:type="dxa"/>
            <w:left w:w="108" w:type="dxa"/>
            <w:bottom w:w="0" w:type="dxa"/>
            <w:right w:w="108" w:type="dxa"/>
          </w:tblCellMar>
        </w:tblPrEx>
        <w:trPr>
          <w:trHeight w:val="57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7068F6B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04" w:type="dxa"/>
            <w:vMerge w:val="restart"/>
            <w:tcBorders>
              <w:top w:val="nil"/>
              <w:left w:val="single" w:color="auto" w:sz="4" w:space="0"/>
              <w:bottom w:val="nil"/>
              <w:right w:val="single" w:color="auto" w:sz="4" w:space="0"/>
            </w:tcBorders>
            <w:shd w:val="clear" w:color="auto" w:fill="auto"/>
            <w:vAlign w:val="center"/>
          </w:tcPr>
          <w:p w14:paraId="6C1692A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12AA79C2">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能力评估指标按GB/T 42195-2022《老年人能力评估规范》标准附录B进行。</w:t>
            </w:r>
          </w:p>
        </w:tc>
        <w:tc>
          <w:tcPr>
            <w:tcW w:w="850" w:type="dxa"/>
            <w:tcBorders>
              <w:top w:val="nil"/>
              <w:left w:val="nil"/>
              <w:bottom w:val="single" w:color="auto" w:sz="4" w:space="0"/>
              <w:right w:val="single" w:color="auto" w:sz="4" w:space="0"/>
            </w:tcBorders>
            <w:shd w:val="clear" w:color="auto" w:fill="auto"/>
            <w:noWrap/>
            <w:vAlign w:val="center"/>
          </w:tcPr>
          <w:p w14:paraId="278823A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802" w:type="dxa"/>
            <w:tcBorders>
              <w:top w:val="nil"/>
              <w:left w:val="nil"/>
              <w:bottom w:val="single" w:color="auto" w:sz="4" w:space="0"/>
              <w:right w:val="single" w:color="auto" w:sz="4" w:space="0"/>
            </w:tcBorders>
            <w:shd w:val="clear" w:color="auto" w:fill="auto"/>
            <w:noWrap/>
            <w:vAlign w:val="center"/>
          </w:tcPr>
          <w:p w14:paraId="5841832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10FE467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383A2D45">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2D467D8">
        <w:tblPrEx>
          <w:tblCellMar>
            <w:top w:w="0" w:type="dxa"/>
            <w:left w:w="108" w:type="dxa"/>
            <w:bottom w:w="0" w:type="dxa"/>
            <w:right w:w="108" w:type="dxa"/>
          </w:tblCellMar>
        </w:tblPrEx>
        <w:trPr>
          <w:trHeight w:val="66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5FD2F40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04" w:type="dxa"/>
            <w:vMerge w:val="continue"/>
            <w:tcBorders>
              <w:top w:val="nil"/>
              <w:left w:val="single" w:color="auto" w:sz="4" w:space="0"/>
              <w:bottom w:val="nil"/>
              <w:right w:val="single" w:color="auto" w:sz="4" w:space="0"/>
            </w:tcBorders>
            <w:shd w:val="clear" w:color="auto" w:fill="auto"/>
            <w:vAlign w:val="center"/>
          </w:tcPr>
          <w:p w14:paraId="31C96168">
            <w:pPr>
              <w:widowControl/>
              <w:adjustRightInd/>
              <w:spacing w:line="240" w:lineRule="auto"/>
              <w:jc w:val="left"/>
              <w:rPr>
                <w:rFonts w:ascii="等线" w:hAnsi="等线" w:eastAsia="等线" w:cs="宋体"/>
                <w:color w:val="000000"/>
                <w:kern w:val="0"/>
                <w:sz w:val="22"/>
                <w:szCs w:val="22"/>
              </w:rPr>
            </w:pP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3F2A699F">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能力评估应按照GB/T42195-2022的要求实施，编制能力评估报告，报告满足GB/T 42195-2023 附录C的要求。</w:t>
            </w:r>
          </w:p>
        </w:tc>
        <w:tc>
          <w:tcPr>
            <w:tcW w:w="850" w:type="dxa"/>
            <w:tcBorders>
              <w:top w:val="nil"/>
              <w:left w:val="nil"/>
              <w:bottom w:val="single" w:color="auto" w:sz="4" w:space="0"/>
              <w:right w:val="single" w:color="auto" w:sz="4" w:space="0"/>
            </w:tcBorders>
            <w:shd w:val="clear" w:color="auto" w:fill="auto"/>
            <w:noWrap/>
            <w:vAlign w:val="center"/>
          </w:tcPr>
          <w:p w14:paraId="6EB8BBF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802" w:type="dxa"/>
            <w:tcBorders>
              <w:top w:val="nil"/>
              <w:left w:val="nil"/>
              <w:bottom w:val="single" w:color="auto" w:sz="4" w:space="0"/>
              <w:right w:val="single" w:color="auto" w:sz="4" w:space="0"/>
            </w:tcBorders>
            <w:shd w:val="clear" w:color="auto" w:fill="auto"/>
            <w:noWrap/>
            <w:vAlign w:val="center"/>
          </w:tcPr>
          <w:p w14:paraId="2A880F7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4EE4B11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3AFAC7AD">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33CBE88">
        <w:tblPrEx>
          <w:tblCellMar>
            <w:top w:w="0" w:type="dxa"/>
            <w:left w:w="108" w:type="dxa"/>
            <w:bottom w:w="0" w:type="dxa"/>
            <w:right w:w="108" w:type="dxa"/>
          </w:tblCellMar>
        </w:tblPrEx>
        <w:trPr>
          <w:trHeight w:val="69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0A7577A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04" w:type="dxa"/>
            <w:vMerge w:val="continue"/>
            <w:tcBorders>
              <w:top w:val="nil"/>
              <w:left w:val="single" w:color="auto" w:sz="4" w:space="0"/>
              <w:bottom w:val="nil"/>
              <w:right w:val="single" w:color="auto" w:sz="4" w:space="0"/>
            </w:tcBorders>
            <w:shd w:val="clear" w:color="auto" w:fill="auto"/>
            <w:vAlign w:val="center"/>
          </w:tcPr>
          <w:p w14:paraId="32A0BDD2">
            <w:pPr>
              <w:widowControl/>
              <w:adjustRightInd/>
              <w:spacing w:line="240" w:lineRule="auto"/>
              <w:jc w:val="left"/>
              <w:rPr>
                <w:rFonts w:ascii="等线" w:hAnsi="等线" w:eastAsia="等线" w:cs="宋体"/>
                <w:color w:val="000000"/>
                <w:kern w:val="0"/>
                <w:sz w:val="22"/>
                <w:szCs w:val="22"/>
              </w:rPr>
            </w:pP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6241982F">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评估员应具有医学或护理学学历背景，或获得社会工作者资格证书，或获得高级养老护理员资 格证书，并经过专门培训获得评估员资格认证。</w:t>
            </w:r>
          </w:p>
        </w:tc>
        <w:tc>
          <w:tcPr>
            <w:tcW w:w="850" w:type="dxa"/>
            <w:tcBorders>
              <w:top w:val="nil"/>
              <w:left w:val="nil"/>
              <w:bottom w:val="single" w:color="auto" w:sz="4" w:space="0"/>
              <w:right w:val="single" w:color="auto" w:sz="4" w:space="0"/>
            </w:tcBorders>
            <w:shd w:val="clear" w:color="auto" w:fill="auto"/>
            <w:noWrap/>
            <w:vAlign w:val="center"/>
          </w:tcPr>
          <w:p w14:paraId="5AED6DE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802" w:type="dxa"/>
            <w:tcBorders>
              <w:top w:val="nil"/>
              <w:left w:val="nil"/>
              <w:bottom w:val="single" w:color="auto" w:sz="4" w:space="0"/>
              <w:right w:val="single" w:color="auto" w:sz="4" w:space="0"/>
            </w:tcBorders>
            <w:shd w:val="clear" w:color="auto" w:fill="auto"/>
            <w:noWrap/>
            <w:vAlign w:val="center"/>
          </w:tcPr>
          <w:p w14:paraId="2BE2BF8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19D0FD2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5EEAA1DA">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281EF0E">
        <w:tblPrEx>
          <w:tblCellMar>
            <w:top w:w="0" w:type="dxa"/>
            <w:left w:w="108" w:type="dxa"/>
            <w:bottom w:w="0" w:type="dxa"/>
            <w:right w:w="108" w:type="dxa"/>
          </w:tblCellMar>
        </w:tblPrEx>
        <w:trPr>
          <w:trHeight w:val="5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71293BE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6" w:type="dxa"/>
            <w:gridSpan w:val="4"/>
            <w:tcBorders>
              <w:top w:val="single" w:color="auto" w:sz="4" w:space="0"/>
              <w:left w:val="nil"/>
              <w:bottom w:val="single" w:color="auto" w:sz="4" w:space="0"/>
              <w:right w:val="single" w:color="auto" w:sz="4" w:space="0"/>
            </w:tcBorders>
            <w:shd w:val="clear" w:color="auto" w:fill="auto"/>
            <w:noWrap/>
            <w:vAlign w:val="center"/>
          </w:tcPr>
          <w:p w14:paraId="01336CD0">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850" w:type="dxa"/>
            <w:tcBorders>
              <w:top w:val="nil"/>
              <w:left w:val="nil"/>
              <w:bottom w:val="single" w:color="auto" w:sz="4" w:space="0"/>
              <w:right w:val="single" w:color="auto" w:sz="4" w:space="0"/>
            </w:tcBorders>
            <w:shd w:val="clear" w:color="auto" w:fill="auto"/>
            <w:noWrap/>
            <w:vAlign w:val="center"/>
          </w:tcPr>
          <w:p w14:paraId="7A0C82B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802" w:type="dxa"/>
            <w:tcBorders>
              <w:top w:val="nil"/>
              <w:left w:val="nil"/>
              <w:bottom w:val="single" w:color="auto" w:sz="4" w:space="0"/>
              <w:right w:val="single" w:color="auto" w:sz="4" w:space="0"/>
            </w:tcBorders>
            <w:shd w:val="clear" w:color="auto" w:fill="auto"/>
            <w:noWrap/>
            <w:vAlign w:val="bottom"/>
          </w:tcPr>
          <w:p w14:paraId="39BDF7EB">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bottom"/>
          </w:tcPr>
          <w:p w14:paraId="4CADD9A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193BAF5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6F03C4B">
        <w:tblPrEx>
          <w:tblCellMar>
            <w:top w:w="0" w:type="dxa"/>
            <w:left w:w="108" w:type="dxa"/>
            <w:bottom w:w="0" w:type="dxa"/>
            <w:right w:w="108" w:type="dxa"/>
          </w:tblCellMar>
        </w:tblPrEx>
        <w:trPr>
          <w:trHeight w:val="630" w:hRule="atLeast"/>
        </w:trPr>
        <w:tc>
          <w:tcPr>
            <w:tcW w:w="136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BE2139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619008C2">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02B4A5D1">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902" w:type="dxa"/>
            <w:tcBorders>
              <w:top w:val="single" w:color="auto" w:sz="4" w:space="0"/>
              <w:left w:val="nil"/>
              <w:bottom w:val="single" w:color="auto" w:sz="4" w:space="0"/>
              <w:right w:val="single" w:color="auto" w:sz="4" w:space="0"/>
            </w:tcBorders>
            <w:shd w:val="clear" w:color="auto" w:fill="auto"/>
            <w:vAlign w:val="center"/>
          </w:tcPr>
          <w:p w14:paraId="4624534B">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657" w:type="dxa"/>
            <w:gridSpan w:val="2"/>
            <w:tcBorders>
              <w:top w:val="single" w:color="auto" w:sz="4" w:space="0"/>
              <w:left w:val="nil"/>
              <w:bottom w:val="single" w:color="auto" w:sz="4" w:space="0"/>
              <w:right w:val="single" w:color="auto" w:sz="4" w:space="0"/>
            </w:tcBorders>
            <w:shd w:val="clear" w:color="auto" w:fill="auto"/>
            <w:noWrap/>
            <w:vAlign w:val="center"/>
          </w:tcPr>
          <w:p w14:paraId="4E0609A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709" w:type="dxa"/>
            <w:tcBorders>
              <w:top w:val="nil"/>
              <w:left w:val="nil"/>
              <w:bottom w:val="single" w:color="auto" w:sz="4" w:space="0"/>
              <w:right w:val="single" w:color="auto" w:sz="4" w:space="0"/>
            </w:tcBorders>
            <w:shd w:val="clear" w:color="auto" w:fill="auto"/>
            <w:noWrap/>
            <w:vAlign w:val="center"/>
          </w:tcPr>
          <w:p w14:paraId="3B9F183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143E1AB0">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71AA4F80">
      <w:pPr>
        <w:rPr>
          <w:rFonts w:ascii="黑体" w:hAnsi="黑体" w:eastAsia="黑体"/>
        </w:rPr>
      </w:pPr>
    </w:p>
    <w:p w14:paraId="652E516C">
      <w:pPr>
        <w:rPr>
          <w:rFonts w:ascii="黑体" w:hAnsi="黑体" w:eastAsia="黑体"/>
        </w:rPr>
      </w:pPr>
    </w:p>
    <w:p w14:paraId="1D4EAF02">
      <w:pPr>
        <w:rPr>
          <w:rFonts w:ascii="黑体" w:hAnsi="黑体" w:eastAsia="黑体"/>
        </w:rPr>
      </w:pPr>
    </w:p>
    <w:p w14:paraId="610C3EAF">
      <w:pPr>
        <w:rPr>
          <w:rFonts w:ascii="黑体" w:hAnsi="黑体" w:eastAsia="黑体"/>
        </w:rPr>
      </w:pPr>
    </w:p>
    <w:p w14:paraId="14B08062">
      <w:pPr>
        <w:rPr>
          <w:rFonts w:ascii="黑体" w:hAnsi="黑体" w:eastAsia="黑体"/>
        </w:rPr>
      </w:pPr>
    </w:p>
    <w:p w14:paraId="6F6CC038">
      <w:pPr>
        <w:rPr>
          <w:rFonts w:ascii="黑体" w:hAnsi="黑体" w:eastAsia="黑体"/>
        </w:rPr>
      </w:pPr>
    </w:p>
    <w:p w14:paraId="75A98204">
      <w:pPr>
        <w:rPr>
          <w:rFonts w:ascii="黑体" w:hAnsi="黑体" w:eastAsia="黑体"/>
        </w:rPr>
      </w:pPr>
    </w:p>
    <w:p w14:paraId="4233E6C8">
      <w:pPr>
        <w:rPr>
          <w:rFonts w:ascii="黑体" w:hAnsi="黑体" w:eastAsia="黑体"/>
        </w:rPr>
      </w:pPr>
    </w:p>
    <w:p w14:paraId="640BBA90">
      <w:pPr>
        <w:rPr>
          <w:rFonts w:ascii="黑体" w:hAnsi="黑体" w:eastAsia="黑体"/>
        </w:rPr>
      </w:pPr>
    </w:p>
    <w:p w14:paraId="017A29ED">
      <w:pPr>
        <w:rPr>
          <w:rFonts w:ascii="黑体" w:hAnsi="黑体" w:eastAsia="黑体"/>
        </w:rPr>
      </w:pPr>
    </w:p>
    <w:p w14:paraId="1E0E1BD6">
      <w:pPr>
        <w:rPr>
          <w:rFonts w:ascii="黑体" w:hAnsi="黑体" w:eastAsia="黑体"/>
        </w:rPr>
      </w:pPr>
    </w:p>
    <w:p w14:paraId="467AAEED">
      <w:pPr>
        <w:rPr>
          <w:rFonts w:ascii="黑体" w:hAnsi="黑体" w:eastAsia="黑体"/>
        </w:rPr>
      </w:pPr>
    </w:p>
    <w:p w14:paraId="42F6FF37">
      <w:pPr>
        <w:rPr>
          <w:rFonts w:ascii="黑体" w:hAnsi="黑体" w:eastAsia="黑体"/>
        </w:rPr>
      </w:pPr>
    </w:p>
    <w:p w14:paraId="287B4AA5">
      <w:pPr>
        <w:rPr>
          <w:rFonts w:ascii="黑体" w:hAnsi="黑体" w:eastAsia="黑体"/>
        </w:rPr>
      </w:pPr>
    </w:p>
    <w:p w14:paraId="6F926907">
      <w:pPr>
        <w:jc w:val="center"/>
        <w:rPr>
          <w:rFonts w:ascii="黑体" w:hAnsi="黑体"/>
          <w:b/>
          <w:bCs/>
          <w:sz w:val="24"/>
          <w:szCs w:val="24"/>
        </w:rPr>
      </w:pPr>
      <w:r>
        <w:rPr>
          <w:rFonts w:hint="eastAsia" w:ascii="黑体" w:hAnsi="黑体"/>
          <w:b/>
          <w:bCs/>
          <w:sz w:val="24"/>
          <w:szCs w:val="24"/>
        </w:rPr>
        <w:t>表B.</w:t>
      </w:r>
      <w:r>
        <w:rPr>
          <w:rFonts w:ascii="黑体" w:hAnsi="黑体"/>
          <w:b/>
          <w:bCs/>
          <w:sz w:val="24"/>
          <w:szCs w:val="24"/>
        </w:rPr>
        <w:t>9</w:t>
      </w:r>
      <w:r>
        <w:rPr>
          <w:rFonts w:hint="eastAsia" w:ascii="黑体" w:hAnsi="黑体"/>
          <w:b/>
          <w:bCs/>
          <w:sz w:val="24"/>
          <w:szCs w:val="24"/>
        </w:rPr>
        <w:t>社区居家养老服务-</w:t>
      </w:r>
      <w:r>
        <w:rPr>
          <w:rFonts w:hint="eastAsia" w:ascii="黑体" w:hAnsi="黑体"/>
          <w:b/>
          <w:bCs/>
          <w:sz w:val="30"/>
          <w:szCs w:val="30"/>
        </w:rPr>
        <w:t>适老化改造</w:t>
      </w:r>
      <w:r>
        <w:rPr>
          <w:rFonts w:hint="eastAsia" w:ascii="黑体" w:hAnsi="黑体"/>
          <w:b/>
          <w:bCs/>
          <w:sz w:val="24"/>
          <w:szCs w:val="24"/>
        </w:rPr>
        <w:t>服务特性测评工具</w:t>
      </w:r>
    </w:p>
    <w:p w14:paraId="20FCD808">
      <w:pPr>
        <w:rPr>
          <w:rFonts w:ascii="黑体" w:hAnsi="黑体" w:eastAsia="黑体"/>
        </w:rPr>
      </w:pPr>
    </w:p>
    <w:tbl>
      <w:tblPr>
        <w:tblStyle w:val="28"/>
        <w:tblW w:w="9994" w:type="dxa"/>
        <w:tblInd w:w="-431" w:type="dxa"/>
        <w:tblLayout w:type="autofit"/>
        <w:tblCellMar>
          <w:top w:w="0" w:type="dxa"/>
          <w:left w:w="108" w:type="dxa"/>
          <w:bottom w:w="0" w:type="dxa"/>
          <w:right w:w="108" w:type="dxa"/>
        </w:tblCellMar>
      </w:tblPr>
      <w:tblGrid>
        <w:gridCol w:w="562"/>
        <w:gridCol w:w="804"/>
        <w:gridCol w:w="2080"/>
        <w:gridCol w:w="1040"/>
        <w:gridCol w:w="902"/>
        <w:gridCol w:w="850"/>
        <w:gridCol w:w="807"/>
        <w:gridCol w:w="709"/>
        <w:gridCol w:w="2240"/>
      </w:tblGrid>
      <w:tr w14:paraId="2AC3E568">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A1B67D">
            <w:pPr>
              <w:widowControl/>
              <w:adjustRightInd/>
              <w:spacing w:line="240" w:lineRule="auto"/>
              <w:jc w:val="center"/>
              <w:rPr>
                <w:rFonts w:ascii="等线" w:hAnsi="等线" w:eastAsia="等线" w:cs="宋体"/>
                <w:color w:val="000000"/>
                <w:kern w:val="0"/>
                <w:sz w:val="22"/>
                <w:szCs w:val="22"/>
              </w:rPr>
            </w:pPr>
            <w:bookmarkStart w:id="59" w:name="OLE_LINK4"/>
            <w:r>
              <w:rPr>
                <w:rFonts w:hint="eastAsia" w:ascii="等线" w:hAnsi="等线" w:eastAsia="等线" w:cs="宋体"/>
                <w:color w:val="000000"/>
                <w:kern w:val="0"/>
                <w:sz w:val="22"/>
                <w:szCs w:val="22"/>
              </w:rPr>
              <w:t xml:space="preserve">序号 </w:t>
            </w:r>
          </w:p>
        </w:tc>
        <w:tc>
          <w:tcPr>
            <w:tcW w:w="804" w:type="dxa"/>
            <w:tcBorders>
              <w:top w:val="single" w:color="auto" w:sz="4" w:space="0"/>
              <w:left w:val="nil"/>
              <w:bottom w:val="single" w:color="auto" w:sz="4" w:space="0"/>
              <w:right w:val="single" w:color="auto" w:sz="4" w:space="0"/>
            </w:tcBorders>
            <w:shd w:val="clear" w:color="auto" w:fill="auto"/>
            <w:vAlign w:val="center"/>
          </w:tcPr>
          <w:p w14:paraId="7DF8CB1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评价项目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（分值）</w:t>
            </w:r>
          </w:p>
        </w:tc>
        <w:tc>
          <w:tcPr>
            <w:tcW w:w="4022" w:type="dxa"/>
            <w:gridSpan w:val="3"/>
            <w:tcBorders>
              <w:top w:val="single" w:color="auto" w:sz="4" w:space="0"/>
              <w:left w:val="nil"/>
              <w:bottom w:val="single" w:color="auto" w:sz="4" w:space="0"/>
              <w:right w:val="single" w:color="auto" w:sz="4" w:space="0"/>
            </w:tcBorders>
            <w:shd w:val="clear" w:color="auto" w:fill="auto"/>
            <w:noWrap/>
            <w:vAlign w:val="center"/>
          </w:tcPr>
          <w:p w14:paraId="158925D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0" w:type="dxa"/>
            <w:tcBorders>
              <w:top w:val="single" w:color="auto" w:sz="4" w:space="0"/>
              <w:left w:val="nil"/>
              <w:bottom w:val="single" w:color="auto" w:sz="4" w:space="0"/>
              <w:right w:val="single" w:color="auto" w:sz="4" w:space="0"/>
            </w:tcBorders>
            <w:shd w:val="clear" w:color="auto" w:fill="auto"/>
            <w:vAlign w:val="center"/>
          </w:tcPr>
          <w:p w14:paraId="13AC93E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807" w:type="dxa"/>
            <w:tcBorders>
              <w:top w:val="single" w:color="auto" w:sz="4" w:space="0"/>
              <w:left w:val="nil"/>
              <w:bottom w:val="single" w:color="auto" w:sz="4" w:space="0"/>
              <w:right w:val="single" w:color="auto" w:sz="4" w:space="0"/>
            </w:tcBorders>
            <w:shd w:val="clear" w:color="auto" w:fill="auto"/>
            <w:vAlign w:val="center"/>
          </w:tcPr>
          <w:p w14:paraId="75C2B5B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709" w:type="dxa"/>
            <w:tcBorders>
              <w:top w:val="single" w:color="auto" w:sz="4" w:space="0"/>
              <w:left w:val="nil"/>
              <w:bottom w:val="single" w:color="auto" w:sz="4" w:space="0"/>
              <w:right w:val="single" w:color="auto" w:sz="4" w:space="0"/>
            </w:tcBorders>
            <w:shd w:val="clear" w:color="auto" w:fill="auto"/>
            <w:vAlign w:val="center"/>
          </w:tcPr>
          <w:p w14:paraId="4A0D1B5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2240" w:type="dxa"/>
            <w:tcBorders>
              <w:top w:val="single" w:color="auto" w:sz="4" w:space="0"/>
              <w:left w:val="nil"/>
              <w:bottom w:val="single" w:color="auto" w:sz="4" w:space="0"/>
              <w:right w:val="single" w:color="auto" w:sz="4" w:space="0"/>
            </w:tcBorders>
            <w:shd w:val="clear" w:color="auto" w:fill="auto"/>
            <w:vAlign w:val="center"/>
          </w:tcPr>
          <w:p w14:paraId="39835612">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kern w:val="0"/>
                <w:sz w:val="22"/>
                <w:szCs w:val="22"/>
              </w:rPr>
              <w:t>体验记录</w:t>
            </w:r>
          </w:p>
        </w:tc>
      </w:tr>
      <w:tr w14:paraId="1CB3E6EE">
        <w:tblPrEx>
          <w:tblCellMar>
            <w:top w:w="0" w:type="dxa"/>
            <w:left w:w="108" w:type="dxa"/>
            <w:bottom w:w="0" w:type="dxa"/>
            <w:right w:w="108" w:type="dxa"/>
          </w:tblCellMar>
        </w:tblPrEx>
        <w:trPr>
          <w:trHeight w:val="650" w:hRule="atLeast"/>
        </w:trPr>
        <w:tc>
          <w:tcPr>
            <w:tcW w:w="9994"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6A27AB8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w:t>
            </w:r>
            <w:r>
              <w:rPr>
                <w:rFonts w:ascii="等线" w:hAnsi="等线" w:eastAsia="等线" w:cs="宋体"/>
                <w:color w:val="000000"/>
                <w:kern w:val="0"/>
                <w:sz w:val="22"/>
                <w:szCs w:val="22"/>
              </w:rPr>
              <w:t>9</w:t>
            </w:r>
            <w:r>
              <w:rPr>
                <w:rFonts w:hint="eastAsia" w:ascii="等线" w:hAnsi="等线" w:eastAsia="等线" w:cs="宋体"/>
                <w:color w:val="000000"/>
                <w:kern w:val="0"/>
                <w:sz w:val="22"/>
                <w:szCs w:val="22"/>
              </w:rPr>
              <w:t>适老化改造服务（100分）</w:t>
            </w:r>
          </w:p>
        </w:tc>
      </w:tr>
      <w:tr w14:paraId="6A1F8545">
        <w:tblPrEx>
          <w:tblCellMar>
            <w:top w:w="0" w:type="dxa"/>
            <w:left w:w="108" w:type="dxa"/>
            <w:bottom w:w="0" w:type="dxa"/>
            <w:right w:w="108" w:type="dxa"/>
          </w:tblCellMar>
        </w:tblPrEx>
        <w:trPr>
          <w:trHeight w:val="374" w:hRule="atLeast"/>
        </w:trPr>
        <w:tc>
          <w:tcPr>
            <w:tcW w:w="562" w:type="dxa"/>
            <w:tcBorders>
              <w:top w:val="nil"/>
              <w:left w:val="single" w:color="auto" w:sz="4" w:space="0"/>
              <w:right w:val="single" w:color="auto" w:sz="4" w:space="0"/>
            </w:tcBorders>
            <w:shd w:val="clear" w:color="auto" w:fill="auto"/>
            <w:noWrap/>
            <w:vAlign w:val="center"/>
          </w:tcPr>
          <w:p w14:paraId="3754258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04" w:type="dxa"/>
            <w:vMerge w:val="restart"/>
            <w:tcBorders>
              <w:top w:val="nil"/>
              <w:left w:val="nil"/>
              <w:right w:val="single" w:color="auto" w:sz="4" w:space="0"/>
            </w:tcBorders>
            <w:shd w:val="clear" w:color="auto" w:fill="auto"/>
            <w:vAlign w:val="center"/>
          </w:tcPr>
          <w:p w14:paraId="7EE3604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7E288E06">
            <w:pPr>
              <w:widowControl/>
              <w:adjustRightInd/>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1、</w:t>
            </w:r>
            <w:r>
              <w:rPr>
                <w:rFonts w:hint="eastAsia" w:ascii="宋体" w:hAnsi="宋体"/>
                <w:sz w:val="18"/>
                <w:szCs w:val="18"/>
              </w:rPr>
              <w:t>应根据服务对象的服务需求对老年人居住环境进行适老化改造，包括但不限于居室改造和适配改造等。</w:t>
            </w:r>
          </w:p>
        </w:tc>
        <w:tc>
          <w:tcPr>
            <w:tcW w:w="850" w:type="dxa"/>
            <w:vMerge w:val="restart"/>
            <w:tcBorders>
              <w:top w:val="nil"/>
              <w:left w:val="nil"/>
              <w:right w:val="single" w:color="auto" w:sz="4" w:space="0"/>
            </w:tcBorders>
            <w:shd w:val="clear" w:color="auto" w:fill="auto"/>
            <w:noWrap/>
            <w:vAlign w:val="center"/>
          </w:tcPr>
          <w:p w14:paraId="04FAB53A">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kern w:val="0"/>
                <w:sz w:val="22"/>
                <w:szCs w:val="22"/>
              </w:rPr>
              <w:t>20</w:t>
            </w:r>
          </w:p>
        </w:tc>
        <w:tc>
          <w:tcPr>
            <w:tcW w:w="807" w:type="dxa"/>
            <w:vMerge w:val="restart"/>
            <w:tcBorders>
              <w:top w:val="nil"/>
              <w:left w:val="nil"/>
              <w:right w:val="single" w:color="auto" w:sz="4" w:space="0"/>
            </w:tcBorders>
            <w:shd w:val="clear" w:color="auto" w:fill="auto"/>
            <w:noWrap/>
            <w:vAlign w:val="center"/>
          </w:tcPr>
          <w:p w14:paraId="76A4B95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vMerge w:val="restart"/>
            <w:tcBorders>
              <w:top w:val="nil"/>
              <w:left w:val="nil"/>
              <w:right w:val="single" w:color="auto" w:sz="4" w:space="0"/>
            </w:tcBorders>
            <w:shd w:val="clear" w:color="auto" w:fill="auto"/>
            <w:noWrap/>
            <w:vAlign w:val="center"/>
          </w:tcPr>
          <w:p w14:paraId="04CEED9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vMerge w:val="restart"/>
            <w:tcBorders>
              <w:top w:val="nil"/>
              <w:left w:val="nil"/>
              <w:right w:val="single" w:color="auto" w:sz="4" w:space="0"/>
            </w:tcBorders>
            <w:shd w:val="clear" w:color="auto" w:fill="auto"/>
            <w:noWrap/>
            <w:vAlign w:val="bottom"/>
          </w:tcPr>
          <w:p w14:paraId="2B34924C">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33AAFA5">
        <w:tblPrEx>
          <w:tblCellMar>
            <w:top w:w="0" w:type="dxa"/>
            <w:left w:w="108" w:type="dxa"/>
            <w:bottom w:w="0" w:type="dxa"/>
            <w:right w:w="108" w:type="dxa"/>
          </w:tblCellMar>
        </w:tblPrEx>
        <w:trPr>
          <w:trHeight w:val="373" w:hRule="atLeast"/>
        </w:trPr>
        <w:tc>
          <w:tcPr>
            <w:tcW w:w="562" w:type="dxa"/>
            <w:tcBorders>
              <w:left w:val="single" w:color="auto" w:sz="4" w:space="0"/>
              <w:right w:val="single" w:color="auto" w:sz="4" w:space="0"/>
            </w:tcBorders>
            <w:shd w:val="clear" w:color="auto" w:fill="auto"/>
            <w:noWrap/>
            <w:vAlign w:val="center"/>
          </w:tcPr>
          <w:p w14:paraId="609D4B9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04" w:type="dxa"/>
            <w:vMerge w:val="continue"/>
            <w:tcBorders>
              <w:left w:val="nil"/>
              <w:right w:val="single" w:color="auto" w:sz="4" w:space="0"/>
            </w:tcBorders>
            <w:shd w:val="clear" w:color="auto" w:fill="auto"/>
            <w:vAlign w:val="center"/>
          </w:tcPr>
          <w:p w14:paraId="01AEEE6C">
            <w:pPr>
              <w:widowControl/>
              <w:adjustRightInd/>
              <w:spacing w:line="240" w:lineRule="auto"/>
              <w:jc w:val="center"/>
              <w:rPr>
                <w:rFonts w:ascii="等线" w:hAnsi="等线" w:eastAsia="等线" w:cs="宋体"/>
                <w:color w:val="000000"/>
                <w:kern w:val="0"/>
                <w:sz w:val="22"/>
                <w:szCs w:val="22"/>
              </w:rPr>
            </w:pP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78E43304">
            <w:pPr>
              <w:rPr>
                <w:rFonts w:ascii="宋体" w:hAnsi="宋体"/>
                <w:sz w:val="18"/>
                <w:szCs w:val="18"/>
              </w:rPr>
            </w:pPr>
            <w:r>
              <w:rPr>
                <w:rFonts w:hint="eastAsia" w:ascii="宋体" w:hAnsi="宋体"/>
                <w:sz w:val="18"/>
                <w:szCs w:val="18"/>
              </w:rPr>
              <w:t>2、居室改造服务包括但不限于以下内容：</w:t>
            </w:r>
          </w:p>
          <w:p w14:paraId="1F7B5E96">
            <w:pPr>
              <w:ind w:firstLine="360" w:firstLineChars="200"/>
              <w:rPr>
                <w:rFonts w:ascii="宋体" w:hAnsi="宋体"/>
                <w:sz w:val="18"/>
                <w:szCs w:val="18"/>
              </w:rPr>
            </w:pPr>
            <w:r>
              <w:rPr>
                <w:rFonts w:hint="eastAsia" w:ascii="宋体" w:hAnsi="宋体"/>
                <w:sz w:val="18"/>
                <w:szCs w:val="18"/>
              </w:rPr>
              <w:t>a）基础改造：墙体、高差、过道、地面、墙面、扶手、插座、开关、照明及窗户；</w:t>
            </w:r>
          </w:p>
          <w:p w14:paraId="62FC785F">
            <w:pPr>
              <w:ind w:firstLine="360" w:firstLineChars="200"/>
              <w:rPr>
                <w:rFonts w:ascii="宋体" w:hAnsi="宋体" w:cs="宋体"/>
                <w:color w:val="000000"/>
                <w:kern w:val="0"/>
                <w:sz w:val="18"/>
                <w:szCs w:val="18"/>
              </w:rPr>
            </w:pPr>
            <w:r>
              <w:rPr>
                <w:rFonts w:hint="eastAsia" w:ascii="宋体" w:hAnsi="宋体"/>
                <w:sz w:val="18"/>
                <w:szCs w:val="18"/>
              </w:rPr>
              <w:t>b）空间改造：入户空间、起居空间、卧室空间、洗漱空间、厨房空间。</w:t>
            </w:r>
          </w:p>
        </w:tc>
        <w:tc>
          <w:tcPr>
            <w:tcW w:w="850" w:type="dxa"/>
            <w:vMerge w:val="continue"/>
            <w:tcBorders>
              <w:left w:val="nil"/>
              <w:right w:val="single" w:color="auto" w:sz="4" w:space="0"/>
            </w:tcBorders>
            <w:shd w:val="clear" w:color="auto" w:fill="auto"/>
            <w:noWrap/>
            <w:vAlign w:val="center"/>
          </w:tcPr>
          <w:p w14:paraId="278B95AE">
            <w:pPr>
              <w:widowControl/>
              <w:adjustRightInd/>
              <w:spacing w:line="240" w:lineRule="auto"/>
              <w:jc w:val="center"/>
              <w:rPr>
                <w:rFonts w:ascii="等线" w:hAnsi="等线" w:eastAsia="等线" w:cs="宋体"/>
                <w:kern w:val="0"/>
                <w:sz w:val="22"/>
                <w:szCs w:val="22"/>
              </w:rPr>
            </w:pPr>
          </w:p>
        </w:tc>
        <w:tc>
          <w:tcPr>
            <w:tcW w:w="807" w:type="dxa"/>
            <w:vMerge w:val="continue"/>
            <w:tcBorders>
              <w:left w:val="nil"/>
              <w:right w:val="single" w:color="auto" w:sz="4" w:space="0"/>
            </w:tcBorders>
            <w:shd w:val="clear" w:color="auto" w:fill="auto"/>
            <w:noWrap/>
            <w:vAlign w:val="center"/>
          </w:tcPr>
          <w:p w14:paraId="448B584E">
            <w:pPr>
              <w:widowControl/>
              <w:adjustRightInd/>
              <w:spacing w:line="240" w:lineRule="auto"/>
              <w:jc w:val="center"/>
              <w:rPr>
                <w:rFonts w:ascii="等线" w:hAnsi="等线" w:eastAsia="等线" w:cs="宋体"/>
                <w:color w:val="000000"/>
                <w:kern w:val="0"/>
                <w:sz w:val="22"/>
                <w:szCs w:val="22"/>
              </w:rPr>
            </w:pPr>
          </w:p>
        </w:tc>
        <w:tc>
          <w:tcPr>
            <w:tcW w:w="709" w:type="dxa"/>
            <w:vMerge w:val="continue"/>
            <w:tcBorders>
              <w:left w:val="nil"/>
              <w:right w:val="single" w:color="auto" w:sz="4" w:space="0"/>
            </w:tcBorders>
            <w:shd w:val="clear" w:color="auto" w:fill="auto"/>
            <w:noWrap/>
            <w:vAlign w:val="center"/>
          </w:tcPr>
          <w:p w14:paraId="722DD0EE">
            <w:pPr>
              <w:widowControl/>
              <w:adjustRightInd/>
              <w:spacing w:line="240" w:lineRule="auto"/>
              <w:jc w:val="center"/>
              <w:rPr>
                <w:rFonts w:ascii="等线" w:hAnsi="等线" w:eastAsia="等线" w:cs="宋体"/>
                <w:color w:val="000000"/>
                <w:kern w:val="0"/>
                <w:sz w:val="22"/>
                <w:szCs w:val="22"/>
              </w:rPr>
            </w:pPr>
          </w:p>
        </w:tc>
        <w:tc>
          <w:tcPr>
            <w:tcW w:w="2240" w:type="dxa"/>
            <w:vMerge w:val="continue"/>
            <w:tcBorders>
              <w:left w:val="nil"/>
              <w:right w:val="single" w:color="auto" w:sz="4" w:space="0"/>
            </w:tcBorders>
            <w:shd w:val="clear" w:color="auto" w:fill="auto"/>
            <w:noWrap/>
            <w:vAlign w:val="bottom"/>
          </w:tcPr>
          <w:p w14:paraId="5A05F5B5">
            <w:pPr>
              <w:widowControl/>
              <w:adjustRightInd/>
              <w:spacing w:line="240" w:lineRule="auto"/>
              <w:jc w:val="left"/>
              <w:rPr>
                <w:rFonts w:ascii="等线" w:hAnsi="等线" w:eastAsia="等线" w:cs="宋体"/>
                <w:color w:val="000000"/>
                <w:kern w:val="0"/>
                <w:sz w:val="22"/>
                <w:szCs w:val="22"/>
              </w:rPr>
            </w:pPr>
          </w:p>
        </w:tc>
      </w:tr>
      <w:tr w14:paraId="2601AC30">
        <w:tblPrEx>
          <w:tblCellMar>
            <w:top w:w="0" w:type="dxa"/>
            <w:left w:w="108" w:type="dxa"/>
            <w:bottom w:w="0" w:type="dxa"/>
            <w:right w:w="108" w:type="dxa"/>
          </w:tblCellMar>
        </w:tblPrEx>
        <w:trPr>
          <w:trHeight w:val="373" w:hRule="atLeast"/>
        </w:trPr>
        <w:tc>
          <w:tcPr>
            <w:tcW w:w="562" w:type="dxa"/>
            <w:tcBorders>
              <w:left w:val="single" w:color="auto" w:sz="4" w:space="0"/>
              <w:bottom w:val="single" w:color="auto" w:sz="4" w:space="0"/>
              <w:right w:val="single" w:color="auto" w:sz="4" w:space="0"/>
            </w:tcBorders>
            <w:shd w:val="clear" w:color="auto" w:fill="auto"/>
            <w:noWrap/>
            <w:vAlign w:val="center"/>
          </w:tcPr>
          <w:p w14:paraId="4B3B22A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04" w:type="dxa"/>
            <w:vMerge w:val="continue"/>
            <w:tcBorders>
              <w:left w:val="nil"/>
              <w:bottom w:val="single" w:color="auto" w:sz="4" w:space="0"/>
              <w:right w:val="single" w:color="auto" w:sz="4" w:space="0"/>
            </w:tcBorders>
            <w:shd w:val="clear" w:color="auto" w:fill="auto"/>
            <w:vAlign w:val="center"/>
          </w:tcPr>
          <w:p w14:paraId="67996F35">
            <w:pPr>
              <w:widowControl/>
              <w:adjustRightInd/>
              <w:spacing w:line="240" w:lineRule="auto"/>
              <w:jc w:val="center"/>
              <w:rPr>
                <w:rFonts w:ascii="等线" w:hAnsi="等线" w:eastAsia="等线" w:cs="宋体"/>
                <w:color w:val="000000"/>
                <w:kern w:val="0"/>
                <w:sz w:val="22"/>
                <w:szCs w:val="22"/>
              </w:rPr>
            </w:pP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3741221C">
            <w:pPr>
              <w:rPr>
                <w:rFonts w:ascii="宋体" w:hAnsi="宋体"/>
                <w:sz w:val="18"/>
                <w:szCs w:val="18"/>
              </w:rPr>
            </w:pPr>
            <w:r>
              <w:rPr>
                <w:rFonts w:hint="eastAsia" w:ascii="宋体" w:hAnsi="宋体"/>
                <w:sz w:val="18"/>
                <w:szCs w:val="18"/>
              </w:rPr>
              <w:t>3适配改造服务包括但不限于以下内容：</w:t>
            </w:r>
          </w:p>
          <w:p w14:paraId="035C7983">
            <w:pPr>
              <w:ind w:firstLine="360" w:firstLineChars="200"/>
              <w:rPr>
                <w:rFonts w:ascii="宋体" w:hAnsi="宋体"/>
                <w:sz w:val="18"/>
                <w:szCs w:val="18"/>
              </w:rPr>
            </w:pPr>
            <w:r>
              <w:rPr>
                <w:rFonts w:hint="eastAsia" w:ascii="宋体" w:hAnsi="宋体"/>
                <w:sz w:val="18"/>
                <w:szCs w:val="18"/>
              </w:rPr>
              <w:t>a）适老家具配置；</w:t>
            </w:r>
          </w:p>
          <w:p w14:paraId="4C638027">
            <w:pPr>
              <w:ind w:firstLine="360" w:firstLineChars="200"/>
              <w:rPr>
                <w:rFonts w:ascii="宋体" w:hAnsi="宋体"/>
                <w:sz w:val="18"/>
                <w:szCs w:val="18"/>
              </w:rPr>
            </w:pPr>
            <w:r>
              <w:rPr>
                <w:rFonts w:hint="eastAsia" w:ascii="宋体" w:hAnsi="宋体"/>
                <w:sz w:val="18"/>
                <w:szCs w:val="18"/>
              </w:rPr>
              <w:t>b）智能化产品配置；</w:t>
            </w:r>
          </w:p>
          <w:p w14:paraId="666EC357">
            <w:pPr>
              <w:ind w:firstLine="360" w:firstLineChars="200"/>
              <w:rPr>
                <w:rFonts w:ascii="宋体" w:hAnsi="宋体" w:cs="宋体"/>
                <w:color w:val="000000"/>
                <w:kern w:val="0"/>
                <w:sz w:val="18"/>
                <w:szCs w:val="18"/>
              </w:rPr>
            </w:pPr>
            <w:r>
              <w:rPr>
                <w:rFonts w:hint="eastAsia" w:ascii="宋体" w:hAnsi="宋体"/>
                <w:sz w:val="18"/>
                <w:szCs w:val="18"/>
              </w:rPr>
              <w:t>c）辅助器具配置。</w:t>
            </w:r>
          </w:p>
        </w:tc>
        <w:tc>
          <w:tcPr>
            <w:tcW w:w="850" w:type="dxa"/>
            <w:vMerge w:val="continue"/>
            <w:tcBorders>
              <w:left w:val="nil"/>
              <w:bottom w:val="single" w:color="auto" w:sz="4" w:space="0"/>
              <w:right w:val="single" w:color="auto" w:sz="4" w:space="0"/>
            </w:tcBorders>
            <w:shd w:val="clear" w:color="auto" w:fill="auto"/>
            <w:noWrap/>
            <w:vAlign w:val="center"/>
          </w:tcPr>
          <w:p w14:paraId="25D66244">
            <w:pPr>
              <w:widowControl/>
              <w:adjustRightInd/>
              <w:spacing w:line="240" w:lineRule="auto"/>
              <w:jc w:val="center"/>
              <w:rPr>
                <w:rFonts w:ascii="等线" w:hAnsi="等线" w:eastAsia="等线" w:cs="宋体"/>
                <w:kern w:val="0"/>
                <w:sz w:val="22"/>
                <w:szCs w:val="22"/>
              </w:rPr>
            </w:pPr>
          </w:p>
        </w:tc>
        <w:tc>
          <w:tcPr>
            <w:tcW w:w="807" w:type="dxa"/>
            <w:vMerge w:val="continue"/>
            <w:tcBorders>
              <w:left w:val="nil"/>
              <w:bottom w:val="single" w:color="auto" w:sz="4" w:space="0"/>
              <w:right w:val="single" w:color="auto" w:sz="4" w:space="0"/>
            </w:tcBorders>
            <w:shd w:val="clear" w:color="auto" w:fill="auto"/>
            <w:noWrap/>
            <w:vAlign w:val="center"/>
          </w:tcPr>
          <w:p w14:paraId="499266A2">
            <w:pPr>
              <w:widowControl/>
              <w:adjustRightInd/>
              <w:spacing w:line="240" w:lineRule="auto"/>
              <w:jc w:val="center"/>
              <w:rPr>
                <w:rFonts w:ascii="等线" w:hAnsi="等线" w:eastAsia="等线" w:cs="宋体"/>
                <w:color w:val="000000"/>
                <w:kern w:val="0"/>
                <w:sz w:val="22"/>
                <w:szCs w:val="22"/>
              </w:rPr>
            </w:pPr>
          </w:p>
        </w:tc>
        <w:tc>
          <w:tcPr>
            <w:tcW w:w="709" w:type="dxa"/>
            <w:vMerge w:val="continue"/>
            <w:tcBorders>
              <w:left w:val="nil"/>
              <w:bottom w:val="single" w:color="auto" w:sz="4" w:space="0"/>
              <w:right w:val="single" w:color="auto" w:sz="4" w:space="0"/>
            </w:tcBorders>
            <w:shd w:val="clear" w:color="auto" w:fill="auto"/>
            <w:noWrap/>
            <w:vAlign w:val="center"/>
          </w:tcPr>
          <w:p w14:paraId="2A7A406F">
            <w:pPr>
              <w:widowControl/>
              <w:adjustRightInd/>
              <w:spacing w:line="240" w:lineRule="auto"/>
              <w:jc w:val="center"/>
              <w:rPr>
                <w:rFonts w:ascii="等线" w:hAnsi="等线" w:eastAsia="等线" w:cs="宋体"/>
                <w:color w:val="000000"/>
                <w:kern w:val="0"/>
                <w:sz w:val="22"/>
                <w:szCs w:val="22"/>
              </w:rPr>
            </w:pPr>
          </w:p>
        </w:tc>
        <w:tc>
          <w:tcPr>
            <w:tcW w:w="2240" w:type="dxa"/>
            <w:vMerge w:val="continue"/>
            <w:tcBorders>
              <w:left w:val="nil"/>
              <w:bottom w:val="single" w:color="auto" w:sz="4" w:space="0"/>
              <w:right w:val="single" w:color="auto" w:sz="4" w:space="0"/>
            </w:tcBorders>
            <w:shd w:val="clear" w:color="auto" w:fill="auto"/>
            <w:noWrap/>
            <w:vAlign w:val="bottom"/>
          </w:tcPr>
          <w:p w14:paraId="110502CD">
            <w:pPr>
              <w:widowControl/>
              <w:adjustRightInd/>
              <w:spacing w:line="240" w:lineRule="auto"/>
              <w:jc w:val="left"/>
              <w:rPr>
                <w:rFonts w:ascii="等线" w:hAnsi="等线" w:eastAsia="等线" w:cs="宋体"/>
                <w:color w:val="000000"/>
                <w:kern w:val="0"/>
                <w:sz w:val="22"/>
                <w:szCs w:val="22"/>
              </w:rPr>
            </w:pPr>
          </w:p>
        </w:tc>
      </w:tr>
      <w:tr w14:paraId="583B8C1F">
        <w:tblPrEx>
          <w:tblCellMar>
            <w:top w:w="0" w:type="dxa"/>
            <w:left w:w="108" w:type="dxa"/>
            <w:bottom w:w="0" w:type="dxa"/>
            <w:right w:w="108" w:type="dxa"/>
          </w:tblCellMar>
        </w:tblPrEx>
        <w:trPr>
          <w:trHeight w:val="57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D90592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04" w:type="dxa"/>
            <w:vMerge w:val="restart"/>
            <w:tcBorders>
              <w:top w:val="nil"/>
              <w:left w:val="single" w:color="auto" w:sz="4" w:space="0"/>
              <w:bottom w:val="nil"/>
              <w:right w:val="single" w:color="auto" w:sz="4" w:space="0"/>
            </w:tcBorders>
            <w:shd w:val="clear" w:color="auto" w:fill="auto"/>
            <w:vAlign w:val="center"/>
          </w:tcPr>
          <w:p w14:paraId="4C0D2C3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452B8CEB">
            <w:pPr>
              <w:rPr>
                <w:rFonts w:ascii="等线" w:hAnsi="等线" w:eastAsia="等线" w:cs="宋体"/>
                <w:color w:val="000000"/>
                <w:kern w:val="0"/>
                <w:sz w:val="18"/>
                <w:szCs w:val="18"/>
              </w:rPr>
            </w:pPr>
            <w:r>
              <w:rPr>
                <w:rFonts w:hint="eastAsia" w:ascii="宋体" w:hAnsi="宋体"/>
              </w:rPr>
              <w:t>1、</w:t>
            </w:r>
            <w:r>
              <w:rPr>
                <w:rFonts w:ascii="宋体" w:hAnsi="宋体"/>
              </w:rPr>
              <w:t>应根据老年人或相关第三方的改造意愿，以及老年人能力、家庭状况、建筑与居住环境和辅助器具需求的综合评估结果，提供适老化改造方案。</w:t>
            </w:r>
          </w:p>
        </w:tc>
        <w:tc>
          <w:tcPr>
            <w:tcW w:w="850" w:type="dxa"/>
            <w:tcBorders>
              <w:top w:val="nil"/>
              <w:left w:val="nil"/>
              <w:bottom w:val="single" w:color="auto" w:sz="4" w:space="0"/>
              <w:right w:val="single" w:color="auto" w:sz="4" w:space="0"/>
            </w:tcBorders>
            <w:shd w:val="clear" w:color="auto" w:fill="auto"/>
            <w:noWrap/>
            <w:vAlign w:val="center"/>
          </w:tcPr>
          <w:p w14:paraId="28597F8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807" w:type="dxa"/>
            <w:tcBorders>
              <w:top w:val="nil"/>
              <w:left w:val="nil"/>
              <w:bottom w:val="single" w:color="auto" w:sz="4" w:space="0"/>
              <w:right w:val="single" w:color="auto" w:sz="4" w:space="0"/>
            </w:tcBorders>
            <w:shd w:val="clear" w:color="auto" w:fill="auto"/>
            <w:noWrap/>
            <w:vAlign w:val="center"/>
          </w:tcPr>
          <w:p w14:paraId="1D134FC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4DE87CB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100DE90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0591893">
        <w:tblPrEx>
          <w:tblCellMar>
            <w:top w:w="0" w:type="dxa"/>
            <w:left w:w="108" w:type="dxa"/>
            <w:bottom w:w="0" w:type="dxa"/>
            <w:right w:w="108" w:type="dxa"/>
          </w:tblCellMar>
        </w:tblPrEx>
        <w:trPr>
          <w:trHeight w:val="66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2C8BCEC7">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5</w:t>
            </w:r>
          </w:p>
        </w:tc>
        <w:tc>
          <w:tcPr>
            <w:tcW w:w="804" w:type="dxa"/>
            <w:vMerge w:val="continue"/>
            <w:tcBorders>
              <w:top w:val="nil"/>
              <w:left w:val="single" w:color="auto" w:sz="4" w:space="0"/>
              <w:bottom w:val="nil"/>
              <w:right w:val="single" w:color="auto" w:sz="4" w:space="0"/>
            </w:tcBorders>
            <w:shd w:val="clear" w:color="auto" w:fill="auto"/>
            <w:vAlign w:val="center"/>
          </w:tcPr>
          <w:p w14:paraId="600FD2CE">
            <w:pPr>
              <w:widowControl/>
              <w:adjustRightInd/>
              <w:spacing w:line="240" w:lineRule="auto"/>
              <w:jc w:val="left"/>
              <w:rPr>
                <w:rFonts w:ascii="等线" w:hAnsi="等线" w:eastAsia="等线" w:cs="宋体"/>
                <w:color w:val="000000"/>
                <w:kern w:val="0"/>
                <w:sz w:val="22"/>
                <w:szCs w:val="22"/>
              </w:rPr>
            </w:pP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45064FB6">
            <w:pPr>
              <w:rPr>
                <w:rFonts w:ascii="等线" w:hAnsi="等线" w:eastAsia="等线" w:cs="宋体"/>
                <w:color w:val="000000"/>
                <w:kern w:val="0"/>
                <w:sz w:val="18"/>
                <w:szCs w:val="18"/>
              </w:rPr>
            </w:pPr>
            <w:r>
              <w:rPr>
                <w:rFonts w:ascii="黑体" w:hAnsi="黑体" w:eastAsia="黑体"/>
              </w:rPr>
              <w:t>2</w:t>
            </w:r>
            <w:r>
              <w:rPr>
                <w:rFonts w:hint="eastAsia" w:ascii="黑体" w:hAnsi="黑体" w:eastAsia="黑体"/>
              </w:rPr>
              <w:t>、</w:t>
            </w:r>
            <w:r>
              <w:rPr>
                <w:rFonts w:ascii="宋体" w:hAnsi="宋体"/>
              </w:rPr>
              <w:t>应</w:t>
            </w:r>
            <w:r>
              <w:rPr>
                <w:rFonts w:hint="eastAsia" w:ascii="宋体" w:hAnsi="宋体"/>
              </w:rPr>
              <w:t>制定并按照施工方案和施工进度计划表开展适老化改造。</w:t>
            </w:r>
          </w:p>
        </w:tc>
        <w:tc>
          <w:tcPr>
            <w:tcW w:w="850" w:type="dxa"/>
            <w:tcBorders>
              <w:top w:val="nil"/>
              <w:left w:val="nil"/>
              <w:bottom w:val="single" w:color="auto" w:sz="4" w:space="0"/>
              <w:right w:val="single" w:color="auto" w:sz="4" w:space="0"/>
            </w:tcBorders>
            <w:shd w:val="clear" w:color="auto" w:fill="auto"/>
            <w:noWrap/>
            <w:vAlign w:val="center"/>
          </w:tcPr>
          <w:p w14:paraId="061B5AC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807" w:type="dxa"/>
            <w:tcBorders>
              <w:top w:val="nil"/>
              <w:left w:val="nil"/>
              <w:bottom w:val="single" w:color="auto" w:sz="4" w:space="0"/>
              <w:right w:val="single" w:color="auto" w:sz="4" w:space="0"/>
            </w:tcBorders>
            <w:shd w:val="clear" w:color="auto" w:fill="auto"/>
            <w:noWrap/>
            <w:vAlign w:val="center"/>
          </w:tcPr>
          <w:p w14:paraId="5AB7867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44DADD8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40037E4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016BCA8D">
        <w:tblPrEx>
          <w:tblCellMar>
            <w:top w:w="0" w:type="dxa"/>
            <w:left w:w="108" w:type="dxa"/>
            <w:bottom w:w="0" w:type="dxa"/>
            <w:right w:w="108" w:type="dxa"/>
          </w:tblCellMar>
        </w:tblPrEx>
        <w:trPr>
          <w:trHeight w:val="69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6EC7B00">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6</w:t>
            </w:r>
          </w:p>
        </w:tc>
        <w:tc>
          <w:tcPr>
            <w:tcW w:w="804" w:type="dxa"/>
            <w:vMerge w:val="continue"/>
            <w:tcBorders>
              <w:top w:val="nil"/>
              <w:left w:val="single" w:color="auto" w:sz="4" w:space="0"/>
              <w:bottom w:val="nil"/>
              <w:right w:val="single" w:color="auto" w:sz="4" w:space="0"/>
            </w:tcBorders>
            <w:shd w:val="clear" w:color="auto" w:fill="auto"/>
            <w:vAlign w:val="center"/>
          </w:tcPr>
          <w:p w14:paraId="64EA1637">
            <w:pPr>
              <w:widowControl/>
              <w:adjustRightInd/>
              <w:spacing w:line="240" w:lineRule="auto"/>
              <w:jc w:val="left"/>
              <w:rPr>
                <w:rFonts w:ascii="等线" w:hAnsi="等线" w:eastAsia="等线" w:cs="宋体"/>
                <w:color w:val="000000"/>
                <w:kern w:val="0"/>
                <w:sz w:val="22"/>
                <w:szCs w:val="22"/>
              </w:rPr>
            </w:pP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1257D07A">
            <w:pPr>
              <w:rPr>
                <w:rFonts w:ascii="宋体" w:hAnsi="宋体"/>
              </w:rPr>
            </w:pPr>
            <w:r>
              <w:rPr>
                <w:rFonts w:ascii="黑体" w:hAnsi="黑体" w:eastAsia="黑体"/>
              </w:rPr>
              <w:t>3</w:t>
            </w:r>
            <w:r>
              <w:rPr>
                <w:rFonts w:hint="eastAsia" w:ascii="黑体" w:hAnsi="黑体" w:eastAsia="黑体"/>
              </w:rPr>
              <w:t>、</w:t>
            </w:r>
            <w:r>
              <w:rPr>
                <w:rFonts w:ascii="宋体" w:hAnsi="宋体"/>
              </w:rPr>
              <w:t>适老化改造完成后，应提供使用指导，定期回访，及时提供维护维修等售后服务。</w:t>
            </w:r>
          </w:p>
          <w:p w14:paraId="1F2EE348">
            <w:pPr>
              <w:widowControl/>
              <w:adjustRightInd/>
              <w:spacing w:line="240" w:lineRule="auto"/>
              <w:jc w:val="left"/>
              <w:rPr>
                <w:rFonts w:ascii="等线" w:hAnsi="等线" w:eastAsia="等线" w:cs="宋体"/>
                <w:color w:val="000000"/>
                <w:kern w:val="0"/>
                <w:sz w:val="18"/>
                <w:szCs w:val="18"/>
              </w:rPr>
            </w:pPr>
          </w:p>
        </w:tc>
        <w:tc>
          <w:tcPr>
            <w:tcW w:w="850" w:type="dxa"/>
            <w:tcBorders>
              <w:top w:val="nil"/>
              <w:left w:val="nil"/>
              <w:bottom w:val="single" w:color="auto" w:sz="4" w:space="0"/>
              <w:right w:val="single" w:color="auto" w:sz="4" w:space="0"/>
            </w:tcBorders>
            <w:shd w:val="clear" w:color="auto" w:fill="auto"/>
            <w:noWrap/>
            <w:vAlign w:val="center"/>
          </w:tcPr>
          <w:p w14:paraId="7BC0946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807" w:type="dxa"/>
            <w:tcBorders>
              <w:top w:val="nil"/>
              <w:left w:val="nil"/>
              <w:bottom w:val="single" w:color="auto" w:sz="4" w:space="0"/>
              <w:right w:val="single" w:color="auto" w:sz="4" w:space="0"/>
            </w:tcBorders>
            <w:shd w:val="clear" w:color="auto" w:fill="auto"/>
            <w:noWrap/>
            <w:vAlign w:val="center"/>
          </w:tcPr>
          <w:p w14:paraId="5734382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04112BA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5A6216B8">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158D9D48">
        <w:tblPrEx>
          <w:tblCellMar>
            <w:top w:w="0" w:type="dxa"/>
            <w:left w:w="108" w:type="dxa"/>
            <w:bottom w:w="0" w:type="dxa"/>
            <w:right w:w="108" w:type="dxa"/>
          </w:tblCellMar>
        </w:tblPrEx>
        <w:trPr>
          <w:trHeight w:val="5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52B97569">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6" w:type="dxa"/>
            <w:gridSpan w:val="4"/>
            <w:tcBorders>
              <w:top w:val="single" w:color="auto" w:sz="4" w:space="0"/>
              <w:left w:val="nil"/>
              <w:bottom w:val="single" w:color="auto" w:sz="4" w:space="0"/>
              <w:right w:val="single" w:color="auto" w:sz="4" w:space="0"/>
            </w:tcBorders>
            <w:shd w:val="clear" w:color="auto" w:fill="auto"/>
            <w:noWrap/>
            <w:vAlign w:val="center"/>
          </w:tcPr>
          <w:p w14:paraId="3DA2F03F">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850" w:type="dxa"/>
            <w:tcBorders>
              <w:top w:val="nil"/>
              <w:left w:val="nil"/>
              <w:bottom w:val="single" w:color="auto" w:sz="4" w:space="0"/>
              <w:right w:val="single" w:color="auto" w:sz="4" w:space="0"/>
            </w:tcBorders>
            <w:shd w:val="clear" w:color="auto" w:fill="auto"/>
            <w:noWrap/>
            <w:vAlign w:val="center"/>
          </w:tcPr>
          <w:p w14:paraId="54E4795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807" w:type="dxa"/>
            <w:tcBorders>
              <w:top w:val="nil"/>
              <w:left w:val="nil"/>
              <w:bottom w:val="single" w:color="auto" w:sz="4" w:space="0"/>
              <w:right w:val="single" w:color="auto" w:sz="4" w:space="0"/>
            </w:tcBorders>
            <w:shd w:val="clear" w:color="auto" w:fill="auto"/>
            <w:noWrap/>
            <w:vAlign w:val="bottom"/>
          </w:tcPr>
          <w:p w14:paraId="3AA4DF08">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bottom"/>
          </w:tcPr>
          <w:p w14:paraId="29EF92C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6B46690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6B92BD8">
        <w:tblPrEx>
          <w:tblCellMar>
            <w:top w:w="0" w:type="dxa"/>
            <w:left w:w="108" w:type="dxa"/>
            <w:bottom w:w="0" w:type="dxa"/>
            <w:right w:w="108" w:type="dxa"/>
          </w:tblCellMar>
        </w:tblPrEx>
        <w:trPr>
          <w:trHeight w:val="630" w:hRule="atLeast"/>
        </w:trPr>
        <w:tc>
          <w:tcPr>
            <w:tcW w:w="136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BC2AB3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2F243F4F">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4FD2994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902" w:type="dxa"/>
            <w:tcBorders>
              <w:top w:val="single" w:color="auto" w:sz="4" w:space="0"/>
              <w:left w:val="nil"/>
              <w:bottom w:val="single" w:color="auto" w:sz="4" w:space="0"/>
              <w:right w:val="single" w:color="auto" w:sz="4" w:space="0"/>
            </w:tcBorders>
            <w:shd w:val="clear" w:color="auto" w:fill="auto"/>
            <w:vAlign w:val="center"/>
          </w:tcPr>
          <w:p w14:paraId="763DD3C7">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657" w:type="dxa"/>
            <w:gridSpan w:val="2"/>
            <w:tcBorders>
              <w:top w:val="single" w:color="auto" w:sz="4" w:space="0"/>
              <w:left w:val="nil"/>
              <w:bottom w:val="single" w:color="auto" w:sz="4" w:space="0"/>
              <w:right w:val="single" w:color="auto" w:sz="4" w:space="0"/>
            </w:tcBorders>
            <w:shd w:val="clear" w:color="auto" w:fill="auto"/>
            <w:noWrap/>
            <w:vAlign w:val="center"/>
          </w:tcPr>
          <w:p w14:paraId="37E103F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709" w:type="dxa"/>
            <w:tcBorders>
              <w:top w:val="nil"/>
              <w:left w:val="nil"/>
              <w:bottom w:val="single" w:color="auto" w:sz="4" w:space="0"/>
              <w:right w:val="single" w:color="auto" w:sz="4" w:space="0"/>
            </w:tcBorders>
            <w:shd w:val="clear" w:color="auto" w:fill="auto"/>
            <w:noWrap/>
            <w:vAlign w:val="center"/>
          </w:tcPr>
          <w:p w14:paraId="16F58A9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3BEDBE2D">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bookmarkEnd w:id="59"/>
    </w:tbl>
    <w:p w14:paraId="0416C11F">
      <w:pPr>
        <w:rPr>
          <w:rFonts w:ascii="黑体" w:hAnsi="黑体" w:eastAsia="黑体"/>
        </w:rPr>
      </w:pPr>
    </w:p>
    <w:p w14:paraId="6F14553E">
      <w:pPr>
        <w:rPr>
          <w:rFonts w:ascii="黑体" w:hAnsi="黑体" w:eastAsia="黑体"/>
        </w:rPr>
      </w:pPr>
    </w:p>
    <w:p w14:paraId="2A5DF34A">
      <w:pPr>
        <w:rPr>
          <w:rFonts w:ascii="黑体" w:hAnsi="黑体" w:eastAsia="黑体"/>
        </w:rPr>
      </w:pPr>
    </w:p>
    <w:p w14:paraId="1F83F037">
      <w:pPr>
        <w:jc w:val="center"/>
        <w:rPr>
          <w:rFonts w:ascii="黑体" w:hAnsi="黑体"/>
          <w:b/>
          <w:bCs/>
          <w:sz w:val="24"/>
          <w:szCs w:val="24"/>
        </w:rPr>
      </w:pPr>
      <w:r>
        <w:rPr>
          <w:rFonts w:hint="eastAsia" w:ascii="黑体" w:hAnsi="黑体"/>
          <w:b/>
          <w:bCs/>
          <w:sz w:val="24"/>
          <w:szCs w:val="24"/>
        </w:rPr>
        <w:t>表B.</w:t>
      </w:r>
      <w:r>
        <w:rPr>
          <w:rFonts w:ascii="黑体" w:hAnsi="黑体"/>
          <w:b/>
          <w:bCs/>
          <w:sz w:val="24"/>
          <w:szCs w:val="24"/>
        </w:rPr>
        <w:t>10</w:t>
      </w:r>
      <w:r>
        <w:rPr>
          <w:rFonts w:hint="eastAsia" w:ascii="黑体" w:hAnsi="黑体"/>
          <w:b/>
          <w:bCs/>
          <w:sz w:val="24"/>
          <w:szCs w:val="24"/>
        </w:rPr>
        <w:t>社区居家养老服务-</w:t>
      </w:r>
      <w:r>
        <w:rPr>
          <w:rFonts w:hint="eastAsia" w:ascii="黑体" w:hAnsi="黑体"/>
          <w:b/>
          <w:bCs/>
          <w:sz w:val="30"/>
          <w:szCs w:val="30"/>
        </w:rPr>
        <w:t>康复辅助器具服务</w:t>
      </w:r>
      <w:r>
        <w:rPr>
          <w:rFonts w:hint="eastAsia" w:ascii="黑体" w:hAnsi="黑体"/>
          <w:b/>
          <w:bCs/>
          <w:sz w:val="24"/>
          <w:szCs w:val="24"/>
        </w:rPr>
        <w:t>特性测评工具</w:t>
      </w:r>
    </w:p>
    <w:p w14:paraId="5B988A68">
      <w:pPr>
        <w:rPr>
          <w:rFonts w:ascii="黑体" w:hAnsi="黑体" w:eastAsia="黑体"/>
        </w:rPr>
      </w:pPr>
    </w:p>
    <w:tbl>
      <w:tblPr>
        <w:tblStyle w:val="28"/>
        <w:tblW w:w="9994" w:type="dxa"/>
        <w:tblInd w:w="-431" w:type="dxa"/>
        <w:tblLayout w:type="autofit"/>
        <w:tblCellMar>
          <w:top w:w="0" w:type="dxa"/>
          <w:left w:w="108" w:type="dxa"/>
          <w:bottom w:w="0" w:type="dxa"/>
          <w:right w:w="108" w:type="dxa"/>
        </w:tblCellMar>
      </w:tblPr>
      <w:tblGrid>
        <w:gridCol w:w="562"/>
        <w:gridCol w:w="804"/>
        <w:gridCol w:w="2080"/>
        <w:gridCol w:w="1040"/>
        <w:gridCol w:w="902"/>
        <w:gridCol w:w="850"/>
        <w:gridCol w:w="807"/>
        <w:gridCol w:w="709"/>
        <w:gridCol w:w="2245"/>
      </w:tblGrid>
      <w:tr w14:paraId="0A20501F">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94310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804" w:type="dxa"/>
            <w:tcBorders>
              <w:top w:val="single" w:color="auto" w:sz="4" w:space="0"/>
              <w:left w:val="nil"/>
              <w:bottom w:val="single" w:color="auto" w:sz="4" w:space="0"/>
              <w:right w:val="single" w:color="auto" w:sz="4" w:space="0"/>
            </w:tcBorders>
            <w:shd w:val="clear" w:color="auto" w:fill="auto"/>
            <w:vAlign w:val="center"/>
          </w:tcPr>
          <w:p w14:paraId="0B78AF5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评价项目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（分值）</w:t>
            </w:r>
          </w:p>
        </w:tc>
        <w:tc>
          <w:tcPr>
            <w:tcW w:w="4022" w:type="dxa"/>
            <w:gridSpan w:val="3"/>
            <w:tcBorders>
              <w:top w:val="single" w:color="auto" w:sz="4" w:space="0"/>
              <w:left w:val="nil"/>
              <w:bottom w:val="single" w:color="auto" w:sz="4" w:space="0"/>
              <w:right w:val="single" w:color="auto" w:sz="4" w:space="0"/>
            </w:tcBorders>
            <w:shd w:val="clear" w:color="auto" w:fill="auto"/>
            <w:noWrap/>
            <w:vAlign w:val="center"/>
          </w:tcPr>
          <w:p w14:paraId="0C1FB7E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0" w:type="dxa"/>
            <w:tcBorders>
              <w:top w:val="single" w:color="auto" w:sz="4" w:space="0"/>
              <w:left w:val="nil"/>
              <w:bottom w:val="single" w:color="auto" w:sz="4" w:space="0"/>
              <w:right w:val="single" w:color="auto" w:sz="4" w:space="0"/>
            </w:tcBorders>
            <w:shd w:val="clear" w:color="auto" w:fill="auto"/>
            <w:vAlign w:val="center"/>
          </w:tcPr>
          <w:p w14:paraId="2BAA832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分值 </w:t>
            </w:r>
          </w:p>
        </w:tc>
        <w:tc>
          <w:tcPr>
            <w:tcW w:w="802" w:type="dxa"/>
            <w:tcBorders>
              <w:top w:val="single" w:color="auto" w:sz="4" w:space="0"/>
              <w:left w:val="nil"/>
              <w:bottom w:val="single" w:color="auto" w:sz="4" w:space="0"/>
              <w:right w:val="single" w:color="auto" w:sz="4" w:space="0"/>
            </w:tcBorders>
            <w:shd w:val="clear" w:color="auto" w:fill="auto"/>
            <w:vAlign w:val="center"/>
          </w:tcPr>
          <w:p w14:paraId="10AE09D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 xml:space="preserve">系数α </w:t>
            </w:r>
          </w:p>
        </w:tc>
        <w:tc>
          <w:tcPr>
            <w:tcW w:w="709" w:type="dxa"/>
            <w:tcBorders>
              <w:top w:val="single" w:color="auto" w:sz="4" w:space="0"/>
              <w:left w:val="nil"/>
              <w:bottom w:val="single" w:color="auto" w:sz="4" w:space="0"/>
              <w:right w:val="single" w:color="auto" w:sz="4" w:space="0"/>
            </w:tcBorders>
            <w:shd w:val="clear" w:color="auto" w:fill="auto"/>
            <w:vAlign w:val="center"/>
          </w:tcPr>
          <w:p w14:paraId="66B538B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2240" w:type="dxa"/>
            <w:tcBorders>
              <w:top w:val="single" w:color="auto" w:sz="4" w:space="0"/>
              <w:left w:val="nil"/>
              <w:bottom w:val="single" w:color="auto" w:sz="4" w:space="0"/>
              <w:right w:val="single" w:color="auto" w:sz="4" w:space="0"/>
            </w:tcBorders>
            <w:shd w:val="clear" w:color="auto" w:fill="auto"/>
            <w:vAlign w:val="center"/>
          </w:tcPr>
          <w:p w14:paraId="751A31F3">
            <w:pPr>
              <w:widowControl/>
              <w:adjustRightInd/>
              <w:spacing w:line="240" w:lineRule="auto"/>
              <w:jc w:val="center"/>
              <w:rPr>
                <w:rFonts w:ascii="等线" w:hAnsi="等线" w:eastAsia="等线" w:cs="宋体"/>
                <w:color w:val="3333FF"/>
                <w:kern w:val="0"/>
                <w:sz w:val="22"/>
                <w:szCs w:val="22"/>
              </w:rPr>
            </w:pPr>
            <w:r>
              <w:rPr>
                <w:rFonts w:hint="eastAsia" w:ascii="等线" w:hAnsi="等线" w:eastAsia="等线" w:cs="宋体"/>
                <w:kern w:val="0"/>
                <w:sz w:val="22"/>
                <w:szCs w:val="22"/>
              </w:rPr>
              <w:t>体验记录</w:t>
            </w:r>
          </w:p>
        </w:tc>
      </w:tr>
      <w:tr w14:paraId="15AB181F">
        <w:tblPrEx>
          <w:tblCellMar>
            <w:top w:w="0" w:type="dxa"/>
            <w:left w:w="108" w:type="dxa"/>
            <w:bottom w:w="0" w:type="dxa"/>
            <w:right w:w="108" w:type="dxa"/>
          </w:tblCellMar>
        </w:tblPrEx>
        <w:trPr>
          <w:trHeight w:val="650" w:hRule="atLeast"/>
        </w:trPr>
        <w:tc>
          <w:tcPr>
            <w:tcW w:w="9994" w:type="dxa"/>
            <w:gridSpan w:val="9"/>
            <w:tcBorders>
              <w:top w:val="single" w:color="auto" w:sz="4" w:space="0"/>
              <w:left w:val="single" w:color="auto" w:sz="4" w:space="0"/>
              <w:bottom w:val="single" w:color="auto" w:sz="4" w:space="0"/>
              <w:right w:val="single" w:color="000000" w:sz="4" w:space="0"/>
            </w:tcBorders>
            <w:shd w:val="clear" w:color="auto" w:fill="auto"/>
            <w:noWrap/>
            <w:vAlign w:val="center"/>
          </w:tcPr>
          <w:p w14:paraId="1C9DBD9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w:t>
            </w:r>
            <w:r>
              <w:rPr>
                <w:rFonts w:ascii="等线" w:hAnsi="等线" w:eastAsia="等线" w:cs="宋体"/>
                <w:color w:val="000000"/>
                <w:kern w:val="0"/>
                <w:sz w:val="22"/>
                <w:szCs w:val="22"/>
              </w:rPr>
              <w:t xml:space="preserve">10 </w:t>
            </w:r>
            <w:r>
              <w:rPr>
                <w:rFonts w:hint="eastAsia" w:ascii="等线" w:hAnsi="等线" w:eastAsia="等线" w:cs="宋体"/>
                <w:color w:val="000000"/>
                <w:kern w:val="0"/>
                <w:sz w:val="22"/>
                <w:szCs w:val="22"/>
              </w:rPr>
              <w:t>康复辅助器具租赁（100分）</w:t>
            </w:r>
          </w:p>
        </w:tc>
      </w:tr>
      <w:tr w14:paraId="3A91D856">
        <w:tblPrEx>
          <w:tblCellMar>
            <w:top w:w="0" w:type="dxa"/>
            <w:left w:w="108" w:type="dxa"/>
            <w:bottom w:w="0" w:type="dxa"/>
            <w:right w:w="108" w:type="dxa"/>
          </w:tblCellMar>
        </w:tblPrEx>
        <w:trPr>
          <w:trHeight w:val="11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6127C66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04" w:type="dxa"/>
            <w:tcBorders>
              <w:top w:val="nil"/>
              <w:left w:val="nil"/>
              <w:bottom w:val="single" w:color="auto" w:sz="4" w:space="0"/>
              <w:right w:val="single" w:color="auto" w:sz="4" w:space="0"/>
            </w:tcBorders>
            <w:shd w:val="clear" w:color="auto" w:fill="auto"/>
            <w:vAlign w:val="center"/>
          </w:tcPr>
          <w:p w14:paraId="28304B8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服务内容</w:t>
            </w: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71A2EC30">
            <w:pPr>
              <w:rPr>
                <w:rFonts w:ascii="等线" w:hAnsi="等线" w:eastAsia="等线" w:cs="宋体"/>
                <w:color w:val="000000"/>
                <w:kern w:val="0"/>
                <w:sz w:val="18"/>
                <w:szCs w:val="18"/>
              </w:rPr>
            </w:pPr>
            <w:r>
              <w:rPr>
                <w:rFonts w:hint="eastAsia" w:ascii="宋体" w:hAnsi="宋体"/>
              </w:rPr>
              <w:t>康复辅助器具租赁包括但不限于：移动辅助、康复护理、防护辅助等多品种，</w:t>
            </w:r>
            <w:r>
              <w:rPr>
                <w:rFonts w:ascii="MicrosoftYaHei" w:hAnsi="MicrosoftYaHei"/>
                <w:color w:val="333333"/>
                <w:spacing w:val="8"/>
                <w:shd w:val="clear" w:color="auto" w:fill="F8F9F9"/>
              </w:rPr>
              <w:t>以民政部颁布的《中国康复辅助器具目录》为参照</w:t>
            </w:r>
            <w:r>
              <w:rPr>
                <w:rFonts w:ascii="宋体" w:hAnsi="宋体"/>
              </w:rPr>
              <w:t>。</w:t>
            </w:r>
          </w:p>
        </w:tc>
        <w:tc>
          <w:tcPr>
            <w:tcW w:w="850" w:type="dxa"/>
            <w:tcBorders>
              <w:top w:val="nil"/>
              <w:left w:val="nil"/>
              <w:bottom w:val="single" w:color="auto" w:sz="4" w:space="0"/>
              <w:right w:val="single" w:color="auto" w:sz="4" w:space="0"/>
            </w:tcBorders>
            <w:shd w:val="clear" w:color="auto" w:fill="auto"/>
            <w:noWrap/>
            <w:vAlign w:val="center"/>
          </w:tcPr>
          <w:p w14:paraId="4FC918FB">
            <w:pPr>
              <w:widowControl/>
              <w:adjustRightInd/>
              <w:spacing w:line="240" w:lineRule="auto"/>
              <w:jc w:val="center"/>
              <w:rPr>
                <w:rFonts w:ascii="等线" w:hAnsi="等线" w:eastAsia="等线" w:cs="宋体"/>
                <w:color w:val="3333FF"/>
                <w:kern w:val="0"/>
                <w:sz w:val="22"/>
                <w:szCs w:val="22"/>
              </w:rPr>
            </w:pPr>
            <w:r>
              <w:rPr>
                <w:rFonts w:ascii="等线" w:hAnsi="等线" w:eastAsia="等线" w:cs="宋体"/>
                <w:kern w:val="0"/>
                <w:sz w:val="22"/>
                <w:szCs w:val="22"/>
              </w:rPr>
              <w:t>3</w:t>
            </w:r>
            <w:r>
              <w:rPr>
                <w:rFonts w:hint="eastAsia" w:ascii="等线" w:hAnsi="等线" w:eastAsia="等线" w:cs="宋体"/>
                <w:kern w:val="0"/>
                <w:sz w:val="22"/>
                <w:szCs w:val="22"/>
              </w:rPr>
              <w:t>0</w:t>
            </w:r>
          </w:p>
        </w:tc>
        <w:tc>
          <w:tcPr>
            <w:tcW w:w="802" w:type="dxa"/>
            <w:tcBorders>
              <w:top w:val="nil"/>
              <w:left w:val="nil"/>
              <w:bottom w:val="single" w:color="auto" w:sz="4" w:space="0"/>
              <w:right w:val="single" w:color="auto" w:sz="4" w:space="0"/>
            </w:tcBorders>
            <w:shd w:val="clear" w:color="auto" w:fill="auto"/>
            <w:noWrap/>
            <w:vAlign w:val="center"/>
          </w:tcPr>
          <w:p w14:paraId="64A7723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0844543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2FEA5D2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477A7899">
        <w:tblPrEx>
          <w:tblCellMar>
            <w:top w:w="0" w:type="dxa"/>
            <w:left w:w="108" w:type="dxa"/>
            <w:bottom w:w="0" w:type="dxa"/>
            <w:right w:w="108" w:type="dxa"/>
          </w:tblCellMar>
        </w:tblPrEx>
        <w:trPr>
          <w:trHeight w:val="57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0AE1EA3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04" w:type="dxa"/>
            <w:vMerge w:val="restart"/>
            <w:tcBorders>
              <w:top w:val="nil"/>
              <w:left w:val="single" w:color="auto" w:sz="4" w:space="0"/>
              <w:bottom w:val="nil"/>
              <w:right w:val="single" w:color="auto" w:sz="4" w:space="0"/>
            </w:tcBorders>
            <w:shd w:val="clear" w:color="auto" w:fill="auto"/>
            <w:vAlign w:val="center"/>
          </w:tcPr>
          <w:p w14:paraId="1D07614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服务要求</w:t>
            </w: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4906E3F9">
            <w:pPr>
              <w:ind w:firstLine="678" w:firstLineChars="300"/>
              <w:rPr>
                <w:rFonts w:ascii="等线" w:hAnsi="等线" w:eastAsia="等线" w:cs="宋体"/>
                <w:color w:val="000000"/>
                <w:kern w:val="0"/>
                <w:sz w:val="18"/>
                <w:szCs w:val="18"/>
              </w:rPr>
            </w:pPr>
            <w:r>
              <w:rPr>
                <w:rFonts w:hint="eastAsia" w:ascii="MicrosoftYaHei" w:hAnsi="MicrosoftYaHei"/>
                <w:color w:val="333333"/>
                <w:spacing w:val="8"/>
                <w:shd w:val="clear" w:color="auto" w:fill="F8F9F9"/>
              </w:rPr>
              <w:t>a</w:t>
            </w:r>
            <w:r>
              <w:rPr>
                <w:rFonts w:ascii="MicrosoftYaHei" w:hAnsi="MicrosoftYaHei"/>
                <w:color w:val="333333"/>
                <w:spacing w:val="8"/>
                <w:shd w:val="clear" w:color="auto" w:fill="F8F9F9"/>
              </w:rPr>
              <w:t xml:space="preserve">) </w:t>
            </w:r>
            <w:r>
              <w:rPr>
                <w:rFonts w:hint="eastAsia" w:ascii="MicrosoftYaHei" w:hAnsi="MicrosoftYaHei"/>
                <w:color w:val="333333"/>
                <w:spacing w:val="8"/>
                <w:shd w:val="clear" w:color="auto" w:fill="F8F9F9"/>
              </w:rPr>
              <w:t>具有《医疗器械经营企业许可证》或《医疗器械经营备案凭证》</w:t>
            </w:r>
            <w:r>
              <w:rPr>
                <w:rFonts w:ascii="MicrosoftYaHei" w:hAnsi="MicrosoftYaHei"/>
                <w:color w:val="333333"/>
                <w:spacing w:val="8"/>
                <w:shd w:val="clear" w:color="auto" w:fill="F8F9F9"/>
              </w:rPr>
              <w:t>;</w:t>
            </w:r>
          </w:p>
        </w:tc>
        <w:tc>
          <w:tcPr>
            <w:tcW w:w="850" w:type="dxa"/>
            <w:tcBorders>
              <w:top w:val="nil"/>
              <w:left w:val="nil"/>
              <w:bottom w:val="single" w:color="auto" w:sz="4" w:space="0"/>
              <w:right w:val="single" w:color="auto" w:sz="4" w:space="0"/>
            </w:tcBorders>
            <w:shd w:val="clear" w:color="auto" w:fill="auto"/>
            <w:noWrap/>
            <w:vAlign w:val="center"/>
          </w:tcPr>
          <w:p w14:paraId="0D595F8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30</w:t>
            </w:r>
          </w:p>
        </w:tc>
        <w:tc>
          <w:tcPr>
            <w:tcW w:w="802" w:type="dxa"/>
            <w:tcBorders>
              <w:top w:val="nil"/>
              <w:left w:val="nil"/>
              <w:bottom w:val="single" w:color="auto" w:sz="4" w:space="0"/>
              <w:right w:val="single" w:color="auto" w:sz="4" w:space="0"/>
            </w:tcBorders>
            <w:shd w:val="clear" w:color="auto" w:fill="auto"/>
            <w:noWrap/>
            <w:vAlign w:val="center"/>
          </w:tcPr>
          <w:p w14:paraId="4A82A4F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6EC6F79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22CCA3B7">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7C07109D">
        <w:tblPrEx>
          <w:tblCellMar>
            <w:top w:w="0" w:type="dxa"/>
            <w:left w:w="108" w:type="dxa"/>
            <w:bottom w:w="0" w:type="dxa"/>
            <w:right w:w="108" w:type="dxa"/>
          </w:tblCellMar>
        </w:tblPrEx>
        <w:trPr>
          <w:trHeight w:val="66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22C0427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04" w:type="dxa"/>
            <w:vMerge w:val="continue"/>
            <w:tcBorders>
              <w:top w:val="nil"/>
              <w:left w:val="single" w:color="auto" w:sz="4" w:space="0"/>
              <w:bottom w:val="nil"/>
              <w:right w:val="single" w:color="auto" w:sz="4" w:space="0"/>
            </w:tcBorders>
            <w:shd w:val="clear" w:color="auto" w:fill="auto"/>
            <w:vAlign w:val="center"/>
          </w:tcPr>
          <w:p w14:paraId="4635F1B2">
            <w:pPr>
              <w:widowControl/>
              <w:adjustRightInd/>
              <w:spacing w:line="240" w:lineRule="auto"/>
              <w:jc w:val="left"/>
              <w:rPr>
                <w:rFonts w:ascii="等线" w:hAnsi="等线" w:eastAsia="等线" w:cs="宋体"/>
                <w:color w:val="000000"/>
                <w:kern w:val="0"/>
                <w:sz w:val="22"/>
                <w:szCs w:val="22"/>
              </w:rPr>
            </w:pP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25DB14D0">
            <w:pPr>
              <w:ind w:firstLine="678" w:firstLineChars="300"/>
              <w:rPr>
                <w:rFonts w:hint="eastAsia" w:ascii="MicrosoftYaHei" w:hAnsi="MicrosoftYaHei"/>
                <w:color w:val="333333"/>
                <w:spacing w:val="8"/>
                <w:shd w:val="clear" w:color="auto" w:fill="F8F9F9"/>
              </w:rPr>
            </w:pPr>
            <w:r>
              <w:rPr>
                <w:rFonts w:hint="eastAsia" w:ascii="MicrosoftYaHei" w:hAnsi="MicrosoftYaHei"/>
                <w:color w:val="333333"/>
                <w:spacing w:val="8"/>
                <w:shd w:val="clear" w:color="auto" w:fill="F8F9F9"/>
              </w:rPr>
              <w:t>b</w:t>
            </w:r>
            <w:r>
              <w:rPr>
                <w:rFonts w:ascii="MicrosoftYaHei" w:hAnsi="MicrosoftYaHei"/>
                <w:color w:val="333333"/>
                <w:spacing w:val="8"/>
                <w:shd w:val="clear" w:color="auto" w:fill="F8F9F9"/>
              </w:rPr>
              <w:t xml:space="preserve">) </w:t>
            </w:r>
            <w:r>
              <w:rPr>
                <w:rFonts w:hint="eastAsia" w:ascii="MicrosoftYaHei" w:hAnsi="MicrosoftYaHei"/>
                <w:color w:val="333333"/>
                <w:spacing w:val="8"/>
                <w:shd w:val="clear" w:color="auto" w:fill="F8F9F9"/>
              </w:rPr>
              <w:t>专业技术服务能力和专业服务人员；</w:t>
            </w:r>
          </w:p>
        </w:tc>
        <w:tc>
          <w:tcPr>
            <w:tcW w:w="850" w:type="dxa"/>
            <w:tcBorders>
              <w:top w:val="nil"/>
              <w:left w:val="nil"/>
              <w:bottom w:val="single" w:color="auto" w:sz="4" w:space="0"/>
              <w:right w:val="single" w:color="auto" w:sz="4" w:space="0"/>
            </w:tcBorders>
            <w:shd w:val="clear" w:color="auto" w:fill="auto"/>
            <w:noWrap/>
            <w:vAlign w:val="center"/>
          </w:tcPr>
          <w:p w14:paraId="5636A871">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2</w:t>
            </w:r>
            <w:r>
              <w:rPr>
                <w:rFonts w:hint="eastAsia" w:ascii="等线" w:hAnsi="等线" w:eastAsia="等线" w:cs="宋体"/>
                <w:color w:val="000000"/>
                <w:kern w:val="0"/>
                <w:sz w:val="22"/>
                <w:szCs w:val="22"/>
              </w:rPr>
              <w:t>0</w:t>
            </w:r>
          </w:p>
        </w:tc>
        <w:tc>
          <w:tcPr>
            <w:tcW w:w="802" w:type="dxa"/>
            <w:tcBorders>
              <w:top w:val="nil"/>
              <w:left w:val="nil"/>
              <w:bottom w:val="single" w:color="auto" w:sz="4" w:space="0"/>
              <w:right w:val="single" w:color="auto" w:sz="4" w:space="0"/>
            </w:tcBorders>
            <w:shd w:val="clear" w:color="auto" w:fill="auto"/>
            <w:noWrap/>
            <w:vAlign w:val="center"/>
          </w:tcPr>
          <w:p w14:paraId="5203EBD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1D4AF47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0760DB9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259D9B4B">
        <w:tblPrEx>
          <w:tblCellMar>
            <w:top w:w="0" w:type="dxa"/>
            <w:left w:w="108" w:type="dxa"/>
            <w:bottom w:w="0" w:type="dxa"/>
            <w:right w:w="108" w:type="dxa"/>
          </w:tblCellMar>
        </w:tblPrEx>
        <w:trPr>
          <w:trHeight w:val="69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70C73EB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04" w:type="dxa"/>
            <w:vMerge w:val="continue"/>
            <w:tcBorders>
              <w:top w:val="nil"/>
              <w:left w:val="single" w:color="auto" w:sz="4" w:space="0"/>
              <w:bottom w:val="nil"/>
              <w:right w:val="single" w:color="auto" w:sz="4" w:space="0"/>
            </w:tcBorders>
            <w:shd w:val="clear" w:color="auto" w:fill="auto"/>
            <w:vAlign w:val="center"/>
          </w:tcPr>
          <w:p w14:paraId="09413407">
            <w:pPr>
              <w:widowControl/>
              <w:adjustRightInd/>
              <w:spacing w:line="240" w:lineRule="auto"/>
              <w:jc w:val="left"/>
              <w:rPr>
                <w:rFonts w:ascii="等线" w:hAnsi="等线" w:eastAsia="等线" w:cs="宋体"/>
                <w:color w:val="000000"/>
                <w:kern w:val="0"/>
                <w:sz w:val="22"/>
                <w:szCs w:val="22"/>
              </w:rPr>
            </w:pPr>
          </w:p>
        </w:tc>
        <w:tc>
          <w:tcPr>
            <w:tcW w:w="4022" w:type="dxa"/>
            <w:gridSpan w:val="3"/>
            <w:tcBorders>
              <w:top w:val="single" w:color="auto" w:sz="4" w:space="0"/>
              <w:left w:val="nil"/>
              <w:bottom w:val="single" w:color="auto" w:sz="4" w:space="0"/>
              <w:right w:val="single" w:color="auto" w:sz="4" w:space="0"/>
            </w:tcBorders>
            <w:shd w:val="clear" w:color="auto" w:fill="auto"/>
            <w:vAlign w:val="center"/>
          </w:tcPr>
          <w:p w14:paraId="43D5CDD9">
            <w:pPr>
              <w:ind w:firstLine="678" w:firstLineChars="300"/>
              <w:rPr>
                <w:rFonts w:ascii="等线" w:hAnsi="等线" w:eastAsia="等线" w:cs="宋体"/>
                <w:color w:val="000000"/>
                <w:kern w:val="0"/>
                <w:sz w:val="18"/>
                <w:szCs w:val="18"/>
              </w:rPr>
            </w:pPr>
            <w:r>
              <w:rPr>
                <w:rFonts w:hint="eastAsia" w:ascii="MicrosoftYaHei" w:hAnsi="MicrosoftYaHei"/>
                <w:color w:val="333333"/>
                <w:spacing w:val="8"/>
                <w:shd w:val="clear" w:color="auto" w:fill="F8F9F9"/>
              </w:rPr>
              <w:t>c</w:t>
            </w:r>
            <w:r>
              <w:rPr>
                <w:rFonts w:ascii="MicrosoftYaHei" w:hAnsi="MicrosoftYaHei"/>
                <w:color w:val="333333"/>
                <w:spacing w:val="8"/>
                <w:shd w:val="clear" w:color="auto" w:fill="F8F9F9"/>
              </w:rPr>
              <w:t xml:space="preserve">) </w:t>
            </w:r>
            <w:r>
              <w:rPr>
                <w:rFonts w:hint="eastAsia" w:ascii="MicrosoftYaHei" w:hAnsi="MicrosoftYaHei"/>
                <w:color w:val="333333"/>
                <w:spacing w:val="8"/>
                <w:shd w:val="clear" w:color="auto" w:fill="F8F9F9"/>
              </w:rPr>
              <w:t>具有所开展的租赁业务相适应的场地面积（如3</w:t>
            </w:r>
            <w:r>
              <w:rPr>
                <w:rFonts w:ascii="MicrosoftYaHei" w:hAnsi="MicrosoftYaHei"/>
                <w:color w:val="333333"/>
                <w:spacing w:val="8"/>
                <w:shd w:val="clear" w:color="auto" w:fill="F8F9F9"/>
              </w:rPr>
              <w:t>0</w:t>
            </w:r>
            <w:r>
              <w:rPr>
                <w:rFonts w:hint="eastAsia" w:ascii="MicrosoftYaHei" w:hAnsi="MicrosoftYaHei"/>
                <w:color w:val="333333"/>
                <w:spacing w:val="8"/>
                <w:shd w:val="clear" w:color="auto" w:fill="F8F9F9"/>
              </w:rPr>
              <w:t>㎡），便于展示和体验。</w:t>
            </w:r>
          </w:p>
        </w:tc>
        <w:tc>
          <w:tcPr>
            <w:tcW w:w="850" w:type="dxa"/>
            <w:tcBorders>
              <w:top w:val="nil"/>
              <w:left w:val="nil"/>
              <w:bottom w:val="single" w:color="auto" w:sz="4" w:space="0"/>
              <w:right w:val="single" w:color="auto" w:sz="4" w:space="0"/>
            </w:tcBorders>
            <w:shd w:val="clear" w:color="auto" w:fill="auto"/>
            <w:noWrap/>
            <w:vAlign w:val="center"/>
          </w:tcPr>
          <w:p w14:paraId="0E0D398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802" w:type="dxa"/>
            <w:tcBorders>
              <w:top w:val="nil"/>
              <w:left w:val="nil"/>
              <w:bottom w:val="single" w:color="auto" w:sz="4" w:space="0"/>
              <w:right w:val="single" w:color="auto" w:sz="4" w:space="0"/>
            </w:tcBorders>
            <w:shd w:val="clear" w:color="auto" w:fill="auto"/>
            <w:noWrap/>
            <w:vAlign w:val="center"/>
          </w:tcPr>
          <w:p w14:paraId="49E23A1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center"/>
          </w:tcPr>
          <w:p w14:paraId="73C3A25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46D772DC">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3FE877E9">
        <w:tblPrEx>
          <w:tblCellMar>
            <w:top w:w="0" w:type="dxa"/>
            <w:left w:w="108" w:type="dxa"/>
            <w:bottom w:w="0" w:type="dxa"/>
            <w:right w:w="108" w:type="dxa"/>
          </w:tblCellMar>
        </w:tblPrEx>
        <w:trPr>
          <w:trHeight w:val="5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3BF4F71C">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4826" w:type="dxa"/>
            <w:gridSpan w:val="4"/>
            <w:tcBorders>
              <w:top w:val="single" w:color="auto" w:sz="4" w:space="0"/>
              <w:left w:val="nil"/>
              <w:bottom w:val="single" w:color="auto" w:sz="4" w:space="0"/>
              <w:right w:val="single" w:color="auto" w:sz="4" w:space="0"/>
            </w:tcBorders>
            <w:shd w:val="clear" w:color="auto" w:fill="auto"/>
            <w:noWrap/>
            <w:vAlign w:val="center"/>
          </w:tcPr>
          <w:p w14:paraId="1374F0C1">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850" w:type="dxa"/>
            <w:tcBorders>
              <w:top w:val="nil"/>
              <w:left w:val="nil"/>
              <w:bottom w:val="single" w:color="auto" w:sz="4" w:space="0"/>
              <w:right w:val="single" w:color="auto" w:sz="4" w:space="0"/>
            </w:tcBorders>
            <w:shd w:val="clear" w:color="auto" w:fill="auto"/>
            <w:noWrap/>
            <w:vAlign w:val="center"/>
          </w:tcPr>
          <w:p w14:paraId="73B640C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802" w:type="dxa"/>
            <w:tcBorders>
              <w:top w:val="nil"/>
              <w:left w:val="nil"/>
              <w:bottom w:val="single" w:color="auto" w:sz="4" w:space="0"/>
              <w:right w:val="single" w:color="auto" w:sz="4" w:space="0"/>
            </w:tcBorders>
            <w:shd w:val="clear" w:color="auto" w:fill="auto"/>
            <w:noWrap/>
            <w:vAlign w:val="bottom"/>
          </w:tcPr>
          <w:p w14:paraId="00860EFF">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bottom"/>
          </w:tcPr>
          <w:p w14:paraId="1C2CF8B0">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7FCAEA2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r w14:paraId="646785DB">
        <w:tblPrEx>
          <w:tblCellMar>
            <w:top w:w="0" w:type="dxa"/>
            <w:left w:w="108" w:type="dxa"/>
            <w:bottom w:w="0" w:type="dxa"/>
            <w:right w:w="108" w:type="dxa"/>
          </w:tblCellMar>
        </w:tblPrEx>
        <w:trPr>
          <w:trHeight w:val="630" w:hRule="atLeast"/>
        </w:trPr>
        <w:tc>
          <w:tcPr>
            <w:tcW w:w="136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F23DC8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2080" w:type="dxa"/>
            <w:tcBorders>
              <w:top w:val="single" w:color="auto" w:sz="4" w:space="0"/>
              <w:left w:val="nil"/>
              <w:bottom w:val="single" w:color="auto" w:sz="4" w:space="0"/>
              <w:right w:val="single" w:color="auto" w:sz="4" w:space="0"/>
            </w:tcBorders>
            <w:shd w:val="clear" w:color="auto" w:fill="auto"/>
            <w:vAlign w:val="center"/>
          </w:tcPr>
          <w:p w14:paraId="3AC4D64D">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06D7CDC7">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得分率</w:t>
            </w:r>
          </w:p>
        </w:tc>
        <w:tc>
          <w:tcPr>
            <w:tcW w:w="902" w:type="dxa"/>
            <w:tcBorders>
              <w:top w:val="single" w:color="auto" w:sz="4" w:space="0"/>
              <w:left w:val="nil"/>
              <w:bottom w:val="single" w:color="auto" w:sz="4" w:space="0"/>
              <w:right w:val="single" w:color="auto" w:sz="4" w:space="0"/>
            </w:tcBorders>
            <w:shd w:val="clear" w:color="auto" w:fill="auto"/>
            <w:vAlign w:val="center"/>
          </w:tcPr>
          <w:p w14:paraId="7F0DBD2F">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657" w:type="dxa"/>
            <w:gridSpan w:val="2"/>
            <w:tcBorders>
              <w:top w:val="single" w:color="auto" w:sz="4" w:space="0"/>
              <w:left w:val="nil"/>
              <w:bottom w:val="single" w:color="auto" w:sz="4" w:space="0"/>
              <w:right w:val="single" w:color="auto" w:sz="4" w:space="0"/>
            </w:tcBorders>
            <w:shd w:val="clear" w:color="auto" w:fill="auto"/>
            <w:noWrap/>
            <w:vAlign w:val="center"/>
          </w:tcPr>
          <w:p w14:paraId="6D7A6182">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709" w:type="dxa"/>
            <w:tcBorders>
              <w:top w:val="nil"/>
              <w:left w:val="nil"/>
              <w:bottom w:val="single" w:color="auto" w:sz="4" w:space="0"/>
              <w:right w:val="single" w:color="auto" w:sz="4" w:space="0"/>
            </w:tcBorders>
            <w:shd w:val="clear" w:color="auto" w:fill="auto"/>
            <w:noWrap/>
            <w:vAlign w:val="center"/>
          </w:tcPr>
          <w:p w14:paraId="597F99C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2240" w:type="dxa"/>
            <w:tcBorders>
              <w:top w:val="nil"/>
              <w:left w:val="nil"/>
              <w:bottom w:val="single" w:color="auto" w:sz="4" w:space="0"/>
              <w:right w:val="single" w:color="auto" w:sz="4" w:space="0"/>
            </w:tcBorders>
            <w:shd w:val="clear" w:color="auto" w:fill="auto"/>
            <w:noWrap/>
            <w:vAlign w:val="bottom"/>
          </w:tcPr>
          <w:p w14:paraId="1DB6B43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r>
    </w:tbl>
    <w:p w14:paraId="4D2318B3">
      <w:pPr>
        <w:rPr>
          <w:rFonts w:ascii="黑体" w:hAnsi="黑体" w:eastAsia="黑体"/>
        </w:rPr>
      </w:pPr>
    </w:p>
    <w:p w14:paraId="41270048">
      <w:pPr>
        <w:rPr>
          <w:rFonts w:ascii="黑体" w:hAnsi="黑体" w:eastAsia="黑体"/>
        </w:rPr>
      </w:pPr>
    </w:p>
    <w:p w14:paraId="0E4D1CD5">
      <w:pPr>
        <w:rPr>
          <w:rFonts w:ascii="黑体" w:hAnsi="黑体" w:eastAsia="黑体"/>
        </w:rPr>
      </w:pPr>
    </w:p>
    <w:p w14:paraId="0D368D2C">
      <w:pPr>
        <w:rPr>
          <w:rFonts w:ascii="黑体" w:hAnsi="黑体" w:eastAsia="黑体"/>
        </w:rPr>
      </w:pPr>
    </w:p>
    <w:p w14:paraId="0D0CAC9E">
      <w:pPr>
        <w:rPr>
          <w:rFonts w:ascii="黑体" w:hAnsi="黑体" w:eastAsia="黑体"/>
        </w:rPr>
      </w:pPr>
    </w:p>
    <w:p w14:paraId="1A39D061">
      <w:pPr>
        <w:rPr>
          <w:rFonts w:ascii="黑体" w:hAnsi="黑体" w:eastAsia="黑体"/>
        </w:rPr>
      </w:pPr>
    </w:p>
    <w:p w14:paraId="6695ED85">
      <w:pPr>
        <w:rPr>
          <w:rFonts w:ascii="黑体" w:hAnsi="黑体" w:eastAsia="黑体"/>
        </w:rPr>
      </w:pPr>
    </w:p>
    <w:p w14:paraId="5873ADF3">
      <w:pPr>
        <w:rPr>
          <w:rFonts w:ascii="黑体" w:hAnsi="黑体" w:eastAsia="黑体"/>
        </w:rPr>
      </w:pPr>
    </w:p>
    <w:p w14:paraId="4874416F">
      <w:pPr>
        <w:rPr>
          <w:rFonts w:ascii="黑体" w:hAnsi="黑体" w:eastAsia="黑体"/>
        </w:rPr>
      </w:pPr>
    </w:p>
    <w:p w14:paraId="1AC16D6E">
      <w:pPr>
        <w:pStyle w:val="3"/>
        <w:jc w:val="center"/>
        <w:rPr>
          <w:rFonts w:ascii="黑体" w:hAnsi="黑体" w:eastAsia="黑体"/>
          <w:sz w:val="28"/>
          <w:szCs w:val="28"/>
        </w:rPr>
      </w:pPr>
      <w:bookmarkStart w:id="60" w:name="_Toc186446331"/>
      <w:r>
        <w:rPr>
          <w:rFonts w:hint="eastAsia" w:ascii="黑体" w:hAnsi="黑体" w:eastAsia="黑体"/>
          <w:sz w:val="28"/>
          <w:szCs w:val="28"/>
        </w:rPr>
        <w:t>附录C</w:t>
      </w:r>
      <w:bookmarkEnd w:id="60"/>
    </w:p>
    <w:p w14:paraId="6F0A4C6A">
      <w:pPr>
        <w:jc w:val="center"/>
        <w:rPr>
          <w:rFonts w:ascii="黑体" w:hAnsi="黑体" w:eastAsia="黑体"/>
          <w:sz w:val="28"/>
          <w:szCs w:val="28"/>
        </w:rPr>
      </w:pPr>
      <w:r>
        <w:rPr>
          <w:rFonts w:hint="eastAsia" w:ascii="黑体" w:hAnsi="黑体" w:eastAsia="黑体"/>
          <w:sz w:val="28"/>
          <w:szCs w:val="28"/>
        </w:rPr>
        <w:t>（资料性附录）</w:t>
      </w:r>
    </w:p>
    <w:p w14:paraId="79130921">
      <w:pPr>
        <w:pStyle w:val="4"/>
        <w:jc w:val="center"/>
        <w:rPr>
          <w:rFonts w:ascii="黑体" w:hAnsi="黑体"/>
          <w:sz w:val="28"/>
          <w:szCs w:val="28"/>
        </w:rPr>
      </w:pPr>
      <w:bookmarkStart w:id="61" w:name="_Toc186446332"/>
      <w:r>
        <w:rPr>
          <w:rFonts w:hint="eastAsia" w:ascii="黑体" w:hAnsi="黑体"/>
          <w:sz w:val="28"/>
          <w:szCs w:val="28"/>
        </w:rPr>
        <w:t>管理能力评价表</w:t>
      </w:r>
      <w:bookmarkEnd w:id="61"/>
    </w:p>
    <w:tbl>
      <w:tblPr>
        <w:tblStyle w:val="28"/>
        <w:tblW w:w="9738" w:type="dxa"/>
        <w:tblInd w:w="-431" w:type="dxa"/>
        <w:tblLayout w:type="autofit"/>
        <w:tblCellMar>
          <w:top w:w="0" w:type="dxa"/>
          <w:left w:w="108" w:type="dxa"/>
          <w:bottom w:w="0" w:type="dxa"/>
          <w:right w:w="108" w:type="dxa"/>
        </w:tblCellMar>
      </w:tblPr>
      <w:tblGrid>
        <w:gridCol w:w="562"/>
        <w:gridCol w:w="888"/>
        <w:gridCol w:w="766"/>
        <w:gridCol w:w="790"/>
        <w:gridCol w:w="1040"/>
        <w:gridCol w:w="2617"/>
        <w:gridCol w:w="850"/>
        <w:gridCol w:w="807"/>
        <w:gridCol w:w="709"/>
        <w:gridCol w:w="709"/>
      </w:tblGrid>
      <w:tr w14:paraId="4076E572">
        <w:tblPrEx>
          <w:tblCellMar>
            <w:top w:w="0" w:type="dxa"/>
            <w:left w:w="108" w:type="dxa"/>
            <w:bottom w:w="0" w:type="dxa"/>
            <w:right w:w="108" w:type="dxa"/>
          </w:tblCellMar>
        </w:tblPrEx>
        <w:trPr>
          <w:trHeight w:val="560" w:hRule="atLeast"/>
        </w:trPr>
        <w:tc>
          <w:tcPr>
            <w:tcW w:w="56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33AE0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序号 </w:t>
            </w:r>
          </w:p>
        </w:tc>
        <w:tc>
          <w:tcPr>
            <w:tcW w:w="888" w:type="dxa"/>
            <w:tcBorders>
              <w:top w:val="single" w:color="auto" w:sz="4" w:space="0"/>
              <w:left w:val="nil"/>
              <w:bottom w:val="single" w:color="auto" w:sz="4" w:space="0"/>
              <w:right w:val="single" w:color="auto" w:sz="4" w:space="0"/>
            </w:tcBorders>
            <w:shd w:val="clear" w:color="auto" w:fill="auto"/>
            <w:vAlign w:val="center"/>
          </w:tcPr>
          <w:p w14:paraId="32226F0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w:t>
            </w:r>
          </w:p>
          <w:p w14:paraId="18788F3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项目（分值）</w:t>
            </w:r>
          </w:p>
        </w:tc>
        <w:tc>
          <w:tcPr>
            <w:tcW w:w="5213" w:type="dxa"/>
            <w:gridSpan w:val="4"/>
            <w:tcBorders>
              <w:top w:val="single" w:color="auto" w:sz="4" w:space="0"/>
              <w:left w:val="nil"/>
              <w:bottom w:val="single" w:color="auto" w:sz="4" w:space="0"/>
              <w:right w:val="single" w:color="auto" w:sz="4" w:space="0"/>
            </w:tcBorders>
            <w:shd w:val="clear" w:color="auto" w:fill="auto"/>
            <w:noWrap/>
            <w:vAlign w:val="center"/>
          </w:tcPr>
          <w:p w14:paraId="79A11F4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评价内容 </w:t>
            </w:r>
          </w:p>
        </w:tc>
        <w:tc>
          <w:tcPr>
            <w:tcW w:w="850" w:type="dxa"/>
            <w:tcBorders>
              <w:top w:val="single" w:color="auto" w:sz="4" w:space="0"/>
              <w:left w:val="nil"/>
              <w:bottom w:val="single" w:color="auto" w:sz="4" w:space="0"/>
              <w:right w:val="single" w:color="auto" w:sz="4" w:space="0"/>
            </w:tcBorders>
            <w:shd w:val="clear" w:color="auto" w:fill="auto"/>
            <w:vAlign w:val="center"/>
          </w:tcPr>
          <w:p w14:paraId="6CD7F50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给定 分值 </w:t>
            </w:r>
          </w:p>
        </w:tc>
        <w:tc>
          <w:tcPr>
            <w:tcW w:w="807" w:type="dxa"/>
            <w:tcBorders>
              <w:top w:val="single" w:color="auto" w:sz="4" w:space="0"/>
              <w:left w:val="nil"/>
              <w:bottom w:val="single" w:color="auto" w:sz="4" w:space="0"/>
              <w:right w:val="single" w:color="auto" w:sz="4" w:space="0"/>
            </w:tcBorders>
            <w:shd w:val="clear" w:color="auto" w:fill="auto"/>
            <w:vAlign w:val="center"/>
          </w:tcPr>
          <w:p w14:paraId="0504E18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体验 系数α </w:t>
            </w:r>
          </w:p>
        </w:tc>
        <w:tc>
          <w:tcPr>
            <w:tcW w:w="709" w:type="dxa"/>
            <w:tcBorders>
              <w:top w:val="single" w:color="auto" w:sz="4" w:space="0"/>
              <w:left w:val="nil"/>
              <w:bottom w:val="single" w:color="auto" w:sz="4" w:space="0"/>
              <w:right w:val="single" w:color="auto" w:sz="4" w:space="0"/>
            </w:tcBorders>
            <w:shd w:val="clear" w:color="auto" w:fill="auto"/>
            <w:vAlign w:val="center"/>
          </w:tcPr>
          <w:p w14:paraId="42375CA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xml:space="preserve">测评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得分</w:t>
            </w:r>
          </w:p>
        </w:tc>
        <w:tc>
          <w:tcPr>
            <w:tcW w:w="709" w:type="dxa"/>
            <w:tcBorders>
              <w:top w:val="single" w:color="auto" w:sz="4" w:space="0"/>
              <w:left w:val="nil"/>
              <w:bottom w:val="single" w:color="auto" w:sz="4" w:space="0"/>
              <w:right w:val="single" w:color="auto" w:sz="4" w:space="0"/>
            </w:tcBorders>
            <w:vAlign w:val="center"/>
          </w:tcPr>
          <w:p w14:paraId="01CA5FB1">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评价记录</w:t>
            </w:r>
          </w:p>
        </w:tc>
      </w:tr>
      <w:tr w14:paraId="60886251">
        <w:tblPrEx>
          <w:tblCellMar>
            <w:top w:w="0" w:type="dxa"/>
            <w:left w:w="108" w:type="dxa"/>
            <w:bottom w:w="0" w:type="dxa"/>
            <w:right w:w="108" w:type="dxa"/>
          </w:tblCellMar>
        </w:tblPrEx>
        <w:trPr>
          <w:trHeight w:val="283" w:hRule="atLeast"/>
        </w:trPr>
        <w:tc>
          <w:tcPr>
            <w:tcW w:w="562" w:type="dxa"/>
            <w:vMerge w:val="restart"/>
            <w:tcBorders>
              <w:top w:val="nil"/>
              <w:left w:val="single" w:color="auto" w:sz="4" w:space="0"/>
              <w:right w:val="single" w:color="auto" w:sz="4" w:space="0"/>
            </w:tcBorders>
            <w:shd w:val="clear" w:color="auto" w:fill="auto"/>
            <w:noWrap/>
            <w:vAlign w:val="center"/>
          </w:tcPr>
          <w:p w14:paraId="320006A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888" w:type="dxa"/>
            <w:vMerge w:val="restart"/>
            <w:tcBorders>
              <w:top w:val="nil"/>
              <w:left w:val="nil"/>
              <w:right w:val="single" w:color="auto" w:sz="4" w:space="0"/>
            </w:tcBorders>
            <w:shd w:val="clear" w:color="auto" w:fill="auto"/>
            <w:vAlign w:val="center"/>
          </w:tcPr>
          <w:p w14:paraId="1B86E398">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w:t>
            </w:r>
          </w:p>
          <w:p w14:paraId="6051DCE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能力</w:t>
            </w:r>
          </w:p>
          <w:p w14:paraId="5CEFFA0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r>
              <w:rPr>
                <w:rFonts w:ascii="等线" w:hAnsi="等线" w:eastAsia="等线" w:cs="宋体"/>
                <w:color w:val="000000"/>
                <w:kern w:val="0"/>
                <w:sz w:val="22"/>
                <w:szCs w:val="22"/>
              </w:rPr>
              <w:t>5</w:t>
            </w:r>
            <w:r>
              <w:rPr>
                <w:rFonts w:hint="eastAsia" w:ascii="等线" w:hAnsi="等线" w:eastAsia="等线" w:cs="宋体"/>
                <w:color w:val="000000"/>
                <w:kern w:val="0"/>
                <w:sz w:val="22"/>
                <w:szCs w:val="22"/>
              </w:rPr>
              <w:t>）</w:t>
            </w:r>
          </w:p>
        </w:tc>
        <w:tc>
          <w:tcPr>
            <w:tcW w:w="766" w:type="dxa"/>
            <w:vMerge w:val="restart"/>
            <w:tcBorders>
              <w:top w:val="single" w:color="auto" w:sz="4" w:space="0"/>
              <w:left w:val="nil"/>
              <w:right w:val="single" w:color="auto" w:sz="4" w:space="0"/>
            </w:tcBorders>
            <w:shd w:val="clear" w:color="auto" w:fill="auto"/>
            <w:vAlign w:val="center"/>
          </w:tcPr>
          <w:p w14:paraId="21495ABA">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组织管理（</w:t>
            </w:r>
            <w:r>
              <w:rPr>
                <w:rFonts w:ascii="等线" w:hAnsi="等线" w:eastAsia="等线" w:cs="宋体"/>
                <w:color w:val="000000"/>
                <w:kern w:val="0"/>
                <w:sz w:val="18"/>
                <w:szCs w:val="18"/>
              </w:rPr>
              <w:t>5</w:t>
            </w:r>
            <w:r>
              <w:rPr>
                <w:rFonts w:hint="eastAsia" w:ascii="等线" w:hAnsi="等线" w:eastAsia="等线" w:cs="宋体"/>
                <w:color w:val="000000"/>
                <w:kern w:val="0"/>
                <w:sz w:val="18"/>
                <w:szCs w:val="18"/>
              </w:rPr>
              <w:t>分）</w:t>
            </w: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0C8CE443">
            <w:pPr>
              <w:rPr>
                <w:sz w:val="18"/>
                <w:szCs w:val="18"/>
              </w:rPr>
            </w:pPr>
            <w:r>
              <w:rPr>
                <w:rFonts w:hint="eastAsia"/>
                <w:sz w:val="18"/>
                <w:szCs w:val="18"/>
              </w:rPr>
              <w:t>1、对组织管理的评价包括但不限于：（</w:t>
            </w:r>
            <w:r>
              <w:rPr>
                <w:sz w:val="18"/>
                <w:szCs w:val="18"/>
              </w:rPr>
              <w:t>2</w:t>
            </w:r>
            <w:r>
              <w:rPr>
                <w:rFonts w:hint="eastAsia"/>
                <w:sz w:val="18"/>
                <w:szCs w:val="18"/>
              </w:rPr>
              <w:t>分）</w:t>
            </w:r>
          </w:p>
          <w:p w14:paraId="3EF2C1F3">
            <w:pPr>
              <w:pStyle w:val="231"/>
              <w:numPr>
                <w:ilvl w:val="0"/>
                <w:numId w:val="32"/>
              </w:numPr>
              <w:ind w:firstLineChars="0"/>
              <w:rPr>
                <w:rFonts w:ascii="Calibri" w:hAnsi="Calibri" w:eastAsia="宋体" w:cs="Times New Roman"/>
                <w:sz w:val="18"/>
                <w:szCs w:val="18"/>
              </w:rPr>
            </w:pPr>
            <w:r>
              <w:rPr>
                <w:rFonts w:hint="eastAsia" w:ascii="Calibri" w:hAnsi="Calibri" w:eastAsia="宋体" w:cs="Times New Roman"/>
                <w:sz w:val="18"/>
                <w:szCs w:val="18"/>
              </w:rPr>
              <w:t>确立服务方针、目标、发展规划;</w:t>
            </w:r>
          </w:p>
          <w:p w14:paraId="6246AA2E">
            <w:pPr>
              <w:pStyle w:val="231"/>
              <w:numPr>
                <w:ilvl w:val="0"/>
                <w:numId w:val="32"/>
              </w:numPr>
              <w:ind w:firstLineChars="0"/>
              <w:rPr>
                <w:rFonts w:ascii="Calibri" w:hAnsi="Calibri" w:eastAsia="宋体" w:cs="Times New Roman"/>
                <w:sz w:val="18"/>
                <w:szCs w:val="18"/>
              </w:rPr>
            </w:pPr>
            <w:r>
              <w:rPr>
                <w:rFonts w:ascii="Calibri" w:hAnsi="Calibri" w:eastAsia="宋体" w:cs="Times New Roman"/>
                <w:sz w:val="18"/>
                <w:szCs w:val="18"/>
              </w:rPr>
              <w:t>确定</w:t>
            </w:r>
            <w:r>
              <w:rPr>
                <w:rFonts w:hint="eastAsia" w:ascii="Calibri" w:hAnsi="Calibri" w:eastAsia="宋体" w:cs="Times New Roman"/>
                <w:sz w:val="18"/>
                <w:szCs w:val="18"/>
              </w:rPr>
              <w:t>提供服务承诺；</w:t>
            </w:r>
          </w:p>
          <w:p w14:paraId="44BB8B63">
            <w:pPr>
              <w:pStyle w:val="231"/>
              <w:numPr>
                <w:ilvl w:val="0"/>
                <w:numId w:val="32"/>
              </w:numPr>
              <w:ind w:left="712" w:hanging="352" w:firstLineChars="0"/>
              <w:rPr>
                <w:rFonts w:ascii="Calibri" w:hAnsi="Calibri" w:eastAsia="宋体" w:cs="Times New Roman"/>
                <w:sz w:val="18"/>
                <w:szCs w:val="18"/>
              </w:rPr>
            </w:pPr>
            <w:r>
              <w:rPr>
                <w:rFonts w:hint="eastAsia" w:ascii="Calibri" w:hAnsi="Calibri" w:eastAsia="宋体" w:cs="Times New Roman"/>
                <w:sz w:val="18"/>
                <w:szCs w:val="18"/>
              </w:rPr>
              <w:t>具备与其业务相适应的组织架构，并对服务流程、服务规范、服务职责做出规定;</w:t>
            </w:r>
          </w:p>
          <w:p w14:paraId="55F6816A">
            <w:pPr>
              <w:pStyle w:val="231"/>
              <w:numPr>
                <w:ilvl w:val="0"/>
                <w:numId w:val="32"/>
              </w:numPr>
              <w:ind w:firstLineChars="0"/>
              <w:rPr>
                <w:rFonts w:ascii="Calibri" w:hAnsi="Calibri" w:eastAsia="宋体" w:cs="Times New Roman"/>
                <w:sz w:val="18"/>
                <w:szCs w:val="18"/>
              </w:rPr>
            </w:pPr>
            <w:r>
              <w:rPr>
                <w:rFonts w:ascii="Calibri" w:hAnsi="Calibri" w:eastAsia="宋体" w:cs="Times New Roman"/>
                <w:sz w:val="18"/>
                <w:szCs w:val="18"/>
              </w:rPr>
              <w:t>确保可以获得必要的资源和信息，以支持服务提供的运作和监视；</w:t>
            </w:r>
          </w:p>
          <w:p w14:paraId="4B4EB08D">
            <w:pPr>
              <w:pStyle w:val="231"/>
              <w:numPr>
                <w:ilvl w:val="0"/>
                <w:numId w:val="32"/>
              </w:numPr>
              <w:ind w:firstLineChars="0"/>
              <w:rPr>
                <w:rFonts w:ascii="等线" w:hAnsi="等线" w:eastAsia="等线" w:cs="宋体"/>
                <w:color w:val="000000"/>
                <w:kern w:val="0"/>
                <w:sz w:val="18"/>
                <w:szCs w:val="18"/>
              </w:rPr>
            </w:pPr>
            <w:r>
              <w:rPr>
                <w:rFonts w:hint="eastAsia" w:ascii="Calibri" w:hAnsi="Calibri" w:eastAsia="宋体" w:cs="Times New Roman"/>
                <w:sz w:val="18"/>
                <w:szCs w:val="18"/>
              </w:rPr>
              <w:t>建立良好的沟通渠道、明确沟通方式和时机。</w:t>
            </w:r>
          </w:p>
        </w:tc>
        <w:tc>
          <w:tcPr>
            <w:tcW w:w="850" w:type="dxa"/>
            <w:tcBorders>
              <w:top w:val="nil"/>
              <w:left w:val="nil"/>
              <w:right w:val="single" w:color="auto" w:sz="4" w:space="0"/>
            </w:tcBorders>
            <w:shd w:val="clear" w:color="auto" w:fill="auto"/>
            <w:noWrap/>
            <w:vAlign w:val="center"/>
          </w:tcPr>
          <w:p w14:paraId="582FBB2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r>
              <w:rPr>
                <w:rFonts w:ascii="等线" w:hAnsi="等线" w:eastAsia="等线" w:cs="宋体"/>
                <w:color w:val="000000"/>
                <w:kern w:val="0"/>
                <w:sz w:val="22"/>
                <w:szCs w:val="22"/>
              </w:rPr>
              <w:t>2</w:t>
            </w:r>
          </w:p>
        </w:tc>
        <w:tc>
          <w:tcPr>
            <w:tcW w:w="807" w:type="dxa"/>
            <w:tcBorders>
              <w:top w:val="nil"/>
              <w:left w:val="nil"/>
              <w:right w:val="single" w:color="auto" w:sz="4" w:space="0"/>
            </w:tcBorders>
            <w:shd w:val="clear" w:color="auto" w:fill="auto"/>
            <w:vAlign w:val="center"/>
          </w:tcPr>
          <w:p w14:paraId="27DDC2CF">
            <w:pPr>
              <w:widowControl/>
              <w:adjustRightInd/>
              <w:spacing w:line="240" w:lineRule="auto"/>
              <w:jc w:val="center"/>
              <w:rPr>
                <w:rFonts w:ascii="等线" w:hAnsi="等线" w:eastAsia="等线" w:cs="宋体"/>
                <w:color w:val="000000"/>
                <w:kern w:val="0"/>
                <w:sz w:val="22"/>
                <w:szCs w:val="22"/>
              </w:rPr>
            </w:pPr>
          </w:p>
        </w:tc>
        <w:tc>
          <w:tcPr>
            <w:tcW w:w="709" w:type="dxa"/>
            <w:tcBorders>
              <w:top w:val="nil"/>
              <w:left w:val="nil"/>
              <w:right w:val="single" w:color="auto" w:sz="4" w:space="0"/>
            </w:tcBorders>
            <w:shd w:val="clear" w:color="auto" w:fill="auto"/>
            <w:vAlign w:val="center"/>
          </w:tcPr>
          <w:p w14:paraId="01E0DDDB">
            <w:pPr>
              <w:widowControl/>
              <w:adjustRightInd/>
              <w:spacing w:line="240" w:lineRule="auto"/>
              <w:jc w:val="center"/>
              <w:rPr>
                <w:rFonts w:ascii="等线" w:hAnsi="等线" w:eastAsia="等线" w:cs="宋体"/>
                <w:color w:val="000000"/>
                <w:kern w:val="0"/>
                <w:sz w:val="22"/>
                <w:szCs w:val="22"/>
              </w:rPr>
            </w:pPr>
          </w:p>
        </w:tc>
        <w:tc>
          <w:tcPr>
            <w:tcW w:w="709" w:type="dxa"/>
            <w:tcBorders>
              <w:top w:val="nil"/>
              <w:left w:val="nil"/>
              <w:right w:val="single" w:color="auto" w:sz="4" w:space="0"/>
            </w:tcBorders>
          </w:tcPr>
          <w:p w14:paraId="756DDAE8">
            <w:pPr>
              <w:widowControl/>
              <w:adjustRightInd/>
              <w:spacing w:line="240" w:lineRule="auto"/>
              <w:jc w:val="center"/>
              <w:rPr>
                <w:rFonts w:ascii="等线" w:hAnsi="等线" w:eastAsia="等线" w:cs="宋体"/>
                <w:color w:val="000000"/>
                <w:kern w:val="0"/>
                <w:sz w:val="22"/>
                <w:szCs w:val="22"/>
              </w:rPr>
            </w:pPr>
          </w:p>
        </w:tc>
      </w:tr>
      <w:tr w14:paraId="7D95E171">
        <w:tblPrEx>
          <w:tblCellMar>
            <w:top w:w="0" w:type="dxa"/>
            <w:left w:w="108" w:type="dxa"/>
            <w:bottom w:w="0" w:type="dxa"/>
            <w:right w:w="108" w:type="dxa"/>
          </w:tblCellMar>
        </w:tblPrEx>
        <w:trPr>
          <w:trHeight w:val="282" w:hRule="atLeast"/>
        </w:trPr>
        <w:tc>
          <w:tcPr>
            <w:tcW w:w="562" w:type="dxa"/>
            <w:vMerge w:val="continue"/>
            <w:tcBorders>
              <w:left w:val="single" w:color="auto" w:sz="4" w:space="0"/>
              <w:right w:val="single" w:color="auto" w:sz="4" w:space="0"/>
            </w:tcBorders>
            <w:shd w:val="clear" w:color="auto" w:fill="auto"/>
            <w:noWrap/>
            <w:vAlign w:val="center"/>
          </w:tcPr>
          <w:p w14:paraId="7C958801">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nil"/>
              <w:right w:val="single" w:color="auto" w:sz="4" w:space="0"/>
            </w:tcBorders>
            <w:shd w:val="clear" w:color="auto" w:fill="auto"/>
            <w:vAlign w:val="center"/>
          </w:tcPr>
          <w:p w14:paraId="7F53109D">
            <w:pPr>
              <w:widowControl/>
              <w:adjustRightInd/>
              <w:spacing w:line="240" w:lineRule="auto"/>
              <w:jc w:val="center"/>
              <w:rPr>
                <w:rFonts w:ascii="等线" w:hAnsi="等线" w:eastAsia="等线" w:cs="宋体"/>
                <w:color w:val="000000"/>
                <w:kern w:val="0"/>
                <w:sz w:val="22"/>
                <w:szCs w:val="22"/>
              </w:rPr>
            </w:pPr>
          </w:p>
        </w:tc>
        <w:tc>
          <w:tcPr>
            <w:tcW w:w="766" w:type="dxa"/>
            <w:vMerge w:val="continue"/>
            <w:tcBorders>
              <w:left w:val="nil"/>
              <w:bottom w:val="single" w:color="auto" w:sz="4" w:space="0"/>
              <w:right w:val="single" w:color="auto" w:sz="4" w:space="0"/>
            </w:tcBorders>
            <w:shd w:val="clear" w:color="auto" w:fill="auto"/>
            <w:vAlign w:val="center"/>
          </w:tcPr>
          <w:p w14:paraId="6C5EF64F">
            <w:pPr>
              <w:widowControl/>
              <w:adjustRightInd/>
              <w:spacing w:line="240" w:lineRule="auto"/>
              <w:jc w:val="left"/>
              <w:rPr>
                <w:rFonts w:ascii="等线" w:hAnsi="等线" w:eastAsia="等线" w:cs="宋体"/>
                <w:color w:val="000000"/>
                <w:kern w:val="0"/>
                <w:sz w:val="18"/>
                <w:szCs w:val="18"/>
              </w:rPr>
            </w:pP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12749B40">
            <w:pPr>
              <w:rPr>
                <w:sz w:val="18"/>
                <w:szCs w:val="18"/>
              </w:rPr>
            </w:pPr>
            <w:r>
              <w:rPr>
                <w:rFonts w:hint="eastAsia"/>
                <w:sz w:val="18"/>
                <w:szCs w:val="18"/>
              </w:rPr>
              <w:t>2、对管理制度及服务质量保障体系的评价包括但不限于:（</w:t>
            </w:r>
            <w:r>
              <w:rPr>
                <w:sz w:val="18"/>
                <w:szCs w:val="18"/>
              </w:rPr>
              <w:t>3</w:t>
            </w:r>
            <w:r>
              <w:rPr>
                <w:rFonts w:hint="eastAsia"/>
                <w:sz w:val="18"/>
                <w:szCs w:val="18"/>
              </w:rPr>
              <w:t>）</w:t>
            </w:r>
          </w:p>
          <w:p w14:paraId="2BDE6290">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服务管理：包括服务设计、服务规范</w:t>
            </w:r>
          </w:p>
          <w:p w14:paraId="4537FF69">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人员管理，包括岗位要求识别与人员能力评价;</w:t>
            </w:r>
          </w:p>
          <w:p w14:paraId="05CECE94">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财务管理;</w:t>
            </w:r>
          </w:p>
          <w:p w14:paraId="52E50828">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设施设备管理，包括信息、保障、支持和辅助系统；</w:t>
            </w:r>
          </w:p>
          <w:p w14:paraId="48AF9900">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采购管理，包括外包方的管理；</w:t>
            </w:r>
          </w:p>
          <w:p w14:paraId="70F133B1">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档案及信息管理，包括</w:t>
            </w:r>
            <w:r>
              <w:rPr>
                <w:rFonts w:ascii="Calibri" w:hAnsi="Calibri" w:eastAsia="宋体" w:cs="Times New Roman"/>
                <w:sz w:val="18"/>
                <w:szCs w:val="18"/>
              </w:rPr>
              <w:t>文书档案、财务档案、员工信息等资料</w:t>
            </w:r>
            <w:r>
              <w:rPr>
                <w:rFonts w:hint="eastAsia" w:ascii="Calibri" w:hAnsi="Calibri" w:eastAsia="宋体" w:cs="Times New Roman"/>
                <w:sz w:val="18"/>
                <w:szCs w:val="18"/>
              </w:rPr>
              <w:t>、客户</w:t>
            </w:r>
            <w:r>
              <w:rPr>
                <w:rFonts w:ascii="Calibri" w:hAnsi="Calibri" w:eastAsia="宋体" w:cs="Times New Roman"/>
                <w:sz w:val="18"/>
                <w:szCs w:val="18"/>
              </w:rPr>
              <w:t>服务档案</w:t>
            </w:r>
            <w:r>
              <w:rPr>
                <w:rFonts w:hint="eastAsia" w:ascii="Calibri" w:hAnsi="Calibri" w:eastAsia="宋体" w:cs="Times New Roman"/>
                <w:sz w:val="18"/>
                <w:szCs w:val="18"/>
              </w:rPr>
              <w:t>；</w:t>
            </w:r>
          </w:p>
          <w:p w14:paraId="74D9D804">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风险防控及安全管理，包括风险识别、评价及应急管理机制；</w:t>
            </w:r>
          </w:p>
          <w:p w14:paraId="707E447F">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投诉处理：包括投诉渠道、处理流程和方法以及反馈方式等；</w:t>
            </w:r>
          </w:p>
          <w:p w14:paraId="12B42593">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补救管理：包含失误分析和分类、紧急行动方案、补救结果评价等；</w:t>
            </w:r>
          </w:p>
          <w:p w14:paraId="0CCF6AFC">
            <w:pPr>
              <w:pStyle w:val="231"/>
              <w:numPr>
                <w:ilvl w:val="0"/>
                <w:numId w:val="33"/>
              </w:numPr>
              <w:ind w:left="0" w:firstLine="374" w:firstLineChars="0"/>
              <w:rPr>
                <w:rFonts w:ascii="Calibri" w:hAnsi="Calibri" w:eastAsia="宋体" w:cs="Times New Roman"/>
                <w:sz w:val="18"/>
                <w:szCs w:val="18"/>
              </w:rPr>
            </w:pPr>
            <w:r>
              <w:rPr>
                <w:rFonts w:hint="eastAsia" w:ascii="Calibri" w:hAnsi="Calibri" w:eastAsia="宋体" w:cs="Times New Roman"/>
                <w:sz w:val="18"/>
                <w:szCs w:val="18"/>
              </w:rPr>
              <w:t>评价与持续改进：包括评价流程、方法及结果应用等；</w:t>
            </w:r>
          </w:p>
          <w:p w14:paraId="0E4CC3E6">
            <w:pPr>
              <w:pStyle w:val="231"/>
              <w:widowControl/>
              <w:numPr>
                <w:ilvl w:val="0"/>
                <w:numId w:val="33"/>
              </w:numPr>
              <w:ind w:left="800" w:hanging="426" w:firstLineChars="0"/>
              <w:jc w:val="left"/>
              <w:rPr>
                <w:rFonts w:ascii="等线" w:hAnsi="等线" w:eastAsia="等线" w:cs="宋体"/>
                <w:color w:val="000000"/>
                <w:kern w:val="0"/>
                <w:sz w:val="18"/>
                <w:szCs w:val="18"/>
              </w:rPr>
            </w:pPr>
            <w:r>
              <w:rPr>
                <w:rFonts w:hint="eastAsia"/>
                <w:sz w:val="18"/>
                <w:szCs w:val="18"/>
              </w:rPr>
              <w:t>文件和记录管理。</w:t>
            </w:r>
          </w:p>
        </w:tc>
        <w:tc>
          <w:tcPr>
            <w:tcW w:w="850" w:type="dxa"/>
            <w:tcBorders>
              <w:left w:val="nil"/>
              <w:right w:val="single" w:color="auto" w:sz="4" w:space="0"/>
            </w:tcBorders>
            <w:shd w:val="clear" w:color="auto" w:fill="auto"/>
            <w:noWrap/>
            <w:vAlign w:val="center"/>
          </w:tcPr>
          <w:p w14:paraId="484D9216">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3</w:t>
            </w:r>
          </w:p>
        </w:tc>
        <w:tc>
          <w:tcPr>
            <w:tcW w:w="807" w:type="dxa"/>
            <w:tcBorders>
              <w:left w:val="nil"/>
              <w:right w:val="single" w:color="auto" w:sz="4" w:space="0"/>
            </w:tcBorders>
            <w:shd w:val="clear" w:color="auto" w:fill="auto"/>
            <w:vAlign w:val="center"/>
          </w:tcPr>
          <w:p w14:paraId="3E434C05">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783E4F86">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57BFEB94">
            <w:pPr>
              <w:widowControl/>
              <w:adjustRightInd/>
              <w:spacing w:line="240" w:lineRule="auto"/>
              <w:jc w:val="center"/>
              <w:rPr>
                <w:rFonts w:ascii="等线" w:hAnsi="等线" w:eastAsia="等线" w:cs="宋体"/>
                <w:color w:val="000000"/>
                <w:kern w:val="0"/>
                <w:sz w:val="22"/>
                <w:szCs w:val="22"/>
              </w:rPr>
            </w:pPr>
          </w:p>
        </w:tc>
      </w:tr>
      <w:tr w14:paraId="5FB3EFB3">
        <w:tblPrEx>
          <w:tblCellMar>
            <w:top w:w="0" w:type="dxa"/>
            <w:left w:w="108" w:type="dxa"/>
            <w:bottom w:w="0" w:type="dxa"/>
            <w:right w:w="108" w:type="dxa"/>
          </w:tblCellMar>
        </w:tblPrEx>
        <w:trPr>
          <w:trHeight w:val="186" w:hRule="atLeast"/>
        </w:trPr>
        <w:tc>
          <w:tcPr>
            <w:tcW w:w="562" w:type="dxa"/>
            <w:vMerge w:val="continue"/>
            <w:tcBorders>
              <w:left w:val="single" w:color="auto" w:sz="4" w:space="0"/>
              <w:right w:val="single" w:color="auto" w:sz="4" w:space="0"/>
            </w:tcBorders>
            <w:shd w:val="clear" w:color="auto" w:fill="auto"/>
            <w:noWrap/>
            <w:vAlign w:val="center"/>
          </w:tcPr>
          <w:p w14:paraId="5778C1F9">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nil"/>
              <w:right w:val="single" w:color="auto" w:sz="4" w:space="0"/>
            </w:tcBorders>
            <w:shd w:val="clear" w:color="auto" w:fill="auto"/>
            <w:vAlign w:val="center"/>
          </w:tcPr>
          <w:p w14:paraId="3EA281D7">
            <w:pPr>
              <w:widowControl/>
              <w:adjustRightInd/>
              <w:spacing w:line="240" w:lineRule="auto"/>
              <w:jc w:val="center"/>
              <w:rPr>
                <w:rFonts w:ascii="等线" w:hAnsi="等线" w:eastAsia="等线" w:cs="宋体"/>
                <w:color w:val="000000"/>
                <w:kern w:val="0"/>
                <w:sz w:val="22"/>
                <w:szCs w:val="22"/>
              </w:rPr>
            </w:pPr>
          </w:p>
        </w:tc>
        <w:tc>
          <w:tcPr>
            <w:tcW w:w="766" w:type="dxa"/>
            <w:tcBorders>
              <w:top w:val="single" w:color="auto" w:sz="4" w:space="0"/>
              <w:left w:val="nil"/>
              <w:bottom w:val="single" w:color="auto" w:sz="4" w:space="0"/>
              <w:right w:val="single" w:color="auto" w:sz="4" w:space="0"/>
            </w:tcBorders>
            <w:shd w:val="clear" w:color="auto" w:fill="auto"/>
            <w:vAlign w:val="center"/>
          </w:tcPr>
          <w:p w14:paraId="3255AB41">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环境</w:t>
            </w:r>
          </w:p>
          <w:p w14:paraId="001DF154">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r>
              <w:rPr>
                <w:rFonts w:ascii="等线" w:hAnsi="等线" w:eastAsia="等线" w:cs="宋体"/>
                <w:color w:val="000000"/>
                <w:kern w:val="0"/>
                <w:sz w:val="18"/>
                <w:szCs w:val="18"/>
              </w:rPr>
              <w:t>4</w:t>
            </w:r>
            <w:r>
              <w:rPr>
                <w:rFonts w:hint="eastAsia" w:ascii="等线" w:hAnsi="等线" w:eastAsia="等线" w:cs="宋体"/>
                <w:color w:val="000000"/>
                <w:kern w:val="0"/>
                <w:sz w:val="18"/>
                <w:szCs w:val="18"/>
              </w:rPr>
              <w:t>）</w:t>
            </w: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75A7CF09">
            <w:pPr>
              <w:pStyle w:val="231"/>
              <w:numPr>
                <w:ilvl w:val="0"/>
                <w:numId w:val="34"/>
              </w:numPr>
              <w:ind w:left="4" w:leftChars="1" w:hanging="2" w:firstLineChars="0"/>
              <w:rPr>
                <w:rFonts w:ascii="宋体" w:hAnsi="宋体" w:eastAsia="宋体" w:cs="Times New Roman"/>
                <w:sz w:val="18"/>
                <w:szCs w:val="18"/>
              </w:rPr>
            </w:pPr>
            <w:r>
              <w:rPr>
                <w:rFonts w:hint="eastAsia" w:ascii="宋体" w:hAnsi="宋体" w:eastAsia="宋体" w:cs="Times New Roman"/>
                <w:sz w:val="18"/>
                <w:szCs w:val="18"/>
              </w:rPr>
              <w:t>社区居家养老服务场所不得设立在地下；</w:t>
            </w:r>
          </w:p>
          <w:p w14:paraId="66B3A218">
            <w:pPr>
              <w:pStyle w:val="231"/>
              <w:numPr>
                <w:ilvl w:val="0"/>
                <w:numId w:val="34"/>
              </w:numPr>
              <w:ind w:left="4" w:leftChars="1" w:hanging="2" w:firstLineChars="0"/>
              <w:rPr>
                <w:rFonts w:ascii="宋体" w:hAnsi="宋体" w:eastAsia="宋体" w:cs="Times New Roman"/>
                <w:sz w:val="18"/>
                <w:szCs w:val="18"/>
              </w:rPr>
            </w:pPr>
            <w:r>
              <w:rPr>
                <w:rFonts w:hint="eastAsia" w:ascii="宋体" w:hAnsi="宋体" w:eastAsia="宋体" w:cs="Times New Roman"/>
                <w:sz w:val="18"/>
                <w:szCs w:val="18"/>
              </w:rPr>
              <w:t>所提供的服务场所的照明、环境噪声、基础设施、无障碍设施和环境等应满足国家标准或行业标准的要求；</w:t>
            </w:r>
          </w:p>
          <w:p w14:paraId="41773C33">
            <w:pPr>
              <w:pStyle w:val="231"/>
              <w:numPr>
                <w:ilvl w:val="0"/>
                <w:numId w:val="34"/>
              </w:numPr>
              <w:ind w:left="4" w:leftChars="1" w:hanging="2" w:firstLineChars="0"/>
              <w:rPr>
                <w:rFonts w:ascii="宋体" w:hAnsi="宋体" w:eastAsia="宋体" w:cs="Times New Roman"/>
                <w:sz w:val="18"/>
                <w:szCs w:val="18"/>
              </w:rPr>
            </w:pPr>
            <w:r>
              <w:rPr>
                <w:rFonts w:hint="eastAsia" w:ascii="宋体" w:hAnsi="宋体" w:eastAsia="宋体" w:cs="Times New Roman"/>
                <w:sz w:val="18"/>
                <w:szCs w:val="18"/>
              </w:rPr>
              <w:t>功能区域设置</w:t>
            </w:r>
            <w:r>
              <w:rPr>
                <w:rFonts w:ascii="宋体" w:hAnsi="宋体" w:eastAsia="宋体" w:cs="Times New Roman"/>
                <w:sz w:val="18"/>
                <w:szCs w:val="18"/>
              </w:rPr>
              <w:t>符合GB 15630</w:t>
            </w:r>
            <w:r>
              <w:rPr>
                <w:rFonts w:hint="eastAsia" w:ascii="宋体" w:hAnsi="宋体" w:eastAsia="宋体" w:cs="Times New Roman"/>
                <w:sz w:val="18"/>
                <w:szCs w:val="18"/>
              </w:rPr>
              <w:t>《消防安全标志设置要求》</w:t>
            </w:r>
            <w:r>
              <w:rPr>
                <w:rFonts w:ascii="宋体" w:hAnsi="宋体" w:eastAsia="宋体" w:cs="Times New Roman"/>
                <w:sz w:val="18"/>
                <w:szCs w:val="18"/>
              </w:rPr>
              <w:t>的相关要求</w:t>
            </w:r>
            <w:r>
              <w:rPr>
                <w:rFonts w:hint="eastAsia" w:ascii="宋体" w:hAnsi="宋体" w:eastAsia="宋体" w:cs="Times New Roman"/>
                <w:sz w:val="18"/>
                <w:szCs w:val="18"/>
              </w:rPr>
              <w:t>；</w:t>
            </w:r>
          </w:p>
          <w:p w14:paraId="121BDB9D">
            <w:pPr>
              <w:pStyle w:val="231"/>
              <w:numPr>
                <w:ilvl w:val="0"/>
                <w:numId w:val="34"/>
              </w:numPr>
              <w:ind w:left="4" w:leftChars="1" w:hanging="2" w:firstLineChars="0"/>
              <w:rPr>
                <w:rFonts w:ascii="宋体" w:hAnsi="宋体" w:eastAsia="宋体" w:cs="Times New Roman"/>
                <w:sz w:val="18"/>
                <w:szCs w:val="18"/>
              </w:rPr>
            </w:pPr>
            <w:r>
              <w:rPr>
                <w:rFonts w:hint="eastAsia" w:ascii="宋体" w:hAnsi="宋体" w:eastAsia="宋体" w:cs="Times New Roman"/>
                <w:sz w:val="18"/>
                <w:szCs w:val="18"/>
              </w:rPr>
              <w:t>对设备设施进行定期清洁保养，保持功能完好，使用安全；</w:t>
            </w:r>
          </w:p>
          <w:p w14:paraId="06130249">
            <w:pPr>
              <w:pStyle w:val="231"/>
              <w:numPr>
                <w:ilvl w:val="0"/>
                <w:numId w:val="34"/>
              </w:numPr>
              <w:ind w:left="4" w:leftChars="1" w:hanging="2" w:firstLineChars="0"/>
              <w:rPr>
                <w:rFonts w:ascii="宋体" w:hAnsi="宋体" w:eastAsia="宋体" w:cs="Times New Roman"/>
                <w:sz w:val="18"/>
                <w:szCs w:val="18"/>
              </w:rPr>
            </w:pPr>
            <w:r>
              <w:rPr>
                <w:rFonts w:ascii="宋体" w:hAnsi="宋体" w:eastAsia="宋体" w:cs="Times New Roman"/>
                <w:sz w:val="18"/>
                <w:szCs w:val="18"/>
              </w:rPr>
              <w:t>服务场所内应保持清洁、地面干燥、通风良好，空气应无毒、无害、无异味</w:t>
            </w:r>
            <w:r>
              <w:rPr>
                <w:rFonts w:hint="eastAsia" w:ascii="宋体" w:hAnsi="宋体" w:eastAsia="宋体" w:cs="Times New Roman"/>
                <w:sz w:val="18"/>
                <w:szCs w:val="18"/>
              </w:rPr>
              <w:t>；</w:t>
            </w:r>
          </w:p>
          <w:p w14:paraId="1C9CD389">
            <w:pPr>
              <w:pStyle w:val="231"/>
              <w:numPr>
                <w:ilvl w:val="0"/>
                <w:numId w:val="34"/>
              </w:numPr>
              <w:ind w:left="4" w:leftChars="1" w:hanging="2" w:firstLineChars="0"/>
              <w:rPr>
                <w:rFonts w:ascii="等线" w:hAnsi="等线" w:eastAsia="等线" w:cs="宋体"/>
                <w:color w:val="000000"/>
                <w:kern w:val="0"/>
                <w:sz w:val="18"/>
                <w:szCs w:val="18"/>
              </w:rPr>
            </w:pPr>
            <w:r>
              <w:rPr>
                <w:rFonts w:hint="eastAsia" w:ascii="宋体" w:hAnsi="宋体" w:eastAsia="宋体"/>
                <w:sz w:val="18"/>
                <w:szCs w:val="18"/>
              </w:rPr>
              <w:t>日间照料</w:t>
            </w:r>
            <w:r>
              <w:rPr>
                <w:rFonts w:ascii="宋体" w:hAnsi="宋体" w:eastAsia="宋体"/>
                <w:sz w:val="18"/>
                <w:szCs w:val="18"/>
              </w:rPr>
              <w:t>服务所需的床（椅）位，保持其整洁、卫生。老年人使用的床和家具应符合老年期生理功能需求。</w:t>
            </w:r>
          </w:p>
        </w:tc>
        <w:tc>
          <w:tcPr>
            <w:tcW w:w="850" w:type="dxa"/>
            <w:tcBorders>
              <w:left w:val="nil"/>
              <w:right w:val="single" w:color="auto" w:sz="4" w:space="0"/>
            </w:tcBorders>
            <w:shd w:val="clear" w:color="auto" w:fill="auto"/>
            <w:noWrap/>
            <w:vAlign w:val="center"/>
          </w:tcPr>
          <w:p w14:paraId="72043739">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4</w:t>
            </w:r>
          </w:p>
        </w:tc>
        <w:tc>
          <w:tcPr>
            <w:tcW w:w="807" w:type="dxa"/>
            <w:tcBorders>
              <w:left w:val="nil"/>
              <w:right w:val="single" w:color="auto" w:sz="4" w:space="0"/>
            </w:tcBorders>
            <w:shd w:val="clear" w:color="auto" w:fill="auto"/>
            <w:vAlign w:val="center"/>
          </w:tcPr>
          <w:p w14:paraId="24DE1E8B">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21B8174C">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149910EC">
            <w:pPr>
              <w:widowControl/>
              <w:adjustRightInd/>
              <w:spacing w:line="240" w:lineRule="auto"/>
              <w:jc w:val="center"/>
              <w:rPr>
                <w:rFonts w:ascii="等线" w:hAnsi="等线" w:eastAsia="等线" w:cs="宋体"/>
                <w:color w:val="000000"/>
                <w:kern w:val="0"/>
                <w:sz w:val="22"/>
                <w:szCs w:val="22"/>
              </w:rPr>
            </w:pPr>
          </w:p>
        </w:tc>
      </w:tr>
      <w:tr w14:paraId="5068720F">
        <w:tblPrEx>
          <w:tblCellMar>
            <w:top w:w="0" w:type="dxa"/>
            <w:left w:w="108" w:type="dxa"/>
            <w:bottom w:w="0" w:type="dxa"/>
            <w:right w:w="108" w:type="dxa"/>
          </w:tblCellMar>
        </w:tblPrEx>
        <w:trPr>
          <w:trHeight w:val="186" w:hRule="atLeast"/>
        </w:trPr>
        <w:tc>
          <w:tcPr>
            <w:tcW w:w="562" w:type="dxa"/>
            <w:vMerge w:val="continue"/>
            <w:tcBorders>
              <w:left w:val="single" w:color="auto" w:sz="4" w:space="0"/>
              <w:right w:val="single" w:color="auto" w:sz="4" w:space="0"/>
            </w:tcBorders>
            <w:shd w:val="clear" w:color="auto" w:fill="auto"/>
            <w:noWrap/>
            <w:vAlign w:val="center"/>
          </w:tcPr>
          <w:p w14:paraId="250B600F">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nil"/>
              <w:right w:val="single" w:color="auto" w:sz="4" w:space="0"/>
            </w:tcBorders>
            <w:shd w:val="clear" w:color="auto" w:fill="auto"/>
            <w:vAlign w:val="center"/>
          </w:tcPr>
          <w:p w14:paraId="6F2479E2">
            <w:pPr>
              <w:widowControl/>
              <w:adjustRightInd/>
              <w:spacing w:line="240" w:lineRule="auto"/>
              <w:jc w:val="center"/>
              <w:rPr>
                <w:rFonts w:ascii="等线" w:hAnsi="等线" w:eastAsia="等线" w:cs="宋体"/>
                <w:color w:val="000000"/>
                <w:kern w:val="0"/>
                <w:sz w:val="22"/>
                <w:szCs w:val="22"/>
              </w:rPr>
            </w:pPr>
          </w:p>
        </w:tc>
        <w:tc>
          <w:tcPr>
            <w:tcW w:w="766" w:type="dxa"/>
            <w:tcBorders>
              <w:top w:val="single" w:color="auto" w:sz="4" w:space="0"/>
              <w:left w:val="nil"/>
              <w:bottom w:val="single" w:color="auto" w:sz="4" w:space="0"/>
              <w:right w:val="single" w:color="auto" w:sz="4" w:space="0"/>
            </w:tcBorders>
            <w:shd w:val="clear" w:color="auto" w:fill="auto"/>
            <w:vAlign w:val="center"/>
          </w:tcPr>
          <w:p w14:paraId="0C09036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人员能力（</w:t>
            </w:r>
            <w:r>
              <w:rPr>
                <w:rFonts w:ascii="等线" w:hAnsi="等线" w:eastAsia="等线" w:cs="宋体"/>
                <w:color w:val="000000"/>
                <w:kern w:val="0"/>
                <w:sz w:val="18"/>
                <w:szCs w:val="18"/>
              </w:rPr>
              <w:t>4</w:t>
            </w:r>
            <w:r>
              <w:rPr>
                <w:rFonts w:hint="eastAsia" w:ascii="等线" w:hAnsi="等线" w:eastAsia="等线" w:cs="宋体"/>
                <w:color w:val="000000"/>
                <w:kern w:val="0"/>
                <w:sz w:val="18"/>
                <w:szCs w:val="18"/>
              </w:rPr>
              <w:t>）</w:t>
            </w: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6B868955">
            <w:pPr>
              <w:ind w:firstLine="270" w:firstLineChars="150"/>
              <w:rPr>
                <w:rFonts w:ascii="宋体" w:hAnsi="宋体"/>
                <w:sz w:val="18"/>
                <w:szCs w:val="18"/>
              </w:rPr>
            </w:pPr>
            <w:r>
              <w:rPr>
                <w:rFonts w:hint="eastAsia" w:ascii="宋体" w:hAnsi="宋体"/>
                <w:sz w:val="18"/>
                <w:szCs w:val="18"/>
              </w:rPr>
              <w:t>对社区居家养老服务提供者配置的人员能力的评价，包括但不限于:</w:t>
            </w:r>
          </w:p>
          <w:p w14:paraId="2CF62364">
            <w:pPr>
              <w:ind w:left="-50" w:leftChars="-24" w:firstLine="423" w:firstLineChars="235"/>
              <w:rPr>
                <w:rFonts w:ascii="宋体" w:hAnsi="宋体"/>
                <w:sz w:val="18"/>
                <w:szCs w:val="18"/>
              </w:rPr>
            </w:pPr>
            <w:r>
              <w:rPr>
                <w:rFonts w:ascii="宋体" w:hAnsi="宋体"/>
                <w:sz w:val="18"/>
                <w:szCs w:val="18"/>
              </w:rPr>
              <w:t>a)</w:t>
            </w:r>
            <w:r>
              <w:rPr>
                <w:rFonts w:hint="eastAsia" w:ascii="宋体" w:hAnsi="宋体"/>
                <w:sz w:val="18"/>
                <w:szCs w:val="18"/>
              </w:rPr>
              <w:t>在服务人员、顾客、社区居家养老服务提供者三方没有异议的情况下签订服务协议,明确各自的责任和义务;</w:t>
            </w:r>
          </w:p>
          <w:p w14:paraId="5AD73F19">
            <w:pPr>
              <w:ind w:left="-50" w:leftChars="-24" w:firstLine="423" w:firstLineChars="235"/>
              <w:rPr>
                <w:rFonts w:ascii="宋体" w:hAnsi="宋体"/>
                <w:sz w:val="18"/>
                <w:szCs w:val="18"/>
              </w:rPr>
            </w:pPr>
            <w:r>
              <w:rPr>
                <w:rFonts w:hint="eastAsia" w:ascii="宋体" w:hAnsi="宋体"/>
                <w:sz w:val="18"/>
                <w:szCs w:val="18"/>
              </w:rPr>
              <w:t>b）人员具备提供相应服务的知识和技能,应符合GB/T35796-2017中6.2.4的要求;</w:t>
            </w:r>
          </w:p>
          <w:p w14:paraId="54557373">
            <w:pPr>
              <w:ind w:left="-50" w:leftChars="-24" w:firstLine="423" w:firstLineChars="235"/>
              <w:rPr>
                <w:rFonts w:ascii="宋体" w:hAnsi="宋体"/>
                <w:sz w:val="18"/>
                <w:szCs w:val="18"/>
              </w:rPr>
            </w:pPr>
            <w:r>
              <w:rPr>
                <w:rFonts w:ascii="宋体" w:hAnsi="宋体"/>
                <w:sz w:val="18"/>
                <w:szCs w:val="18"/>
              </w:rPr>
              <w:t>c)</w:t>
            </w:r>
            <w:r>
              <w:rPr>
                <w:rFonts w:hint="eastAsia" w:ascii="宋体" w:hAnsi="宋体"/>
                <w:sz w:val="18"/>
                <w:szCs w:val="18"/>
              </w:rPr>
              <w:t>根据岗位需要对人员进行培训并评价培训效果,应符合GB/T35796-2017中6.2.5的要求;</w:t>
            </w:r>
          </w:p>
          <w:p w14:paraId="4AF0C3AE">
            <w:pPr>
              <w:ind w:left="-50" w:leftChars="-24" w:firstLine="423" w:firstLineChars="235"/>
              <w:rPr>
                <w:rFonts w:ascii="等线" w:hAnsi="等线" w:eastAsia="等线" w:cs="宋体"/>
                <w:color w:val="000000"/>
                <w:kern w:val="0"/>
                <w:sz w:val="18"/>
                <w:szCs w:val="18"/>
              </w:rPr>
            </w:pPr>
            <w:r>
              <w:rPr>
                <w:rFonts w:ascii="宋体" w:hAnsi="宋体"/>
                <w:sz w:val="18"/>
                <w:szCs w:val="18"/>
              </w:rPr>
              <w:t>d)</w:t>
            </w:r>
            <w:r>
              <w:rPr>
                <w:rFonts w:hint="eastAsia" w:ascii="宋体" w:hAnsi="宋体"/>
                <w:sz w:val="18"/>
                <w:szCs w:val="18"/>
              </w:rPr>
              <w:t>规定服务人员统一着装,佩戴工号牌,服务行为符合相应的礼仪规范。</w:t>
            </w:r>
          </w:p>
        </w:tc>
        <w:tc>
          <w:tcPr>
            <w:tcW w:w="850" w:type="dxa"/>
            <w:tcBorders>
              <w:left w:val="nil"/>
              <w:right w:val="single" w:color="auto" w:sz="4" w:space="0"/>
            </w:tcBorders>
            <w:shd w:val="clear" w:color="auto" w:fill="auto"/>
            <w:noWrap/>
            <w:vAlign w:val="center"/>
          </w:tcPr>
          <w:p w14:paraId="3975CAD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07" w:type="dxa"/>
            <w:tcBorders>
              <w:left w:val="nil"/>
              <w:right w:val="single" w:color="auto" w:sz="4" w:space="0"/>
            </w:tcBorders>
            <w:shd w:val="clear" w:color="auto" w:fill="auto"/>
            <w:vAlign w:val="center"/>
          </w:tcPr>
          <w:p w14:paraId="16F4E427">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6FB8FB4E">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558FA3AE">
            <w:pPr>
              <w:widowControl/>
              <w:adjustRightInd/>
              <w:spacing w:line="240" w:lineRule="auto"/>
              <w:jc w:val="center"/>
              <w:rPr>
                <w:rFonts w:ascii="等线" w:hAnsi="等线" w:eastAsia="等线" w:cs="宋体"/>
                <w:color w:val="000000"/>
                <w:kern w:val="0"/>
                <w:sz w:val="22"/>
                <w:szCs w:val="22"/>
              </w:rPr>
            </w:pPr>
          </w:p>
        </w:tc>
      </w:tr>
      <w:tr w14:paraId="60090108">
        <w:tblPrEx>
          <w:tblCellMar>
            <w:top w:w="0" w:type="dxa"/>
            <w:left w:w="108" w:type="dxa"/>
            <w:bottom w:w="0" w:type="dxa"/>
            <w:right w:w="108" w:type="dxa"/>
          </w:tblCellMar>
        </w:tblPrEx>
        <w:trPr>
          <w:trHeight w:val="186" w:hRule="atLeast"/>
        </w:trPr>
        <w:tc>
          <w:tcPr>
            <w:tcW w:w="562" w:type="dxa"/>
            <w:vMerge w:val="continue"/>
            <w:tcBorders>
              <w:left w:val="single" w:color="auto" w:sz="4" w:space="0"/>
              <w:right w:val="single" w:color="auto" w:sz="4" w:space="0"/>
            </w:tcBorders>
            <w:shd w:val="clear" w:color="auto" w:fill="auto"/>
            <w:noWrap/>
            <w:vAlign w:val="center"/>
          </w:tcPr>
          <w:p w14:paraId="2D141D7D">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nil"/>
              <w:right w:val="single" w:color="auto" w:sz="4" w:space="0"/>
            </w:tcBorders>
            <w:shd w:val="clear" w:color="auto" w:fill="auto"/>
            <w:vAlign w:val="center"/>
          </w:tcPr>
          <w:p w14:paraId="694307EB">
            <w:pPr>
              <w:widowControl/>
              <w:adjustRightInd/>
              <w:spacing w:line="240" w:lineRule="auto"/>
              <w:jc w:val="center"/>
              <w:rPr>
                <w:rFonts w:ascii="等线" w:hAnsi="等线" w:eastAsia="等线" w:cs="宋体"/>
                <w:color w:val="000000"/>
                <w:kern w:val="0"/>
                <w:sz w:val="22"/>
                <w:szCs w:val="22"/>
              </w:rPr>
            </w:pPr>
          </w:p>
        </w:tc>
        <w:tc>
          <w:tcPr>
            <w:tcW w:w="766" w:type="dxa"/>
            <w:tcBorders>
              <w:top w:val="single" w:color="auto" w:sz="4" w:space="0"/>
              <w:left w:val="nil"/>
              <w:bottom w:val="single" w:color="auto" w:sz="4" w:space="0"/>
              <w:right w:val="single" w:color="auto" w:sz="4" w:space="0"/>
            </w:tcBorders>
            <w:shd w:val="clear" w:color="auto" w:fill="auto"/>
            <w:vAlign w:val="center"/>
          </w:tcPr>
          <w:p w14:paraId="02838FD0">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信息管理（2）</w:t>
            </w: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146D54F1">
            <w:pPr>
              <w:rPr>
                <w:rFonts w:ascii="宋体" w:hAnsi="宋体"/>
                <w:sz w:val="18"/>
                <w:szCs w:val="18"/>
              </w:rPr>
            </w:pPr>
            <w:r>
              <w:rPr>
                <w:rFonts w:hint="eastAsia" w:ascii="宋体" w:hAnsi="宋体"/>
                <w:sz w:val="18"/>
                <w:szCs w:val="18"/>
              </w:rPr>
              <w:t>信息管理</w:t>
            </w:r>
          </w:p>
          <w:p w14:paraId="539942AA">
            <w:pPr>
              <w:ind w:firstLine="372" w:firstLineChars="207"/>
              <w:rPr>
                <w:rFonts w:ascii="宋体" w:hAnsi="宋体"/>
                <w:sz w:val="18"/>
                <w:szCs w:val="18"/>
              </w:rPr>
            </w:pPr>
            <w:r>
              <w:rPr>
                <w:rFonts w:hint="eastAsia" w:ascii="宋体" w:hAnsi="宋体"/>
                <w:sz w:val="18"/>
                <w:szCs w:val="18"/>
              </w:rPr>
              <w:t>a</w:t>
            </w:r>
            <w:r>
              <w:rPr>
                <w:rFonts w:ascii="宋体" w:hAnsi="宋体"/>
                <w:sz w:val="18"/>
                <w:szCs w:val="18"/>
              </w:rPr>
              <w:t>)</w:t>
            </w:r>
            <w:r>
              <w:rPr>
                <w:rFonts w:hint="eastAsia" w:ascii="宋体" w:hAnsi="宋体"/>
                <w:sz w:val="18"/>
                <w:szCs w:val="18"/>
              </w:rPr>
              <w:t>信息管理应包括但不限于顾客的隐私数据、档案及其他必要信息等。</w:t>
            </w:r>
          </w:p>
          <w:p w14:paraId="05C2DB9B">
            <w:pPr>
              <w:ind w:firstLine="372" w:firstLineChars="207"/>
              <w:rPr>
                <w:rFonts w:ascii="等线" w:hAnsi="等线" w:eastAsia="等线" w:cs="宋体"/>
                <w:color w:val="000000"/>
                <w:kern w:val="0"/>
                <w:sz w:val="18"/>
                <w:szCs w:val="18"/>
              </w:rPr>
            </w:pPr>
            <w:r>
              <w:rPr>
                <w:rFonts w:ascii="宋体" w:hAnsi="宋体"/>
                <w:sz w:val="18"/>
                <w:szCs w:val="18"/>
              </w:rPr>
              <w:t>b)</w:t>
            </w:r>
            <w:r>
              <w:rPr>
                <w:rFonts w:hint="eastAsia" w:ascii="宋体" w:hAnsi="宋体"/>
                <w:sz w:val="18"/>
                <w:szCs w:val="18"/>
              </w:rPr>
              <w:t>信息管理应符合SB/T10944-2012中6.6.3档案管理的要求。</w:t>
            </w:r>
          </w:p>
        </w:tc>
        <w:tc>
          <w:tcPr>
            <w:tcW w:w="850" w:type="dxa"/>
            <w:tcBorders>
              <w:left w:val="nil"/>
              <w:right w:val="single" w:color="auto" w:sz="4" w:space="0"/>
            </w:tcBorders>
            <w:shd w:val="clear" w:color="auto" w:fill="auto"/>
            <w:noWrap/>
            <w:vAlign w:val="center"/>
          </w:tcPr>
          <w:p w14:paraId="33D5AA5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07" w:type="dxa"/>
            <w:tcBorders>
              <w:left w:val="nil"/>
              <w:right w:val="single" w:color="auto" w:sz="4" w:space="0"/>
            </w:tcBorders>
            <w:shd w:val="clear" w:color="auto" w:fill="auto"/>
            <w:vAlign w:val="center"/>
          </w:tcPr>
          <w:p w14:paraId="6E598A04">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4731A808">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7BE5A8CB">
            <w:pPr>
              <w:widowControl/>
              <w:adjustRightInd/>
              <w:spacing w:line="240" w:lineRule="auto"/>
              <w:jc w:val="center"/>
              <w:rPr>
                <w:rFonts w:ascii="等线" w:hAnsi="等线" w:eastAsia="等线" w:cs="宋体"/>
                <w:color w:val="000000"/>
                <w:kern w:val="0"/>
                <w:sz w:val="22"/>
                <w:szCs w:val="22"/>
              </w:rPr>
            </w:pPr>
          </w:p>
        </w:tc>
      </w:tr>
      <w:tr w14:paraId="1BF06CFD">
        <w:tblPrEx>
          <w:tblCellMar>
            <w:top w:w="0" w:type="dxa"/>
            <w:left w:w="108" w:type="dxa"/>
            <w:bottom w:w="0" w:type="dxa"/>
            <w:right w:w="108" w:type="dxa"/>
          </w:tblCellMar>
        </w:tblPrEx>
        <w:trPr>
          <w:trHeight w:val="186" w:hRule="atLeast"/>
        </w:trPr>
        <w:tc>
          <w:tcPr>
            <w:tcW w:w="562" w:type="dxa"/>
            <w:vMerge w:val="continue"/>
            <w:tcBorders>
              <w:left w:val="single" w:color="auto" w:sz="4" w:space="0"/>
              <w:right w:val="single" w:color="auto" w:sz="4" w:space="0"/>
            </w:tcBorders>
            <w:shd w:val="clear" w:color="auto" w:fill="auto"/>
            <w:noWrap/>
            <w:vAlign w:val="center"/>
          </w:tcPr>
          <w:p w14:paraId="77687525">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nil"/>
              <w:right w:val="single" w:color="auto" w:sz="4" w:space="0"/>
            </w:tcBorders>
            <w:shd w:val="clear" w:color="auto" w:fill="auto"/>
            <w:vAlign w:val="center"/>
          </w:tcPr>
          <w:p w14:paraId="2849F19D">
            <w:pPr>
              <w:widowControl/>
              <w:adjustRightInd/>
              <w:spacing w:line="240" w:lineRule="auto"/>
              <w:jc w:val="center"/>
              <w:rPr>
                <w:rFonts w:ascii="等线" w:hAnsi="等线" w:eastAsia="等线" w:cs="宋体"/>
                <w:color w:val="000000"/>
                <w:kern w:val="0"/>
                <w:sz w:val="22"/>
                <w:szCs w:val="22"/>
              </w:rPr>
            </w:pPr>
          </w:p>
        </w:tc>
        <w:tc>
          <w:tcPr>
            <w:tcW w:w="766" w:type="dxa"/>
            <w:tcBorders>
              <w:top w:val="single" w:color="auto" w:sz="4" w:space="0"/>
              <w:left w:val="nil"/>
              <w:bottom w:val="single" w:color="auto" w:sz="4" w:space="0"/>
              <w:right w:val="single" w:color="auto" w:sz="4" w:space="0"/>
            </w:tcBorders>
            <w:shd w:val="clear" w:color="auto" w:fill="auto"/>
            <w:vAlign w:val="center"/>
          </w:tcPr>
          <w:p w14:paraId="31E20013">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安全保障（</w:t>
            </w:r>
            <w:r>
              <w:rPr>
                <w:rFonts w:ascii="等线" w:hAnsi="等线" w:eastAsia="等线" w:cs="宋体"/>
                <w:color w:val="000000"/>
                <w:kern w:val="0"/>
                <w:sz w:val="18"/>
                <w:szCs w:val="18"/>
              </w:rPr>
              <w:t>5</w:t>
            </w:r>
            <w:r>
              <w:rPr>
                <w:rFonts w:hint="eastAsia" w:ascii="等线" w:hAnsi="等线" w:eastAsia="等线" w:cs="宋体"/>
                <w:color w:val="000000"/>
                <w:kern w:val="0"/>
                <w:sz w:val="18"/>
                <w:szCs w:val="18"/>
              </w:rPr>
              <w:t>）</w:t>
            </w: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78B35780">
            <w:pPr>
              <w:rPr>
                <w:rFonts w:ascii="宋体" w:hAnsi="宋体"/>
                <w:sz w:val="18"/>
                <w:szCs w:val="18"/>
              </w:rPr>
            </w:pPr>
            <w:r>
              <w:rPr>
                <w:rFonts w:hint="eastAsia" w:ascii="宋体" w:hAnsi="宋体"/>
                <w:sz w:val="18"/>
                <w:szCs w:val="18"/>
              </w:rPr>
              <w:t>安全保障</w:t>
            </w:r>
          </w:p>
          <w:p w14:paraId="1E159BC5">
            <w:pPr>
              <w:ind w:firstLine="360" w:firstLineChars="200"/>
              <w:rPr>
                <w:rFonts w:ascii="宋体" w:hAnsi="宋体"/>
                <w:sz w:val="18"/>
                <w:szCs w:val="18"/>
              </w:rPr>
            </w:pPr>
            <w:r>
              <w:rPr>
                <w:rFonts w:hint="eastAsia" w:ascii="宋体" w:hAnsi="宋体"/>
                <w:sz w:val="18"/>
                <w:szCs w:val="18"/>
              </w:rPr>
              <w:t>对社区居家养老服务提供者的安全保障能力的评价包括但不限于:</w:t>
            </w:r>
          </w:p>
          <w:p w14:paraId="0073FA63">
            <w:pPr>
              <w:ind w:firstLine="360" w:firstLineChars="200"/>
              <w:rPr>
                <w:rFonts w:ascii="宋体" w:hAnsi="宋体"/>
                <w:sz w:val="18"/>
                <w:szCs w:val="18"/>
              </w:rPr>
            </w:pPr>
            <w:r>
              <w:rPr>
                <w:rFonts w:hint="eastAsia" w:ascii="宋体" w:hAnsi="宋体"/>
                <w:sz w:val="18"/>
                <w:szCs w:val="18"/>
              </w:rPr>
              <w:t>a)遵守国家法律法规的要求,宜建立职业健康安全管理体系;</w:t>
            </w:r>
          </w:p>
          <w:p w14:paraId="7D7E1517">
            <w:pPr>
              <w:ind w:firstLine="360" w:firstLineChars="200"/>
              <w:rPr>
                <w:rFonts w:ascii="宋体" w:hAnsi="宋体"/>
                <w:sz w:val="18"/>
                <w:szCs w:val="18"/>
              </w:rPr>
            </w:pPr>
            <w:r>
              <w:rPr>
                <w:rFonts w:hint="eastAsia" w:ascii="宋体" w:hAnsi="宋体"/>
                <w:sz w:val="18"/>
                <w:szCs w:val="18"/>
              </w:rPr>
              <w:t>b)确保服务对象和服务人员在服务过程中的人身财产安全,对服务对象和服务人员讲述清楚安全注意事项,配备必要的安全防护用品和设施设备;</w:t>
            </w:r>
          </w:p>
          <w:p w14:paraId="2E38C616">
            <w:pPr>
              <w:ind w:firstLine="360" w:firstLineChars="200"/>
              <w:rPr>
                <w:rFonts w:ascii="宋体" w:hAnsi="宋体"/>
                <w:sz w:val="18"/>
                <w:szCs w:val="18"/>
              </w:rPr>
            </w:pPr>
            <w:r>
              <w:rPr>
                <w:rFonts w:ascii="宋体" w:hAnsi="宋体"/>
                <w:sz w:val="18"/>
                <w:szCs w:val="18"/>
              </w:rPr>
              <w:t>c)</w:t>
            </w:r>
            <w:r>
              <w:rPr>
                <w:rFonts w:hint="eastAsia" w:ascii="宋体" w:hAnsi="宋体"/>
                <w:sz w:val="18"/>
                <w:szCs w:val="18"/>
              </w:rPr>
              <w:t>与服务人员、服务对象明确安全责任;</w:t>
            </w:r>
          </w:p>
          <w:p w14:paraId="2313C6F7">
            <w:pPr>
              <w:ind w:firstLine="360" w:firstLineChars="200"/>
              <w:rPr>
                <w:rFonts w:ascii="宋体" w:hAnsi="宋体"/>
                <w:sz w:val="18"/>
                <w:szCs w:val="18"/>
              </w:rPr>
            </w:pPr>
            <w:r>
              <w:rPr>
                <w:rFonts w:ascii="宋体" w:hAnsi="宋体"/>
                <w:sz w:val="18"/>
                <w:szCs w:val="18"/>
              </w:rPr>
              <w:t>d)</w:t>
            </w:r>
            <w:r>
              <w:rPr>
                <w:rFonts w:hint="eastAsia" w:ascii="宋体" w:hAnsi="宋体"/>
                <w:sz w:val="18"/>
                <w:szCs w:val="18"/>
              </w:rPr>
              <w:t>建立安全应急预案,并定期对应急预案进行演练;</w:t>
            </w:r>
          </w:p>
          <w:p w14:paraId="4914501B">
            <w:pPr>
              <w:ind w:firstLine="360" w:firstLineChars="200"/>
              <w:rPr>
                <w:rFonts w:ascii="等线" w:hAnsi="等线" w:eastAsia="等线" w:cs="宋体"/>
                <w:color w:val="000000"/>
                <w:kern w:val="0"/>
                <w:sz w:val="18"/>
                <w:szCs w:val="18"/>
              </w:rPr>
            </w:pPr>
            <w:r>
              <w:rPr>
                <w:rFonts w:ascii="宋体" w:hAnsi="宋体"/>
                <w:sz w:val="18"/>
                <w:szCs w:val="18"/>
              </w:rPr>
              <w:t>e)</w:t>
            </w:r>
            <w:r>
              <w:rPr>
                <w:rFonts w:hint="eastAsia" w:ascii="宋体" w:hAnsi="宋体"/>
                <w:sz w:val="18"/>
                <w:szCs w:val="18"/>
              </w:rPr>
              <w:t>落实人身财产安全、护理安全、食品安全、设施设备安全、消防安全等相关管理制度.</w:t>
            </w:r>
          </w:p>
        </w:tc>
        <w:tc>
          <w:tcPr>
            <w:tcW w:w="850" w:type="dxa"/>
            <w:tcBorders>
              <w:left w:val="nil"/>
              <w:right w:val="single" w:color="auto" w:sz="4" w:space="0"/>
            </w:tcBorders>
            <w:shd w:val="clear" w:color="auto" w:fill="auto"/>
            <w:noWrap/>
            <w:vAlign w:val="center"/>
          </w:tcPr>
          <w:p w14:paraId="733F519F">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5</w:t>
            </w:r>
          </w:p>
        </w:tc>
        <w:tc>
          <w:tcPr>
            <w:tcW w:w="807" w:type="dxa"/>
            <w:tcBorders>
              <w:left w:val="nil"/>
              <w:right w:val="single" w:color="auto" w:sz="4" w:space="0"/>
            </w:tcBorders>
            <w:shd w:val="clear" w:color="auto" w:fill="auto"/>
            <w:vAlign w:val="center"/>
          </w:tcPr>
          <w:p w14:paraId="2F83CA11">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712B7A32">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62903CED">
            <w:pPr>
              <w:widowControl/>
              <w:adjustRightInd/>
              <w:spacing w:line="240" w:lineRule="auto"/>
              <w:jc w:val="center"/>
              <w:rPr>
                <w:rFonts w:ascii="等线" w:hAnsi="等线" w:eastAsia="等线" w:cs="宋体"/>
                <w:color w:val="000000"/>
                <w:kern w:val="0"/>
                <w:sz w:val="22"/>
                <w:szCs w:val="22"/>
              </w:rPr>
            </w:pPr>
          </w:p>
        </w:tc>
      </w:tr>
      <w:tr w14:paraId="1CBDB57F">
        <w:tblPrEx>
          <w:tblCellMar>
            <w:top w:w="0" w:type="dxa"/>
            <w:left w:w="108" w:type="dxa"/>
            <w:bottom w:w="0" w:type="dxa"/>
            <w:right w:w="108" w:type="dxa"/>
          </w:tblCellMar>
        </w:tblPrEx>
        <w:trPr>
          <w:trHeight w:val="186" w:hRule="atLeast"/>
        </w:trPr>
        <w:tc>
          <w:tcPr>
            <w:tcW w:w="562" w:type="dxa"/>
            <w:vMerge w:val="continue"/>
            <w:tcBorders>
              <w:left w:val="single" w:color="auto" w:sz="4" w:space="0"/>
              <w:bottom w:val="single" w:color="auto" w:sz="4" w:space="0"/>
              <w:right w:val="single" w:color="auto" w:sz="4" w:space="0"/>
            </w:tcBorders>
            <w:shd w:val="clear" w:color="auto" w:fill="auto"/>
            <w:noWrap/>
            <w:vAlign w:val="center"/>
          </w:tcPr>
          <w:p w14:paraId="2EFCE746">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nil"/>
              <w:bottom w:val="single" w:color="auto" w:sz="4" w:space="0"/>
              <w:right w:val="single" w:color="auto" w:sz="4" w:space="0"/>
            </w:tcBorders>
            <w:shd w:val="clear" w:color="auto" w:fill="auto"/>
            <w:vAlign w:val="center"/>
          </w:tcPr>
          <w:p w14:paraId="7C911175">
            <w:pPr>
              <w:widowControl/>
              <w:adjustRightInd/>
              <w:spacing w:line="240" w:lineRule="auto"/>
              <w:jc w:val="center"/>
              <w:rPr>
                <w:rFonts w:ascii="等线" w:hAnsi="等线" w:eastAsia="等线" w:cs="宋体"/>
                <w:color w:val="000000"/>
                <w:kern w:val="0"/>
                <w:sz w:val="22"/>
                <w:szCs w:val="22"/>
              </w:rPr>
            </w:pPr>
          </w:p>
        </w:tc>
        <w:tc>
          <w:tcPr>
            <w:tcW w:w="766" w:type="dxa"/>
            <w:tcBorders>
              <w:top w:val="single" w:color="auto" w:sz="4" w:space="0"/>
              <w:left w:val="nil"/>
              <w:bottom w:val="single" w:color="auto" w:sz="4" w:space="0"/>
              <w:right w:val="single" w:color="auto" w:sz="4" w:space="0"/>
            </w:tcBorders>
            <w:shd w:val="clear" w:color="auto" w:fill="auto"/>
            <w:vAlign w:val="center"/>
          </w:tcPr>
          <w:p w14:paraId="20DE064F">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风险管理（</w:t>
            </w:r>
            <w:r>
              <w:rPr>
                <w:rFonts w:ascii="等线" w:hAnsi="等线" w:eastAsia="等线" w:cs="宋体"/>
                <w:color w:val="000000"/>
                <w:kern w:val="0"/>
                <w:sz w:val="18"/>
                <w:szCs w:val="18"/>
              </w:rPr>
              <w:t>5</w:t>
            </w:r>
            <w:r>
              <w:rPr>
                <w:rFonts w:hint="eastAsia" w:ascii="等线" w:hAnsi="等线" w:eastAsia="等线" w:cs="宋体"/>
                <w:color w:val="000000"/>
                <w:kern w:val="0"/>
                <w:sz w:val="18"/>
                <w:szCs w:val="18"/>
              </w:rPr>
              <w:t>）</w:t>
            </w: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37B1F8D1">
            <w:pPr>
              <w:ind w:firstLine="360" w:firstLineChars="200"/>
              <w:rPr>
                <w:rFonts w:ascii="宋体" w:hAnsi="宋体"/>
                <w:sz w:val="18"/>
                <w:szCs w:val="18"/>
              </w:rPr>
            </w:pPr>
            <w:r>
              <w:rPr>
                <w:rFonts w:hint="eastAsia" w:ascii="宋体" w:hAnsi="宋体"/>
                <w:sz w:val="18"/>
                <w:szCs w:val="18"/>
              </w:rPr>
              <w:t>对社区居家养老服务提供者的风险防控机制的评价包括但不限于:</w:t>
            </w:r>
          </w:p>
          <w:p w14:paraId="3C872FB4">
            <w:pPr>
              <w:ind w:left="420" w:leftChars="200"/>
              <w:rPr>
                <w:rFonts w:ascii="宋体" w:hAnsi="宋体"/>
                <w:sz w:val="18"/>
                <w:szCs w:val="18"/>
              </w:rPr>
            </w:pPr>
            <w:r>
              <w:rPr>
                <w:rFonts w:hint="eastAsia" w:ascii="宋体" w:hAnsi="宋体"/>
                <w:sz w:val="18"/>
                <w:szCs w:val="18"/>
              </w:rPr>
              <w:t>a)符合GB38600-2019中第5章规定的相关安全风险评估要求;</w:t>
            </w:r>
          </w:p>
          <w:p w14:paraId="3F91BFBC">
            <w:pPr>
              <w:ind w:left="420" w:leftChars="200"/>
              <w:rPr>
                <w:rFonts w:ascii="宋体" w:hAnsi="宋体"/>
                <w:sz w:val="18"/>
                <w:szCs w:val="18"/>
              </w:rPr>
            </w:pPr>
            <w:r>
              <w:rPr>
                <w:rFonts w:hint="eastAsia" w:ascii="宋体" w:hAnsi="宋体"/>
                <w:sz w:val="18"/>
                <w:szCs w:val="18"/>
              </w:rPr>
              <w:t>b)对服务过程中的有关风险因素进行识别, 制定风险控制措施做好安全隐患防范;</w:t>
            </w:r>
          </w:p>
          <w:p w14:paraId="5DE2A4FB">
            <w:pPr>
              <w:ind w:left="420" w:leftChars="200"/>
              <w:rPr>
                <w:rFonts w:ascii="宋体" w:hAnsi="宋体"/>
                <w:sz w:val="18"/>
                <w:szCs w:val="18"/>
              </w:rPr>
            </w:pPr>
            <w:r>
              <w:rPr>
                <w:rFonts w:hint="eastAsia" w:ascii="宋体" w:hAnsi="宋体"/>
                <w:sz w:val="18"/>
                <w:szCs w:val="18"/>
              </w:rPr>
              <w:t>c</w:t>
            </w:r>
            <w:r>
              <w:rPr>
                <w:rFonts w:ascii="宋体" w:hAnsi="宋体"/>
                <w:sz w:val="18"/>
                <w:szCs w:val="18"/>
              </w:rPr>
              <w:t>)</w:t>
            </w:r>
            <w:r>
              <w:rPr>
                <w:rFonts w:hint="eastAsia" w:ascii="宋体" w:hAnsi="宋体"/>
                <w:sz w:val="18"/>
                <w:szCs w:val="18"/>
              </w:rPr>
              <w:t xml:space="preserve"> 建立规范风险处置程序</w:t>
            </w:r>
            <w:r>
              <w:rPr>
                <w:rFonts w:ascii="宋体" w:hAnsi="宋体"/>
                <w:sz w:val="18"/>
                <w:szCs w:val="18"/>
              </w:rPr>
              <w:t>,</w:t>
            </w:r>
            <w:r>
              <w:rPr>
                <w:rFonts w:hint="eastAsia" w:ascii="宋体" w:hAnsi="宋体"/>
                <w:sz w:val="18"/>
                <w:szCs w:val="18"/>
              </w:rPr>
              <w:t>应对服务相关方发生的风险或突发事件;</w:t>
            </w:r>
          </w:p>
          <w:p w14:paraId="4DB4C035">
            <w:pPr>
              <w:ind w:left="420" w:leftChars="200"/>
              <w:rPr>
                <w:rFonts w:ascii="等线" w:hAnsi="等线" w:eastAsia="等线" w:cs="宋体"/>
                <w:color w:val="000000"/>
                <w:kern w:val="0"/>
                <w:sz w:val="18"/>
                <w:szCs w:val="18"/>
              </w:rPr>
            </w:pPr>
            <w:r>
              <w:rPr>
                <w:rFonts w:ascii="宋体" w:hAnsi="宋体"/>
                <w:sz w:val="18"/>
                <w:szCs w:val="18"/>
              </w:rPr>
              <w:t>d</w:t>
            </w:r>
            <w:r>
              <w:rPr>
                <w:rFonts w:hint="eastAsia" w:ascii="宋体" w:hAnsi="宋体"/>
                <w:sz w:val="18"/>
                <w:szCs w:val="18"/>
              </w:rPr>
              <w:t>)对服务人员进行风险意识教育,提高心理健康、安全防范等方面意识和能力。</w:t>
            </w:r>
          </w:p>
        </w:tc>
        <w:tc>
          <w:tcPr>
            <w:tcW w:w="850" w:type="dxa"/>
            <w:tcBorders>
              <w:left w:val="nil"/>
              <w:bottom w:val="single" w:color="auto" w:sz="4" w:space="0"/>
              <w:right w:val="single" w:color="auto" w:sz="4" w:space="0"/>
            </w:tcBorders>
            <w:shd w:val="clear" w:color="auto" w:fill="auto"/>
            <w:noWrap/>
            <w:vAlign w:val="center"/>
          </w:tcPr>
          <w:p w14:paraId="546D8472">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5</w:t>
            </w:r>
          </w:p>
        </w:tc>
        <w:tc>
          <w:tcPr>
            <w:tcW w:w="807" w:type="dxa"/>
            <w:tcBorders>
              <w:left w:val="nil"/>
              <w:bottom w:val="single" w:color="auto" w:sz="4" w:space="0"/>
              <w:right w:val="single" w:color="auto" w:sz="4" w:space="0"/>
            </w:tcBorders>
            <w:shd w:val="clear" w:color="auto" w:fill="auto"/>
            <w:vAlign w:val="center"/>
          </w:tcPr>
          <w:p w14:paraId="330948DB">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shd w:val="clear" w:color="auto" w:fill="auto"/>
            <w:vAlign w:val="center"/>
          </w:tcPr>
          <w:p w14:paraId="6855A99F">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tcPr>
          <w:p w14:paraId="1356BBEB">
            <w:pPr>
              <w:widowControl/>
              <w:adjustRightInd/>
              <w:spacing w:line="240" w:lineRule="auto"/>
              <w:jc w:val="center"/>
              <w:rPr>
                <w:rFonts w:ascii="等线" w:hAnsi="等线" w:eastAsia="等线" w:cs="宋体"/>
                <w:color w:val="000000"/>
                <w:kern w:val="0"/>
                <w:sz w:val="22"/>
                <w:szCs w:val="22"/>
              </w:rPr>
            </w:pPr>
          </w:p>
        </w:tc>
      </w:tr>
      <w:tr w14:paraId="1186A733">
        <w:tblPrEx>
          <w:tblCellMar>
            <w:top w:w="0" w:type="dxa"/>
            <w:left w:w="108" w:type="dxa"/>
            <w:bottom w:w="0" w:type="dxa"/>
            <w:right w:w="108" w:type="dxa"/>
          </w:tblCellMar>
        </w:tblPrEx>
        <w:trPr>
          <w:trHeight w:val="173" w:hRule="atLeast"/>
        </w:trPr>
        <w:tc>
          <w:tcPr>
            <w:tcW w:w="562" w:type="dxa"/>
            <w:vMerge w:val="restart"/>
            <w:tcBorders>
              <w:top w:val="nil"/>
              <w:left w:val="single" w:color="auto" w:sz="4" w:space="0"/>
              <w:right w:val="single" w:color="auto" w:sz="4" w:space="0"/>
            </w:tcBorders>
            <w:shd w:val="clear" w:color="auto" w:fill="auto"/>
            <w:noWrap/>
            <w:vAlign w:val="center"/>
          </w:tcPr>
          <w:p w14:paraId="602BAB4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888" w:type="dxa"/>
            <w:vMerge w:val="restart"/>
            <w:tcBorders>
              <w:top w:val="nil"/>
              <w:left w:val="single" w:color="auto" w:sz="4" w:space="0"/>
              <w:right w:val="single" w:color="auto" w:sz="4" w:space="0"/>
            </w:tcBorders>
            <w:shd w:val="clear" w:color="auto" w:fill="auto"/>
            <w:vAlign w:val="center"/>
          </w:tcPr>
          <w:p w14:paraId="3EA6217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服务提供</w:t>
            </w:r>
          </w:p>
          <w:p w14:paraId="09C46777">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r>
              <w:rPr>
                <w:rFonts w:ascii="等线" w:hAnsi="等线" w:eastAsia="等线" w:cs="宋体"/>
                <w:color w:val="000000"/>
                <w:kern w:val="0"/>
                <w:sz w:val="22"/>
                <w:szCs w:val="22"/>
              </w:rPr>
              <w:t>0</w:t>
            </w:r>
            <w:r>
              <w:rPr>
                <w:rFonts w:hint="eastAsia" w:ascii="等线" w:hAnsi="等线" w:eastAsia="等线" w:cs="宋体"/>
                <w:color w:val="000000"/>
                <w:kern w:val="0"/>
                <w:sz w:val="22"/>
                <w:szCs w:val="22"/>
              </w:rPr>
              <w:t>）</w:t>
            </w:r>
          </w:p>
        </w:tc>
        <w:tc>
          <w:tcPr>
            <w:tcW w:w="766" w:type="dxa"/>
            <w:vMerge w:val="restart"/>
            <w:tcBorders>
              <w:top w:val="single" w:color="auto" w:sz="4" w:space="0"/>
              <w:left w:val="nil"/>
              <w:right w:val="single" w:color="auto" w:sz="4" w:space="0"/>
            </w:tcBorders>
            <w:shd w:val="clear" w:color="auto" w:fill="auto"/>
            <w:vAlign w:val="center"/>
          </w:tcPr>
          <w:p w14:paraId="2B6E6836">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服务准备（1</w:t>
            </w:r>
            <w:r>
              <w:rPr>
                <w:rFonts w:ascii="等线" w:hAnsi="等线" w:eastAsia="等线" w:cs="宋体"/>
                <w:color w:val="000000"/>
                <w:kern w:val="0"/>
                <w:sz w:val="18"/>
                <w:szCs w:val="18"/>
              </w:rPr>
              <w:t>0</w:t>
            </w:r>
            <w:r>
              <w:rPr>
                <w:rFonts w:hint="eastAsia" w:ascii="等线" w:hAnsi="等线" w:eastAsia="等线" w:cs="宋体"/>
                <w:color w:val="000000"/>
                <w:kern w:val="0"/>
                <w:sz w:val="18"/>
                <w:szCs w:val="18"/>
              </w:rPr>
              <w:t>）</w:t>
            </w: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435FEB10">
            <w:pPr>
              <w:pStyle w:val="231"/>
              <w:numPr>
                <w:ilvl w:val="0"/>
                <w:numId w:val="37"/>
              </w:numPr>
              <w:ind w:firstLineChars="0"/>
              <w:rPr>
                <w:rFonts w:ascii="宋体" w:hAnsi="宋体"/>
                <w:sz w:val="18"/>
                <w:szCs w:val="18"/>
              </w:rPr>
            </w:pPr>
            <w:r>
              <w:rPr>
                <w:rFonts w:hint="eastAsia" w:ascii="宋体" w:hAnsi="宋体"/>
                <w:sz w:val="18"/>
                <w:szCs w:val="18"/>
              </w:rPr>
              <w:t>公开信息：（3分）</w:t>
            </w:r>
          </w:p>
          <w:p w14:paraId="707FE5B2">
            <w:pPr>
              <w:ind w:firstLine="360" w:firstLineChars="200"/>
              <w:rPr>
                <w:rFonts w:ascii="宋体" w:hAnsi="宋体"/>
                <w:sz w:val="18"/>
                <w:szCs w:val="18"/>
              </w:rPr>
            </w:pPr>
            <w:r>
              <w:rPr>
                <w:rFonts w:ascii="宋体" w:hAnsi="宋体"/>
                <w:sz w:val="18"/>
                <w:szCs w:val="18"/>
              </w:rPr>
              <w:t xml:space="preserve">组织应公开必要的服务信息并及时更新，可通过互联网、物联网等网络手段公开，公开的服务 信息应真实、准确、完整，便于老年人获取。公开信息包括但不限于： </w:t>
            </w:r>
          </w:p>
          <w:p w14:paraId="58807512">
            <w:pPr>
              <w:ind w:left="420" w:leftChars="200"/>
              <w:rPr>
                <w:rFonts w:ascii="宋体" w:hAnsi="宋体"/>
                <w:sz w:val="18"/>
                <w:szCs w:val="18"/>
              </w:rPr>
            </w:pPr>
            <w:r>
              <w:rPr>
                <w:rFonts w:ascii="宋体" w:hAnsi="宋体"/>
                <w:sz w:val="18"/>
                <w:szCs w:val="18"/>
              </w:rPr>
              <w:t xml:space="preserve">a) 组织基本信息（包括名称、地址、服务对象及范围等）； </w:t>
            </w:r>
          </w:p>
          <w:p w14:paraId="361C10DB">
            <w:pPr>
              <w:ind w:firstLine="360" w:firstLineChars="200"/>
              <w:rPr>
                <w:rFonts w:ascii="宋体" w:hAnsi="宋体"/>
                <w:sz w:val="18"/>
                <w:szCs w:val="18"/>
              </w:rPr>
            </w:pPr>
            <w:r>
              <w:rPr>
                <w:rFonts w:ascii="宋体" w:hAnsi="宋体"/>
                <w:sz w:val="18"/>
                <w:szCs w:val="18"/>
              </w:rPr>
              <w:t xml:space="preserve">b) </w:t>
            </w:r>
            <w:r>
              <w:rPr>
                <w:rFonts w:hint="eastAsia" w:ascii="宋体" w:hAnsi="宋体"/>
                <w:sz w:val="18"/>
                <w:szCs w:val="18"/>
              </w:rPr>
              <w:t>资质证书（</w:t>
            </w:r>
            <w:r>
              <w:rPr>
                <w:rFonts w:ascii="宋体" w:hAnsi="宋体"/>
                <w:sz w:val="18"/>
                <w:szCs w:val="18"/>
              </w:rPr>
              <w:t>营业执照或民非登记证书、食品经营许可证、医疗机构执业许可证及其他服务的相应许可证明</w:t>
            </w:r>
            <w:r>
              <w:rPr>
                <w:rFonts w:hint="eastAsia" w:ascii="宋体" w:hAnsi="宋体"/>
                <w:sz w:val="18"/>
                <w:szCs w:val="18"/>
              </w:rPr>
              <w:t>）</w:t>
            </w:r>
          </w:p>
          <w:p w14:paraId="622BEDED">
            <w:pPr>
              <w:ind w:left="420" w:leftChars="200"/>
              <w:rPr>
                <w:rFonts w:ascii="宋体" w:hAnsi="宋体"/>
                <w:sz w:val="18"/>
                <w:szCs w:val="18"/>
              </w:rPr>
            </w:pPr>
            <w:r>
              <w:rPr>
                <w:rFonts w:ascii="宋体" w:hAnsi="宋体"/>
                <w:sz w:val="18"/>
                <w:szCs w:val="18"/>
              </w:rPr>
              <w:t xml:space="preserve">c) 服务项目及内容； </w:t>
            </w:r>
          </w:p>
          <w:p w14:paraId="7214B88A">
            <w:pPr>
              <w:ind w:left="420" w:leftChars="200"/>
              <w:rPr>
                <w:rFonts w:ascii="宋体" w:hAnsi="宋体"/>
                <w:sz w:val="18"/>
                <w:szCs w:val="18"/>
              </w:rPr>
            </w:pPr>
            <w:r>
              <w:rPr>
                <w:rFonts w:ascii="宋体" w:hAnsi="宋体"/>
                <w:sz w:val="18"/>
                <w:szCs w:val="18"/>
              </w:rPr>
              <w:t xml:space="preserve">e) 收费标准； </w:t>
            </w:r>
          </w:p>
          <w:p w14:paraId="1FBB3A87">
            <w:pPr>
              <w:ind w:left="420" w:leftChars="200"/>
              <w:rPr>
                <w:rFonts w:ascii="宋体" w:hAnsi="宋体"/>
                <w:sz w:val="18"/>
                <w:szCs w:val="18"/>
              </w:rPr>
            </w:pPr>
            <w:r>
              <w:rPr>
                <w:rFonts w:ascii="宋体" w:hAnsi="宋体"/>
                <w:sz w:val="18"/>
                <w:szCs w:val="18"/>
              </w:rPr>
              <w:t xml:space="preserve">f) 服务流程； </w:t>
            </w:r>
          </w:p>
          <w:p w14:paraId="52AE05E5">
            <w:pPr>
              <w:ind w:left="420" w:leftChars="200"/>
              <w:rPr>
                <w:rFonts w:ascii="宋体" w:hAnsi="宋体"/>
                <w:sz w:val="18"/>
                <w:szCs w:val="18"/>
              </w:rPr>
            </w:pPr>
            <w:r>
              <w:rPr>
                <w:rFonts w:ascii="宋体" w:hAnsi="宋体"/>
                <w:sz w:val="18"/>
                <w:szCs w:val="18"/>
              </w:rPr>
              <w:t>g) 服务承诺；</w:t>
            </w:r>
          </w:p>
          <w:p w14:paraId="580272CC">
            <w:pPr>
              <w:ind w:left="420" w:leftChars="200"/>
              <w:rPr>
                <w:rFonts w:ascii="宋体" w:hAnsi="宋体"/>
                <w:sz w:val="18"/>
                <w:szCs w:val="18"/>
              </w:rPr>
            </w:pPr>
            <w:r>
              <w:rPr>
                <w:rFonts w:ascii="宋体" w:hAnsi="宋体"/>
                <w:sz w:val="18"/>
                <w:szCs w:val="18"/>
              </w:rPr>
              <w:t xml:space="preserve">h) 投诉方式及处理流程； </w:t>
            </w:r>
          </w:p>
          <w:p w14:paraId="1BB1F6B5">
            <w:pPr>
              <w:widowControl/>
              <w:adjustRightInd/>
              <w:spacing w:line="240" w:lineRule="auto"/>
              <w:ind w:firstLine="360" w:firstLineChars="200"/>
              <w:jc w:val="left"/>
              <w:rPr>
                <w:rFonts w:ascii="等线" w:hAnsi="等线" w:eastAsia="等线" w:cs="宋体"/>
                <w:color w:val="000000"/>
                <w:kern w:val="0"/>
                <w:sz w:val="18"/>
                <w:szCs w:val="18"/>
              </w:rPr>
            </w:pPr>
            <w:r>
              <w:rPr>
                <w:rFonts w:ascii="宋体" w:hAnsi="宋体"/>
                <w:sz w:val="18"/>
                <w:szCs w:val="18"/>
              </w:rPr>
              <w:t>i) 咨询、服务电话。</w:t>
            </w:r>
          </w:p>
        </w:tc>
        <w:tc>
          <w:tcPr>
            <w:tcW w:w="850" w:type="dxa"/>
            <w:tcBorders>
              <w:top w:val="nil"/>
              <w:left w:val="nil"/>
              <w:right w:val="single" w:color="auto" w:sz="4" w:space="0"/>
            </w:tcBorders>
            <w:shd w:val="clear" w:color="auto" w:fill="auto"/>
            <w:noWrap/>
            <w:vAlign w:val="center"/>
          </w:tcPr>
          <w:p w14:paraId="142209D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3</w:t>
            </w:r>
          </w:p>
        </w:tc>
        <w:tc>
          <w:tcPr>
            <w:tcW w:w="807" w:type="dxa"/>
            <w:tcBorders>
              <w:top w:val="nil"/>
              <w:left w:val="nil"/>
              <w:right w:val="single" w:color="auto" w:sz="4" w:space="0"/>
            </w:tcBorders>
            <w:shd w:val="clear" w:color="auto" w:fill="auto"/>
            <w:vAlign w:val="center"/>
          </w:tcPr>
          <w:p w14:paraId="0D66532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right w:val="single" w:color="auto" w:sz="4" w:space="0"/>
            </w:tcBorders>
            <w:shd w:val="clear" w:color="auto" w:fill="auto"/>
            <w:vAlign w:val="center"/>
          </w:tcPr>
          <w:p w14:paraId="0127CEED">
            <w:pPr>
              <w:widowControl/>
              <w:adjustRightInd/>
              <w:spacing w:line="240" w:lineRule="auto"/>
              <w:jc w:val="center"/>
              <w:rPr>
                <w:rFonts w:ascii="等线" w:hAnsi="等线" w:eastAsia="等线" w:cs="宋体"/>
                <w:color w:val="000000"/>
                <w:kern w:val="0"/>
                <w:sz w:val="22"/>
                <w:szCs w:val="22"/>
              </w:rPr>
            </w:pPr>
          </w:p>
        </w:tc>
        <w:tc>
          <w:tcPr>
            <w:tcW w:w="709" w:type="dxa"/>
            <w:tcBorders>
              <w:top w:val="nil"/>
              <w:left w:val="nil"/>
              <w:right w:val="single" w:color="auto" w:sz="4" w:space="0"/>
            </w:tcBorders>
          </w:tcPr>
          <w:p w14:paraId="6FD52B9A">
            <w:pPr>
              <w:widowControl/>
              <w:adjustRightInd/>
              <w:spacing w:line="240" w:lineRule="auto"/>
              <w:jc w:val="center"/>
              <w:rPr>
                <w:rFonts w:ascii="等线" w:hAnsi="等线" w:eastAsia="等线" w:cs="宋体"/>
                <w:color w:val="000000"/>
                <w:kern w:val="0"/>
                <w:sz w:val="22"/>
                <w:szCs w:val="22"/>
              </w:rPr>
            </w:pPr>
          </w:p>
        </w:tc>
      </w:tr>
      <w:tr w14:paraId="512B3D20">
        <w:tblPrEx>
          <w:tblCellMar>
            <w:top w:w="0" w:type="dxa"/>
            <w:left w:w="108" w:type="dxa"/>
            <w:bottom w:w="0" w:type="dxa"/>
            <w:right w:w="108" w:type="dxa"/>
          </w:tblCellMar>
        </w:tblPrEx>
        <w:trPr>
          <w:trHeight w:val="173" w:hRule="atLeast"/>
        </w:trPr>
        <w:tc>
          <w:tcPr>
            <w:tcW w:w="562" w:type="dxa"/>
            <w:vMerge w:val="continue"/>
            <w:tcBorders>
              <w:left w:val="single" w:color="auto" w:sz="4" w:space="0"/>
              <w:right w:val="single" w:color="auto" w:sz="4" w:space="0"/>
            </w:tcBorders>
            <w:shd w:val="clear" w:color="auto" w:fill="auto"/>
            <w:noWrap/>
            <w:vAlign w:val="center"/>
          </w:tcPr>
          <w:p w14:paraId="059ABA21">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right w:val="single" w:color="auto" w:sz="4" w:space="0"/>
            </w:tcBorders>
            <w:shd w:val="clear" w:color="auto" w:fill="auto"/>
            <w:vAlign w:val="center"/>
          </w:tcPr>
          <w:p w14:paraId="4AEAF1A4">
            <w:pPr>
              <w:widowControl/>
              <w:adjustRightInd/>
              <w:spacing w:line="240" w:lineRule="auto"/>
              <w:jc w:val="center"/>
              <w:rPr>
                <w:rFonts w:ascii="等线" w:hAnsi="等线" w:eastAsia="等线" w:cs="宋体"/>
                <w:color w:val="000000"/>
                <w:kern w:val="0"/>
                <w:sz w:val="22"/>
                <w:szCs w:val="22"/>
              </w:rPr>
            </w:pPr>
          </w:p>
        </w:tc>
        <w:tc>
          <w:tcPr>
            <w:tcW w:w="766" w:type="dxa"/>
            <w:vMerge w:val="continue"/>
            <w:tcBorders>
              <w:left w:val="nil"/>
              <w:right w:val="single" w:color="auto" w:sz="4" w:space="0"/>
            </w:tcBorders>
            <w:shd w:val="clear" w:color="auto" w:fill="auto"/>
            <w:vAlign w:val="center"/>
          </w:tcPr>
          <w:p w14:paraId="44D9D986">
            <w:pPr>
              <w:widowControl/>
              <w:adjustRightInd/>
              <w:spacing w:line="240" w:lineRule="auto"/>
              <w:jc w:val="left"/>
              <w:rPr>
                <w:rFonts w:ascii="等线" w:hAnsi="等线" w:eastAsia="等线" w:cs="宋体"/>
                <w:color w:val="000000"/>
                <w:kern w:val="0"/>
                <w:sz w:val="18"/>
                <w:szCs w:val="18"/>
              </w:rPr>
            </w:pP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6D45DBB7">
            <w:pPr>
              <w:rPr>
                <w:rFonts w:ascii="宋体" w:hAnsi="宋体"/>
                <w:sz w:val="18"/>
                <w:szCs w:val="18"/>
              </w:rPr>
            </w:pPr>
            <w:r>
              <w:rPr>
                <w:rFonts w:hint="eastAsia" w:ascii="宋体" w:hAnsi="宋体"/>
                <w:sz w:val="18"/>
                <w:szCs w:val="18"/>
              </w:rPr>
              <w:t>2、服务咨询与接待（4分）</w:t>
            </w:r>
          </w:p>
          <w:p w14:paraId="6F9EDEA4">
            <w:pPr>
              <w:ind w:firstLine="360" w:firstLineChars="200"/>
              <w:rPr>
                <w:rFonts w:ascii="宋体" w:hAnsi="宋体"/>
                <w:sz w:val="18"/>
                <w:szCs w:val="18"/>
              </w:rPr>
            </w:pPr>
            <w:r>
              <w:rPr>
                <w:rFonts w:hint="eastAsia" w:ascii="宋体" w:hAnsi="宋体"/>
                <w:sz w:val="18"/>
                <w:szCs w:val="18"/>
              </w:rPr>
              <w:t>a）</w:t>
            </w:r>
            <w:r>
              <w:rPr>
                <w:rFonts w:ascii="宋体" w:hAnsi="宋体"/>
                <w:sz w:val="18"/>
                <w:szCs w:val="18"/>
              </w:rPr>
              <w:t xml:space="preserve"> 电话/网络</w:t>
            </w:r>
            <w:r>
              <w:rPr>
                <w:rFonts w:hint="eastAsia" w:ascii="宋体" w:hAnsi="宋体"/>
                <w:sz w:val="18"/>
                <w:szCs w:val="18"/>
              </w:rPr>
              <w:t>咨询（2分）</w:t>
            </w:r>
          </w:p>
          <w:p w14:paraId="417C19C7">
            <w:pPr>
              <w:ind w:firstLine="360" w:firstLineChars="200"/>
              <w:rPr>
                <w:rFonts w:ascii="宋体" w:hAnsi="宋体"/>
                <w:sz w:val="18"/>
                <w:szCs w:val="18"/>
              </w:rPr>
            </w:pPr>
            <w:r>
              <w:rPr>
                <w:rFonts w:hint="eastAsia" w:ascii="宋体" w:hAnsi="宋体"/>
                <w:sz w:val="18"/>
                <w:szCs w:val="18"/>
              </w:rPr>
              <w:t>——建立</w:t>
            </w:r>
            <w:r>
              <w:rPr>
                <w:rFonts w:ascii="宋体" w:hAnsi="宋体"/>
                <w:sz w:val="18"/>
                <w:szCs w:val="18"/>
              </w:rPr>
              <w:t xml:space="preserve">电话/网络接待平台，及时接受客户的咨询及预订信息。 </w:t>
            </w:r>
          </w:p>
          <w:p w14:paraId="7AA87C16">
            <w:pPr>
              <w:ind w:firstLine="360" w:firstLineChars="200"/>
              <w:rPr>
                <w:rFonts w:ascii="宋体" w:hAnsi="宋体"/>
                <w:sz w:val="18"/>
                <w:szCs w:val="18"/>
              </w:rPr>
            </w:pPr>
            <w:r>
              <w:rPr>
                <w:rFonts w:hint="eastAsia" w:ascii="宋体" w:hAnsi="宋体"/>
                <w:sz w:val="18"/>
                <w:szCs w:val="18"/>
              </w:rPr>
              <w:t>——</w:t>
            </w:r>
            <w:r>
              <w:rPr>
                <w:rFonts w:ascii="宋体" w:hAnsi="宋体"/>
                <w:sz w:val="18"/>
                <w:szCs w:val="18"/>
              </w:rPr>
              <w:t xml:space="preserve">应配备专人接听电话、接收网络信息，介绍组织服务内容及其他相关信息，并收集服务对象 的基本情况和服务需求并做好记录，及时传递至相关部门或负责人办理。 </w:t>
            </w:r>
          </w:p>
          <w:p w14:paraId="4CF6737D">
            <w:pPr>
              <w:ind w:firstLine="360" w:firstLineChars="200"/>
              <w:rPr>
                <w:rFonts w:ascii="宋体" w:hAnsi="宋体"/>
                <w:sz w:val="18"/>
                <w:szCs w:val="18"/>
              </w:rPr>
            </w:pPr>
            <w:r>
              <w:rPr>
                <w:rFonts w:ascii="宋体" w:hAnsi="宋体"/>
                <w:sz w:val="18"/>
                <w:szCs w:val="18"/>
              </w:rPr>
              <w:t>b)现场接待</w:t>
            </w:r>
            <w:r>
              <w:rPr>
                <w:rFonts w:hint="eastAsia" w:ascii="宋体" w:hAnsi="宋体"/>
                <w:sz w:val="18"/>
                <w:szCs w:val="18"/>
              </w:rPr>
              <w:t>：（2分）</w:t>
            </w:r>
          </w:p>
          <w:p w14:paraId="7BD9B12D">
            <w:pPr>
              <w:ind w:firstLine="360" w:firstLineChars="200"/>
              <w:rPr>
                <w:rFonts w:ascii="宋体" w:hAnsi="宋体"/>
                <w:sz w:val="18"/>
                <w:szCs w:val="18"/>
              </w:rPr>
            </w:pPr>
            <w:r>
              <w:rPr>
                <w:rFonts w:hint="eastAsia" w:ascii="宋体" w:hAnsi="宋体"/>
                <w:sz w:val="18"/>
                <w:szCs w:val="18"/>
              </w:rPr>
              <w:t>——</w:t>
            </w:r>
            <w:r>
              <w:rPr>
                <w:rFonts w:ascii="宋体" w:hAnsi="宋体"/>
                <w:sz w:val="18"/>
                <w:szCs w:val="18"/>
              </w:rPr>
              <w:t xml:space="preserve">应配备专门的现场接待人员。 </w:t>
            </w:r>
          </w:p>
          <w:p w14:paraId="742B846F">
            <w:pPr>
              <w:ind w:firstLine="360" w:firstLineChars="200"/>
              <w:rPr>
                <w:rFonts w:ascii="宋体" w:hAnsi="宋体"/>
                <w:sz w:val="18"/>
                <w:szCs w:val="18"/>
              </w:rPr>
            </w:pPr>
            <w:r>
              <w:rPr>
                <w:rFonts w:hint="eastAsia" w:ascii="宋体" w:hAnsi="宋体"/>
                <w:sz w:val="18"/>
                <w:szCs w:val="18"/>
              </w:rPr>
              <w:t>——</w:t>
            </w:r>
            <w:r>
              <w:rPr>
                <w:rFonts w:ascii="宋体" w:hAnsi="宋体"/>
                <w:sz w:val="18"/>
                <w:szCs w:val="18"/>
              </w:rPr>
              <w:t xml:space="preserve">现场接待处应设明显标识，应为客户提供座椅、饮水等基本接待服务。 </w:t>
            </w:r>
          </w:p>
          <w:p w14:paraId="453170BB">
            <w:pPr>
              <w:ind w:firstLine="360" w:firstLineChars="200"/>
              <w:rPr>
                <w:rFonts w:ascii="宋体" w:hAnsi="宋体"/>
                <w:sz w:val="18"/>
                <w:szCs w:val="18"/>
              </w:rPr>
            </w:pPr>
            <w:r>
              <w:rPr>
                <w:rFonts w:hint="eastAsia" w:ascii="宋体" w:hAnsi="宋体"/>
                <w:sz w:val="18"/>
                <w:szCs w:val="18"/>
              </w:rPr>
              <w:t>——</w:t>
            </w:r>
            <w:r>
              <w:rPr>
                <w:rFonts w:ascii="宋体" w:hAnsi="宋体"/>
                <w:sz w:val="18"/>
                <w:szCs w:val="18"/>
              </w:rPr>
              <w:t xml:space="preserve">接待人员应主动、详实地向客户介绍服务项目、服务内容及收费等，必要时引导客户参观。 </w:t>
            </w:r>
          </w:p>
          <w:p w14:paraId="422825FA">
            <w:pPr>
              <w:ind w:firstLine="360" w:firstLineChars="200"/>
              <w:rPr>
                <w:rFonts w:ascii="等线" w:hAnsi="等线" w:eastAsia="等线" w:cs="宋体"/>
                <w:color w:val="000000"/>
                <w:kern w:val="0"/>
                <w:sz w:val="18"/>
                <w:szCs w:val="18"/>
              </w:rPr>
            </w:pPr>
            <w:r>
              <w:rPr>
                <w:rFonts w:hint="eastAsia" w:ascii="宋体" w:hAnsi="宋体"/>
                <w:sz w:val="18"/>
                <w:szCs w:val="18"/>
              </w:rPr>
              <w:t>——</w:t>
            </w:r>
            <w:r>
              <w:rPr>
                <w:rFonts w:ascii="宋体" w:hAnsi="宋体"/>
                <w:sz w:val="18"/>
                <w:szCs w:val="18"/>
              </w:rPr>
              <w:t>接待人员应了解客户基本信息和服务需求，并</w:t>
            </w:r>
            <w:r>
              <w:rPr>
                <w:rFonts w:hint="eastAsia" w:ascii="宋体" w:hAnsi="宋体"/>
                <w:sz w:val="18"/>
                <w:szCs w:val="18"/>
              </w:rPr>
              <w:t>按规定</w:t>
            </w:r>
            <w:r>
              <w:rPr>
                <w:rFonts w:ascii="宋体" w:hAnsi="宋体"/>
                <w:sz w:val="18"/>
                <w:szCs w:val="18"/>
              </w:rPr>
              <w:t>做好记录，根据老年人的身体状况、服务需求、支付能力及组织的服务提供能力，核定服务内容。</w:t>
            </w:r>
          </w:p>
        </w:tc>
        <w:tc>
          <w:tcPr>
            <w:tcW w:w="850" w:type="dxa"/>
            <w:tcBorders>
              <w:left w:val="nil"/>
              <w:right w:val="single" w:color="auto" w:sz="4" w:space="0"/>
            </w:tcBorders>
            <w:shd w:val="clear" w:color="auto" w:fill="auto"/>
            <w:noWrap/>
            <w:vAlign w:val="center"/>
          </w:tcPr>
          <w:p w14:paraId="48DD67D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07" w:type="dxa"/>
            <w:tcBorders>
              <w:left w:val="nil"/>
              <w:right w:val="single" w:color="auto" w:sz="4" w:space="0"/>
            </w:tcBorders>
            <w:shd w:val="clear" w:color="auto" w:fill="auto"/>
            <w:vAlign w:val="center"/>
          </w:tcPr>
          <w:p w14:paraId="69EBD826">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2B12E9A4">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22CFA304">
            <w:pPr>
              <w:widowControl/>
              <w:adjustRightInd/>
              <w:spacing w:line="240" w:lineRule="auto"/>
              <w:jc w:val="center"/>
              <w:rPr>
                <w:rFonts w:ascii="等线" w:hAnsi="等线" w:eastAsia="等线" w:cs="宋体"/>
                <w:color w:val="000000"/>
                <w:kern w:val="0"/>
                <w:sz w:val="22"/>
                <w:szCs w:val="22"/>
              </w:rPr>
            </w:pPr>
          </w:p>
        </w:tc>
      </w:tr>
      <w:tr w14:paraId="513E8EB5">
        <w:tblPrEx>
          <w:tblCellMar>
            <w:top w:w="0" w:type="dxa"/>
            <w:left w:w="108" w:type="dxa"/>
            <w:bottom w:w="0" w:type="dxa"/>
            <w:right w:w="108" w:type="dxa"/>
          </w:tblCellMar>
        </w:tblPrEx>
        <w:trPr>
          <w:trHeight w:val="141" w:hRule="atLeast"/>
        </w:trPr>
        <w:tc>
          <w:tcPr>
            <w:tcW w:w="562" w:type="dxa"/>
            <w:vMerge w:val="continue"/>
            <w:tcBorders>
              <w:left w:val="single" w:color="auto" w:sz="4" w:space="0"/>
              <w:bottom w:val="single" w:color="auto" w:sz="4" w:space="0"/>
              <w:right w:val="single" w:color="auto" w:sz="4" w:space="0"/>
            </w:tcBorders>
            <w:shd w:val="clear" w:color="auto" w:fill="auto"/>
            <w:noWrap/>
            <w:vAlign w:val="center"/>
          </w:tcPr>
          <w:p w14:paraId="6F43F7AB">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right w:val="single" w:color="auto" w:sz="4" w:space="0"/>
            </w:tcBorders>
            <w:shd w:val="clear" w:color="auto" w:fill="auto"/>
            <w:vAlign w:val="center"/>
          </w:tcPr>
          <w:p w14:paraId="14AA5D91">
            <w:pPr>
              <w:widowControl/>
              <w:adjustRightInd/>
              <w:spacing w:line="240" w:lineRule="auto"/>
              <w:jc w:val="center"/>
              <w:rPr>
                <w:rFonts w:ascii="等线" w:hAnsi="等线" w:eastAsia="等线" w:cs="宋体"/>
                <w:color w:val="000000"/>
                <w:kern w:val="0"/>
                <w:sz w:val="22"/>
                <w:szCs w:val="22"/>
              </w:rPr>
            </w:pPr>
          </w:p>
        </w:tc>
        <w:tc>
          <w:tcPr>
            <w:tcW w:w="766" w:type="dxa"/>
            <w:vMerge w:val="continue"/>
            <w:tcBorders>
              <w:left w:val="nil"/>
              <w:bottom w:val="single" w:color="auto" w:sz="4" w:space="0"/>
              <w:right w:val="single" w:color="auto" w:sz="4" w:space="0"/>
            </w:tcBorders>
            <w:shd w:val="clear" w:color="auto" w:fill="auto"/>
            <w:vAlign w:val="center"/>
          </w:tcPr>
          <w:p w14:paraId="46DBDCF2">
            <w:pPr>
              <w:widowControl/>
              <w:adjustRightInd/>
              <w:spacing w:line="240" w:lineRule="auto"/>
              <w:jc w:val="left"/>
              <w:rPr>
                <w:rFonts w:ascii="等线" w:hAnsi="等线" w:eastAsia="等线" w:cs="宋体"/>
                <w:color w:val="000000"/>
                <w:kern w:val="0"/>
                <w:sz w:val="18"/>
                <w:szCs w:val="18"/>
              </w:rPr>
            </w:pP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152D98EF">
            <w:pPr>
              <w:rPr>
                <w:rFonts w:ascii="宋体" w:hAnsi="宋体"/>
                <w:sz w:val="18"/>
                <w:szCs w:val="18"/>
              </w:rPr>
            </w:pPr>
            <w:r>
              <w:rPr>
                <w:rFonts w:ascii="等线" w:hAnsi="等线" w:eastAsia="等线" w:cs="宋体"/>
                <w:color w:val="000000"/>
                <w:kern w:val="0"/>
                <w:sz w:val="18"/>
                <w:szCs w:val="18"/>
              </w:rPr>
              <w:t>3</w:t>
            </w:r>
            <w:r>
              <w:rPr>
                <w:rFonts w:hint="eastAsia" w:ascii="等线" w:hAnsi="等线" w:eastAsia="等线" w:cs="宋体"/>
                <w:color w:val="000000"/>
                <w:kern w:val="0"/>
                <w:sz w:val="18"/>
                <w:szCs w:val="18"/>
              </w:rPr>
              <w:t>、</w:t>
            </w:r>
            <w:r>
              <w:rPr>
                <w:rFonts w:ascii="宋体" w:hAnsi="宋体"/>
                <w:sz w:val="18"/>
                <w:szCs w:val="18"/>
              </w:rPr>
              <w:t xml:space="preserve">签订服务合同 </w:t>
            </w:r>
            <w:r>
              <w:rPr>
                <w:rFonts w:hint="eastAsia" w:ascii="宋体" w:hAnsi="宋体"/>
                <w:sz w:val="18"/>
                <w:szCs w:val="18"/>
              </w:rPr>
              <w:t>（</w:t>
            </w:r>
            <w:r>
              <w:rPr>
                <w:rFonts w:ascii="宋体" w:hAnsi="宋体"/>
                <w:sz w:val="18"/>
                <w:szCs w:val="18"/>
              </w:rPr>
              <w:t>3</w:t>
            </w:r>
            <w:r>
              <w:rPr>
                <w:rFonts w:hint="eastAsia" w:ascii="宋体" w:hAnsi="宋体"/>
                <w:sz w:val="18"/>
                <w:szCs w:val="18"/>
              </w:rPr>
              <w:t>）</w:t>
            </w:r>
          </w:p>
          <w:p w14:paraId="58B52219">
            <w:pPr>
              <w:ind w:firstLine="270" w:firstLineChars="150"/>
              <w:rPr>
                <w:rFonts w:ascii="宋体" w:hAnsi="宋体"/>
                <w:sz w:val="18"/>
                <w:szCs w:val="18"/>
              </w:rPr>
            </w:pPr>
            <w:r>
              <w:rPr>
                <w:rFonts w:ascii="宋体" w:hAnsi="宋体"/>
                <w:sz w:val="18"/>
                <w:szCs w:val="18"/>
              </w:rPr>
              <w:t xml:space="preserve">适用时，组织应与老年人和（或）相关第三方签订书面服务合同，合同的内容包括但不限于： </w:t>
            </w:r>
          </w:p>
          <w:p w14:paraId="7DD7F1B6">
            <w:pPr>
              <w:ind w:firstLine="360" w:firstLineChars="200"/>
              <w:rPr>
                <w:rFonts w:ascii="宋体" w:hAnsi="宋体"/>
                <w:sz w:val="18"/>
                <w:szCs w:val="18"/>
              </w:rPr>
            </w:pPr>
            <w:r>
              <w:rPr>
                <w:rFonts w:ascii="宋体" w:hAnsi="宋体"/>
                <w:sz w:val="18"/>
                <w:szCs w:val="18"/>
              </w:rPr>
              <w:t xml:space="preserve">a) 组织、老年人和（或）相关第三方的名称/姓名、地址/住所、联系方式； </w:t>
            </w:r>
          </w:p>
          <w:p w14:paraId="50D05E76">
            <w:pPr>
              <w:ind w:firstLine="360" w:firstLineChars="200"/>
              <w:rPr>
                <w:rFonts w:ascii="宋体" w:hAnsi="宋体"/>
                <w:sz w:val="18"/>
                <w:szCs w:val="18"/>
              </w:rPr>
            </w:pPr>
            <w:r>
              <w:rPr>
                <w:rFonts w:ascii="宋体" w:hAnsi="宋体"/>
                <w:sz w:val="18"/>
                <w:szCs w:val="18"/>
              </w:rPr>
              <w:t xml:space="preserve">b) 养老服务的内容和标准； </w:t>
            </w:r>
          </w:p>
          <w:p w14:paraId="0D1444B5">
            <w:pPr>
              <w:ind w:firstLine="360" w:firstLineChars="200"/>
              <w:rPr>
                <w:rFonts w:ascii="宋体" w:hAnsi="宋体"/>
                <w:sz w:val="18"/>
                <w:szCs w:val="18"/>
              </w:rPr>
            </w:pPr>
            <w:r>
              <w:rPr>
                <w:rFonts w:ascii="宋体" w:hAnsi="宋体"/>
                <w:sz w:val="18"/>
                <w:szCs w:val="18"/>
              </w:rPr>
              <w:t xml:space="preserve">c) 开展服务的地点、方式和期限； </w:t>
            </w:r>
          </w:p>
          <w:p w14:paraId="01F83A78">
            <w:pPr>
              <w:ind w:firstLine="360" w:firstLineChars="200"/>
              <w:rPr>
                <w:rFonts w:ascii="宋体" w:hAnsi="宋体"/>
                <w:sz w:val="18"/>
                <w:szCs w:val="18"/>
              </w:rPr>
            </w:pPr>
            <w:r>
              <w:rPr>
                <w:rFonts w:ascii="宋体" w:hAnsi="宋体"/>
                <w:sz w:val="18"/>
                <w:szCs w:val="18"/>
              </w:rPr>
              <w:t xml:space="preserve">d) 服务收费标准及报酬交付形式； </w:t>
            </w:r>
          </w:p>
          <w:p w14:paraId="7A00A1CE">
            <w:pPr>
              <w:ind w:firstLine="360" w:firstLineChars="200"/>
              <w:rPr>
                <w:rFonts w:ascii="宋体" w:hAnsi="宋体"/>
                <w:sz w:val="18"/>
                <w:szCs w:val="18"/>
              </w:rPr>
            </w:pPr>
            <w:r>
              <w:rPr>
                <w:rFonts w:hint="eastAsia" w:ascii="宋体" w:hAnsi="宋体"/>
                <w:sz w:val="18"/>
                <w:szCs w:val="18"/>
              </w:rPr>
              <w:t>e</w:t>
            </w:r>
            <w:r>
              <w:rPr>
                <w:rFonts w:ascii="宋体" w:hAnsi="宋体"/>
                <w:sz w:val="18"/>
                <w:szCs w:val="18"/>
              </w:rPr>
              <w:t xml:space="preserve">) 对服务提供过程中突发紧急状况的处理约定； </w:t>
            </w:r>
          </w:p>
          <w:p w14:paraId="74FB5194">
            <w:pPr>
              <w:ind w:firstLine="360" w:firstLineChars="200"/>
              <w:rPr>
                <w:rFonts w:ascii="宋体" w:hAnsi="宋体"/>
                <w:sz w:val="18"/>
                <w:szCs w:val="18"/>
              </w:rPr>
            </w:pPr>
            <w:r>
              <w:rPr>
                <w:rFonts w:ascii="宋体" w:hAnsi="宋体"/>
                <w:sz w:val="18"/>
                <w:szCs w:val="18"/>
              </w:rPr>
              <w:t xml:space="preserve">g) 权利义务和违约责任； </w:t>
            </w:r>
          </w:p>
          <w:p w14:paraId="2465E471">
            <w:pPr>
              <w:ind w:firstLine="360" w:firstLineChars="200"/>
              <w:rPr>
                <w:rFonts w:ascii="宋体" w:hAnsi="宋体"/>
                <w:sz w:val="18"/>
                <w:szCs w:val="18"/>
              </w:rPr>
            </w:pPr>
            <w:r>
              <w:rPr>
                <w:rFonts w:ascii="宋体" w:hAnsi="宋体"/>
                <w:sz w:val="18"/>
                <w:szCs w:val="18"/>
              </w:rPr>
              <w:t xml:space="preserve">h) 合同的终止、变更、续订和解除的条件； </w:t>
            </w:r>
          </w:p>
          <w:p w14:paraId="1F3FDF04">
            <w:pPr>
              <w:ind w:firstLine="360" w:firstLineChars="200"/>
              <w:rPr>
                <w:rFonts w:ascii="宋体" w:hAnsi="宋体"/>
                <w:sz w:val="18"/>
                <w:szCs w:val="18"/>
              </w:rPr>
            </w:pPr>
            <w:r>
              <w:rPr>
                <w:rFonts w:ascii="宋体" w:hAnsi="宋体"/>
                <w:sz w:val="18"/>
                <w:szCs w:val="18"/>
              </w:rPr>
              <w:t xml:space="preserve">i) 约定的其他事项。 </w:t>
            </w:r>
          </w:p>
          <w:p w14:paraId="5CC3E177">
            <w:pPr>
              <w:ind w:firstLine="270" w:firstLineChars="150"/>
              <w:rPr>
                <w:rFonts w:ascii="宋体" w:hAnsi="宋体"/>
                <w:sz w:val="18"/>
                <w:szCs w:val="18"/>
              </w:rPr>
            </w:pPr>
            <w:r>
              <w:rPr>
                <w:rFonts w:ascii="宋体" w:hAnsi="宋体"/>
                <w:sz w:val="18"/>
                <w:szCs w:val="18"/>
              </w:rPr>
              <w:t xml:space="preserve"> 适用时，服务合同中还应包含老年人身体情况或老年人能力评估报告。 </w:t>
            </w:r>
          </w:p>
          <w:p w14:paraId="1EBCD89D">
            <w:pPr>
              <w:widowControl/>
              <w:adjustRightInd/>
              <w:spacing w:line="240" w:lineRule="auto"/>
              <w:jc w:val="left"/>
              <w:rPr>
                <w:rFonts w:ascii="等线" w:hAnsi="等线" w:eastAsia="等线" w:cs="宋体"/>
                <w:color w:val="000000"/>
                <w:kern w:val="0"/>
                <w:sz w:val="18"/>
                <w:szCs w:val="18"/>
              </w:rPr>
            </w:pPr>
            <w:r>
              <w:rPr>
                <w:rFonts w:ascii="宋体" w:hAnsi="宋体"/>
                <w:sz w:val="18"/>
                <w:szCs w:val="18"/>
              </w:rPr>
              <w:t>若无签订书面服务合同的需求，组织应在提供服务前对老年人和（或）相关第三方的要求进行确认。</w:t>
            </w:r>
          </w:p>
        </w:tc>
        <w:tc>
          <w:tcPr>
            <w:tcW w:w="850" w:type="dxa"/>
            <w:tcBorders>
              <w:left w:val="nil"/>
              <w:bottom w:val="single" w:color="auto" w:sz="4" w:space="0"/>
              <w:right w:val="single" w:color="auto" w:sz="4" w:space="0"/>
            </w:tcBorders>
            <w:shd w:val="clear" w:color="auto" w:fill="auto"/>
            <w:noWrap/>
            <w:vAlign w:val="center"/>
          </w:tcPr>
          <w:p w14:paraId="29D16C20">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07" w:type="dxa"/>
            <w:tcBorders>
              <w:left w:val="nil"/>
              <w:bottom w:val="single" w:color="auto" w:sz="4" w:space="0"/>
              <w:right w:val="single" w:color="auto" w:sz="4" w:space="0"/>
            </w:tcBorders>
            <w:shd w:val="clear" w:color="auto" w:fill="auto"/>
            <w:vAlign w:val="center"/>
          </w:tcPr>
          <w:p w14:paraId="00002A08">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shd w:val="clear" w:color="auto" w:fill="auto"/>
            <w:vAlign w:val="center"/>
          </w:tcPr>
          <w:p w14:paraId="39A8DEB8">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tcPr>
          <w:p w14:paraId="1055ED21">
            <w:pPr>
              <w:widowControl/>
              <w:adjustRightInd/>
              <w:spacing w:line="240" w:lineRule="auto"/>
              <w:jc w:val="center"/>
              <w:rPr>
                <w:rFonts w:ascii="等线" w:hAnsi="等线" w:eastAsia="等线" w:cs="宋体"/>
                <w:color w:val="000000"/>
                <w:kern w:val="0"/>
                <w:sz w:val="22"/>
                <w:szCs w:val="22"/>
              </w:rPr>
            </w:pPr>
          </w:p>
        </w:tc>
      </w:tr>
      <w:tr w14:paraId="322FC44A">
        <w:tblPrEx>
          <w:tblCellMar>
            <w:top w:w="0" w:type="dxa"/>
            <w:left w:w="108" w:type="dxa"/>
            <w:bottom w:w="0" w:type="dxa"/>
            <w:right w:w="108" w:type="dxa"/>
          </w:tblCellMar>
        </w:tblPrEx>
        <w:trPr>
          <w:trHeight w:val="301" w:hRule="atLeast"/>
        </w:trPr>
        <w:tc>
          <w:tcPr>
            <w:tcW w:w="562" w:type="dxa"/>
            <w:vMerge w:val="restart"/>
            <w:tcBorders>
              <w:top w:val="nil"/>
              <w:left w:val="single" w:color="auto" w:sz="4" w:space="0"/>
              <w:right w:val="single" w:color="auto" w:sz="4" w:space="0"/>
            </w:tcBorders>
            <w:shd w:val="clear" w:color="auto" w:fill="auto"/>
            <w:noWrap/>
            <w:vAlign w:val="center"/>
          </w:tcPr>
          <w:p w14:paraId="45BDC8FD">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888" w:type="dxa"/>
            <w:vMerge w:val="continue"/>
            <w:tcBorders>
              <w:left w:val="single" w:color="auto" w:sz="4" w:space="0"/>
              <w:right w:val="single" w:color="auto" w:sz="4" w:space="0"/>
            </w:tcBorders>
            <w:shd w:val="clear" w:color="auto" w:fill="auto"/>
            <w:vAlign w:val="center"/>
          </w:tcPr>
          <w:p w14:paraId="7C734412">
            <w:pPr>
              <w:widowControl/>
              <w:adjustRightInd/>
              <w:spacing w:line="240" w:lineRule="auto"/>
              <w:jc w:val="left"/>
              <w:rPr>
                <w:rFonts w:ascii="等线" w:hAnsi="等线" w:eastAsia="等线" w:cs="宋体"/>
                <w:color w:val="000000"/>
                <w:kern w:val="0"/>
                <w:sz w:val="22"/>
                <w:szCs w:val="22"/>
              </w:rPr>
            </w:pPr>
          </w:p>
        </w:tc>
        <w:tc>
          <w:tcPr>
            <w:tcW w:w="766" w:type="dxa"/>
            <w:vMerge w:val="restart"/>
            <w:tcBorders>
              <w:top w:val="single" w:color="auto" w:sz="4" w:space="0"/>
              <w:left w:val="nil"/>
              <w:right w:val="single" w:color="auto" w:sz="4" w:space="0"/>
            </w:tcBorders>
            <w:shd w:val="clear" w:color="auto" w:fill="auto"/>
            <w:vAlign w:val="center"/>
          </w:tcPr>
          <w:p w14:paraId="41564679">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服务提供（2</w:t>
            </w:r>
            <w:r>
              <w:rPr>
                <w:rFonts w:ascii="等线" w:hAnsi="等线" w:eastAsia="等线" w:cs="宋体"/>
                <w:color w:val="000000"/>
                <w:kern w:val="0"/>
                <w:sz w:val="18"/>
                <w:szCs w:val="18"/>
              </w:rPr>
              <w:t>5</w:t>
            </w:r>
            <w:r>
              <w:rPr>
                <w:rFonts w:hint="eastAsia" w:ascii="等线" w:hAnsi="等线" w:eastAsia="等线" w:cs="宋体"/>
                <w:color w:val="000000"/>
                <w:kern w:val="0"/>
                <w:sz w:val="18"/>
                <w:szCs w:val="18"/>
              </w:rPr>
              <w:t>）</w:t>
            </w:r>
          </w:p>
        </w:tc>
        <w:tc>
          <w:tcPr>
            <w:tcW w:w="4447" w:type="dxa"/>
            <w:gridSpan w:val="3"/>
            <w:tcBorders>
              <w:top w:val="single" w:color="auto" w:sz="4" w:space="0"/>
              <w:left w:val="nil"/>
              <w:right w:val="single" w:color="auto" w:sz="4" w:space="0"/>
            </w:tcBorders>
            <w:shd w:val="clear" w:color="auto" w:fill="auto"/>
            <w:vAlign w:val="center"/>
          </w:tcPr>
          <w:p w14:paraId="0575077F">
            <w:pPr>
              <w:rPr>
                <w:sz w:val="18"/>
                <w:szCs w:val="18"/>
              </w:rPr>
            </w:pPr>
            <w:r>
              <w:rPr>
                <w:rFonts w:hint="eastAsia"/>
                <w:sz w:val="18"/>
                <w:szCs w:val="18"/>
              </w:rPr>
              <w:t>1、服务管理的评价包括但不限于:（5分）</w:t>
            </w:r>
          </w:p>
          <w:p w14:paraId="440C6580">
            <w:pPr>
              <w:ind w:left="-50" w:leftChars="-24" w:firstLine="469" w:firstLineChars="261"/>
              <w:rPr>
                <w:sz w:val="18"/>
                <w:szCs w:val="18"/>
              </w:rPr>
            </w:pPr>
            <w:r>
              <w:rPr>
                <w:rFonts w:hint="eastAsia"/>
                <w:sz w:val="18"/>
                <w:szCs w:val="18"/>
              </w:rPr>
              <w:t>a)服务环境、设施设备、公开信息、服务人员、服务技能等符合要求；</w:t>
            </w:r>
          </w:p>
          <w:p w14:paraId="41D6E159">
            <w:pPr>
              <w:ind w:left="420" w:leftChars="200"/>
              <w:rPr>
                <w:sz w:val="18"/>
                <w:szCs w:val="18"/>
              </w:rPr>
            </w:pPr>
            <w:r>
              <w:rPr>
                <w:rFonts w:hint="eastAsia"/>
                <w:sz w:val="18"/>
                <w:szCs w:val="18"/>
              </w:rPr>
              <w:t>b</w:t>
            </w:r>
            <w:r>
              <w:rPr>
                <w:sz w:val="18"/>
                <w:szCs w:val="18"/>
              </w:rPr>
              <w:t xml:space="preserve">) </w:t>
            </w:r>
            <w:r>
              <w:rPr>
                <w:rFonts w:hint="eastAsia"/>
                <w:sz w:val="18"/>
                <w:szCs w:val="18"/>
              </w:rPr>
              <w:t>按承诺保质保量完成服务；</w:t>
            </w:r>
          </w:p>
          <w:p w14:paraId="4819BAC9">
            <w:pPr>
              <w:ind w:firstLine="360" w:firstLineChars="200"/>
              <w:rPr>
                <w:sz w:val="18"/>
                <w:szCs w:val="18"/>
              </w:rPr>
            </w:pPr>
            <w:r>
              <w:rPr>
                <w:rFonts w:hint="eastAsia"/>
                <w:sz w:val="18"/>
                <w:szCs w:val="18"/>
              </w:rPr>
              <w:t>c</w:t>
            </w:r>
            <w:r>
              <w:rPr>
                <w:sz w:val="18"/>
                <w:szCs w:val="18"/>
              </w:rPr>
              <w:t xml:space="preserve">) </w:t>
            </w:r>
            <w:r>
              <w:rPr>
                <w:rFonts w:hint="eastAsia"/>
                <w:sz w:val="18"/>
                <w:szCs w:val="18"/>
              </w:rPr>
              <w:t>服务过程应符合与服务内容相对应的国家标准、行业标准等的要求；</w:t>
            </w:r>
          </w:p>
          <w:p w14:paraId="499C6400">
            <w:pPr>
              <w:ind w:firstLine="360" w:firstLineChars="200"/>
              <w:rPr>
                <w:sz w:val="18"/>
                <w:szCs w:val="18"/>
              </w:rPr>
            </w:pPr>
            <w:r>
              <w:rPr>
                <w:rFonts w:hint="eastAsia"/>
                <w:sz w:val="18"/>
                <w:szCs w:val="18"/>
              </w:rPr>
              <w:t>d)服务应具备有效质量控制措施；</w:t>
            </w:r>
          </w:p>
          <w:p w14:paraId="7088CE86">
            <w:pPr>
              <w:ind w:firstLine="360" w:firstLineChars="200"/>
              <w:rPr>
                <w:sz w:val="18"/>
                <w:szCs w:val="18"/>
              </w:rPr>
            </w:pPr>
            <w:r>
              <w:rPr>
                <w:sz w:val="18"/>
                <w:szCs w:val="18"/>
              </w:rPr>
              <w:t xml:space="preserve">e) </w:t>
            </w:r>
            <w:r>
              <w:rPr>
                <w:rFonts w:hint="eastAsia"/>
                <w:sz w:val="18"/>
                <w:szCs w:val="18"/>
              </w:rPr>
              <w:t>信息安全管理绩效；</w:t>
            </w:r>
          </w:p>
          <w:p w14:paraId="07B4E5C2">
            <w:pPr>
              <w:ind w:firstLine="360" w:firstLineChars="200"/>
            </w:pPr>
            <w:r>
              <w:rPr>
                <w:sz w:val="18"/>
                <w:szCs w:val="18"/>
              </w:rPr>
              <w:t xml:space="preserve">f) </w:t>
            </w:r>
            <w:r>
              <w:rPr>
                <w:rFonts w:hint="eastAsia"/>
                <w:sz w:val="18"/>
                <w:szCs w:val="18"/>
              </w:rPr>
              <w:t>风险管控绩效。</w:t>
            </w:r>
          </w:p>
        </w:tc>
        <w:tc>
          <w:tcPr>
            <w:tcW w:w="850" w:type="dxa"/>
            <w:tcBorders>
              <w:top w:val="nil"/>
              <w:left w:val="nil"/>
              <w:right w:val="single" w:color="auto" w:sz="4" w:space="0"/>
            </w:tcBorders>
            <w:shd w:val="clear" w:color="auto" w:fill="auto"/>
            <w:noWrap/>
            <w:vAlign w:val="center"/>
          </w:tcPr>
          <w:p w14:paraId="6D2E99DC">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　</w:t>
            </w:r>
          </w:p>
        </w:tc>
        <w:tc>
          <w:tcPr>
            <w:tcW w:w="807" w:type="dxa"/>
            <w:tcBorders>
              <w:top w:val="nil"/>
              <w:left w:val="nil"/>
              <w:right w:val="single" w:color="auto" w:sz="4" w:space="0"/>
            </w:tcBorders>
            <w:shd w:val="clear" w:color="auto" w:fill="auto"/>
            <w:vAlign w:val="center"/>
          </w:tcPr>
          <w:p w14:paraId="6F73ED3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right w:val="single" w:color="auto" w:sz="4" w:space="0"/>
            </w:tcBorders>
            <w:shd w:val="clear" w:color="auto" w:fill="auto"/>
            <w:vAlign w:val="center"/>
          </w:tcPr>
          <w:p w14:paraId="3685311B">
            <w:pPr>
              <w:widowControl/>
              <w:adjustRightInd/>
              <w:spacing w:line="240" w:lineRule="auto"/>
              <w:jc w:val="center"/>
              <w:rPr>
                <w:rFonts w:ascii="等线" w:hAnsi="等线" w:eastAsia="等线" w:cs="宋体"/>
                <w:color w:val="000000"/>
                <w:kern w:val="0"/>
                <w:sz w:val="22"/>
                <w:szCs w:val="22"/>
              </w:rPr>
            </w:pPr>
          </w:p>
        </w:tc>
        <w:tc>
          <w:tcPr>
            <w:tcW w:w="709" w:type="dxa"/>
            <w:tcBorders>
              <w:top w:val="nil"/>
              <w:left w:val="nil"/>
              <w:right w:val="single" w:color="auto" w:sz="4" w:space="0"/>
            </w:tcBorders>
          </w:tcPr>
          <w:p w14:paraId="5F7AE2F2">
            <w:pPr>
              <w:widowControl/>
              <w:adjustRightInd/>
              <w:spacing w:line="240" w:lineRule="auto"/>
              <w:jc w:val="center"/>
              <w:rPr>
                <w:rFonts w:ascii="等线" w:hAnsi="等线" w:eastAsia="等线" w:cs="宋体"/>
                <w:color w:val="000000"/>
                <w:kern w:val="0"/>
                <w:sz w:val="22"/>
                <w:szCs w:val="22"/>
              </w:rPr>
            </w:pPr>
          </w:p>
        </w:tc>
      </w:tr>
      <w:tr w14:paraId="02DB6CE9">
        <w:tblPrEx>
          <w:tblCellMar>
            <w:top w:w="0" w:type="dxa"/>
            <w:left w:w="108" w:type="dxa"/>
            <w:bottom w:w="0" w:type="dxa"/>
            <w:right w:w="108" w:type="dxa"/>
          </w:tblCellMar>
        </w:tblPrEx>
        <w:trPr>
          <w:trHeight w:val="301" w:hRule="atLeast"/>
        </w:trPr>
        <w:tc>
          <w:tcPr>
            <w:tcW w:w="562" w:type="dxa"/>
            <w:vMerge w:val="continue"/>
            <w:tcBorders>
              <w:left w:val="single" w:color="auto" w:sz="4" w:space="0"/>
              <w:bottom w:val="single" w:color="auto" w:sz="4" w:space="0"/>
              <w:right w:val="single" w:color="auto" w:sz="4" w:space="0"/>
            </w:tcBorders>
            <w:shd w:val="clear" w:color="auto" w:fill="auto"/>
            <w:noWrap/>
            <w:vAlign w:val="center"/>
          </w:tcPr>
          <w:p w14:paraId="0C442294">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right w:val="single" w:color="auto" w:sz="4" w:space="0"/>
            </w:tcBorders>
            <w:shd w:val="clear" w:color="auto" w:fill="auto"/>
            <w:vAlign w:val="center"/>
          </w:tcPr>
          <w:p w14:paraId="7B1CBF44">
            <w:pPr>
              <w:widowControl/>
              <w:adjustRightInd/>
              <w:spacing w:line="240" w:lineRule="auto"/>
              <w:jc w:val="left"/>
              <w:rPr>
                <w:rFonts w:ascii="等线" w:hAnsi="等线" w:eastAsia="等线" w:cs="宋体"/>
                <w:color w:val="000000"/>
                <w:kern w:val="0"/>
                <w:sz w:val="22"/>
                <w:szCs w:val="22"/>
              </w:rPr>
            </w:pPr>
          </w:p>
        </w:tc>
        <w:tc>
          <w:tcPr>
            <w:tcW w:w="766" w:type="dxa"/>
            <w:vMerge w:val="continue"/>
            <w:tcBorders>
              <w:left w:val="nil"/>
              <w:right w:val="single" w:color="auto" w:sz="4" w:space="0"/>
            </w:tcBorders>
            <w:shd w:val="clear" w:color="auto" w:fill="auto"/>
            <w:vAlign w:val="center"/>
          </w:tcPr>
          <w:p w14:paraId="1FEB302A">
            <w:pPr>
              <w:widowControl/>
              <w:adjustRightInd/>
              <w:spacing w:line="240" w:lineRule="auto"/>
              <w:jc w:val="left"/>
              <w:rPr>
                <w:rFonts w:ascii="等线" w:hAnsi="等线" w:eastAsia="等线" w:cs="宋体"/>
                <w:color w:val="000000"/>
                <w:kern w:val="0"/>
                <w:sz w:val="18"/>
                <w:szCs w:val="18"/>
              </w:rPr>
            </w:pPr>
          </w:p>
        </w:tc>
        <w:tc>
          <w:tcPr>
            <w:tcW w:w="4447" w:type="dxa"/>
            <w:gridSpan w:val="3"/>
            <w:tcBorders>
              <w:top w:val="single" w:color="auto" w:sz="4" w:space="0"/>
              <w:left w:val="nil"/>
              <w:right w:val="single" w:color="auto" w:sz="4" w:space="0"/>
            </w:tcBorders>
            <w:shd w:val="clear" w:color="auto" w:fill="auto"/>
            <w:vAlign w:val="center"/>
          </w:tcPr>
          <w:p w14:paraId="5365A0CB">
            <w:pPr>
              <w:rPr>
                <w:sz w:val="18"/>
                <w:szCs w:val="18"/>
              </w:rPr>
            </w:pPr>
            <w:r>
              <w:rPr>
                <w:rFonts w:hint="eastAsia" w:ascii="等线" w:hAnsi="等线" w:eastAsia="等线" w:cs="宋体"/>
                <w:color w:val="000000"/>
                <w:kern w:val="0"/>
                <w:sz w:val="18"/>
                <w:szCs w:val="18"/>
              </w:rPr>
              <w:t>2、</w:t>
            </w:r>
            <w:r>
              <w:rPr>
                <w:rFonts w:hint="eastAsia"/>
                <w:sz w:val="18"/>
                <w:szCs w:val="18"/>
              </w:rPr>
              <w:t>服务人员能力的评价，包括但不限于:（5分）</w:t>
            </w:r>
          </w:p>
          <w:p w14:paraId="08868BE8">
            <w:pPr>
              <w:ind w:left="420" w:leftChars="200"/>
              <w:rPr>
                <w:sz w:val="18"/>
                <w:szCs w:val="18"/>
              </w:rPr>
            </w:pPr>
            <w:r>
              <w:rPr>
                <w:rFonts w:hint="eastAsia"/>
                <w:sz w:val="18"/>
                <w:szCs w:val="18"/>
              </w:rPr>
              <w:t>a)服务人员按照服务方案、服务协议的要求，结合服务对象的具体情况，及时提供相应的服务；</w:t>
            </w:r>
          </w:p>
          <w:p w14:paraId="04FB1125">
            <w:pPr>
              <w:ind w:left="420" w:leftChars="200"/>
              <w:rPr>
                <w:sz w:val="18"/>
                <w:szCs w:val="18"/>
              </w:rPr>
            </w:pPr>
            <w:r>
              <w:rPr>
                <w:rFonts w:hint="eastAsia"/>
                <w:sz w:val="18"/>
                <w:szCs w:val="18"/>
              </w:rPr>
              <w:t>b)服务过程记录。</w:t>
            </w:r>
          </w:p>
        </w:tc>
        <w:tc>
          <w:tcPr>
            <w:tcW w:w="850" w:type="dxa"/>
            <w:tcBorders>
              <w:left w:val="nil"/>
              <w:bottom w:val="single" w:color="auto" w:sz="4" w:space="0"/>
              <w:right w:val="single" w:color="auto" w:sz="4" w:space="0"/>
            </w:tcBorders>
            <w:shd w:val="clear" w:color="auto" w:fill="auto"/>
            <w:noWrap/>
            <w:vAlign w:val="center"/>
          </w:tcPr>
          <w:p w14:paraId="4EFC383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07" w:type="dxa"/>
            <w:tcBorders>
              <w:left w:val="nil"/>
              <w:bottom w:val="single" w:color="auto" w:sz="4" w:space="0"/>
              <w:right w:val="single" w:color="auto" w:sz="4" w:space="0"/>
            </w:tcBorders>
            <w:shd w:val="clear" w:color="auto" w:fill="auto"/>
            <w:vAlign w:val="center"/>
          </w:tcPr>
          <w:p w14:paraId="258559D9">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shd w:val="clear" w:color="auto" w:fill="auto"/>
            <w:vAlign w:val="center"/>
          </w:tcPr>
          <w:p w14:paraId="339366A0">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tcPr>
          <w:p w14:paraId="6DAE34B3">
            <w:pPr>
              <w:widowControl/>
              <w:adjustRightInd/>
              <w:spacing w:line="240" w:lineRule="auto"/>
              <w:jc w:val="center"/>
              <w:rPr>
                <w:rFonts w:ascii="等线" w:hAnsi="等线" w:eastAsia="等线" w:cs="宋体"/>
                <w:color w:val="000000"/>
                <w:kern w:val="0"/>
                <w:sz w:val="22"/>
                <w:szCs w:val="22"/>
              </w:rPr>
            </w:pPr>
          </w:p>
        </w:tc>
      </w:tr>
      <w:tr w14:paraId="562ECAB1">
        <w:tblPrEx>
          <w:tblCellMar>
            <w:top w:w="0" w:type="dxa"/>
            <w:left w:w="108" w:type="dxa"/>
            <w:bottom w:w="0" w:type="dxa"/>
            <w:right w:w="108" w:type="dxa"/>
          </w:tblCellMar>
        </w:tblPrEx>
        <w:trPr>
          <w:trHeight w:val="315" w:hRule="atLeast"/>
        </w:trPr>
        <w:tc>
          <w:tcPr>
            <w:tcW w:w="562" w:type="dxa"/>
            <w:vMerge w:val="restart"/>
            <w:tcBorders>
              <w:top w:val="nil"/>
              <w:left w:val="single" w:color="auto" w:sz="4" w:space="0"/>
              <w:right w:val="single" w:color="auto" w:sz="4" w:space="0"/>
            </w:tcBorders>
            <w:shd w:val="clear" w:color="auto" w:fill="auto"/>
            <w:noWrap/>
            <w:vAlign w:val="center"/>
          </w:tcPr>
          <w:p w14:paraId="4C016A5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888" w:type="dxa"/>
            <w:vMerge w:val="continue"/>
            <w:tcBorders>
              <w:left w:val="single" w:color="auto" w:sz="4" w:space="0"/>
              <w:right w:val="single" w:color="auto" w:sz="4" w:space="0"/>
            </w:tcBorders>
            <w:shd w:val="clear" w:color="auto" w:fill="auto"/>
            <w:vAlign w:val="center"/>
          </w:tcPr>
          <w:p w14:paraId="1A697839">
            <w:pPr>
              <w:widowControl/>
              <w:adjustRightInd/>
              <w:spacing w:line="240" w:lineRule="auto"/>
              <w:jc w:val="left"/>
              <w:rPr>
                <w:rFonts w:ascii="等线" w:hAnsi="等线" w:eastAsia="等线" w:cs="宋体"/>
                <w:color w:val="000000"/>
                <w:kern w:val="0"/>
                <w:sz w:val="22"/>
                <w:szCs w:val="22"/>
              </w:rPr>
            </w:pPr>
          </w:p>
        </w:tc>
        <w:tc>
          <w:tcPr>
            <w:tcW w:w="766" w:type="dxa"/>
            <w:vMerge w:val="continue"/>
            <w:tcBorders>
              <w:left w:val="nil"/>
              <w:right w:val="single" w:color="auto" w:sz="4" w:space="0"/>
            </w:tcBorders>
            <w:shd w:val="clear" w:color="auto" w:fill="auto"/>
            <w:vAlign w:val="center"/>
          </w:tcPr>
          <w:p w14:paraId="3C983C8D">
            <w:pPr>
              <w:widowControl/>
              <w:adjustRightInd/>
              <w:spacing w:line="240" w:lineRule="auto"/>
              <w:jc w:val="left"/>
              <w:rPr>
                <w:rFonts w:ascii="等线" w:hAnsi="等线" w:eastAsia="等线" w:cs="宋体"/>
                <w:color w:val="000000"/>
                <w:kern w:val="0"/>
                <w:sz w:val="18"/>
                <w:szCs w:val="18"/>
              </w:rPr>
            </w:pPr>
          </w:p>
        </w:tc>
        <w:tc>
          <w:tcPr>
            <w:tcW w:w="4447" w:type="dxa"/>
            <w:gridSpan w:val="3"/>
            <w:tcBorders>
              <w:left w:val="nil"/>
              <w:bottom w:val="single" w:color="auto" w:sz="4" w:space="0"/>
              <w:right w:val="single" w:color="auto" w:sz="4" w:space="0"/>
            </w:tcBorders>
            <w:shd w:val="clear" w:color="auto" w:fill="auto"/>
            <w:vAlign w:val="center"/>
          </w:tcPr>
          <w:p w14:paraId="5D101781">
            <w:pPr>
              <w:rPr>
                <w:sz w:val="18"/>
                <w:szCs w:val="18"/>
              </w:rPr>
            </w:pPr>
            <w:r>
              <w:rPr>
                <w:rFonts w:hint="eastAsia"/>
                <w:sz w:val="18"/>
                <w:szCs w:val="18"/>
              </w:rPr>
              <w:t>3、服务质量及其效果的评价包括但不限于：（5分）</w:t>
            </w:r>
          </w:p>
          <w:p w14:paraId="3D35C6D3">
            <w:pPr>
              <w:ind w:firstLine="540" w:firstLineChars="300"/>
              <w:rPr>
                <w:sz w:val="18"/>
                <w:szCs w:val="18"/>
              </w:rPr>
            </w:pPr>
            <w:r>
              <w:rPr>
                <w:rFonts w:hint="eastAsia"/>
                <w:sz w:val="18"/>
                <w:szCs w:val="18"/>
              </w:rPr>
              <w:t>a)按服务项目内容及协议约定，提供相应服务；</w:t>
            </w:r>
          </w:p>
          <w:p w14:paraId="73554201">
            <w:pPr>
              <w:ind w:firstLine="540" w:firstLineChars="300"/>
              <w:rPr>
                <w:sz w:val="18"/>
                <w:szCs w:val="18"/>
              </w:rPr>
            </w:pPr>
            <w:r>
              <w:rPr>
                <w:rFonts w:hint="eastAsia"/>
                <w:sz w:val="18"/>
                <w:szCs w:val="18"/>
              </w:rPr>
              <w:t>b)服务过程监测情况，包括对服务过程和结果进行监测的频率、方式的有效性、监测结果处置情况等；</w:t>
            </w:r>
          </w:p>
          <w:p w14:paraId="6FE4370B">
            <w:pPr>
              <w:ind w:firstLine="540" w:firstLineChars="300"/>
              <w:rPr>
                <w:sz w:val="18"/>
                <w:szCs w:val="18"/>
              </w:rPr>
            </w:pPr>
            <w:r>
              <w:rPr>
                <w:rFonts w:hint="eastAsia"/>
                <w:sz w:val="18"/>
                <w:szCs w:val="18"/>
              </w:rPr>
              <w:t>c</w:t>
            </w:r>
            <w:r>
              <w:rPr>
                <w:sz w:val="18"/>
                <w:szCs w:val="18"/>
              </w:rPr>
              <w:t xml:space="preserve">) </w:t>
            </w:r>
            <w:r>
              <w:rPr>
                <w:rFonts w:hint="eastAsia"/>
                <w:sz w:val="18"/>
                <w:szCs w:val="18"/>
              </w:rPr>
              <w:t>人员能力的监测和评价；</w:t>
            </w:r>
          </w:p>
          <w:p w14:paraId="245C1DF0">
            <w:pPr>
              <w:ind w:firstLine="540" w:firstLineChars="300"/>
              <w:rPr>
                <w:sz w:val="18"/>
                <w:szCs w:val="18"/>
              </w:rPr>
            </w:pPr>
            <w:r>
              <w:rPr>
                <w:rFonts w:hint="eastAsia"/>
                <w:sz w:val="18"/>
                <w:szCs w:val="18"/>
              </w:rPr>
              <w:t>d</w:t>
            </w:r>
            <w:r>
              <w:rPr>
                <w:sz w:val="18"/>
                <w:szCs w:val="18"/>
              </w:rPr>
              <w:t>)</w:t>
            </w:r>
            <w:r>
              <w:rPr>
                <w:rFonts w:hint="eastAsia"/>
                <w:sz w:val="18"/>
                <w:szCs w:val="18"/>
              </w:rPr>
              <w:t>老年人的体验感及满意度测评；</w:t>
            </w:r>
          </w:p>
          <w:p w14:paraId="329A873A">
            <w:pPr>
              <w:ind w:firstLine="540" w:firstLineChars="300"/>
              <w:rPr>
                <w:sz w:val="18"/>
                <w:szCs w:val="18"/>
              </w:rPr>
            </w:pPr>
            <w:r>
              <w:rPr>
                <w:rFonts w:hint="eastAsia"/>
                <w:sz w:val="18"/>
                <w:szCs w:val="18"/>
              </w:rPr>
              <w:t>e</w:t>
            </w:r>
            <w:r>
              <w:rPr>
                <w:sz w:val="18"/>
                <w:szCs w:val="18"/>
              </w:rPr>
              <w:t xml:space="preserve">) </w:t>
            </w:r>
            <w:r>
              <w:rPr>
                <w:rFonts w:hint="eastAsia"/>
                <w:sz w:val="18"/>
                <w:szCs w:val="18"/>
              </w:rPr>
              <w:t>服务预期的目标效果；</w:t>
            </w:r>
          </w:p>
          <w:p w14:paraId="2B847BB4">
            <w:pPr>
              <w:ind w:left="420" w:leftChars="200" w:firstLine="180" w:firstLineChars="100"/>
              <w:rPr>
                <w:rFonts w:ascii="等线" w:hAnsi="等线" w:eastAsia="等线" w:cs="宋体"/>
                <w:color w:val="000000"/>
                <w:kern w:val="0"/>
                <w:sz w:val="18"/>
                <w:szCs w:val="18"/>
              </w:rPr>
            </w:pPr>
            <w:r>
              <w:rPr>
                <w:sz w:val="18"/>
                <w:szCs w:val="18"/>
              </w:rPr>
              <w:t>f</w:t>
            </w:r>
            <w:r>
              <w:rPr>
                <w:rFonts w:hint="eastAsia"/>
                <w:sz w:val="18"/>
                <w:szCs w:val="18"/>
              </w:rPr>
              <w:t>)服务对象的隐私保护。</w:t>
            </w:r>
          </w:p>
        </w:tc>
        <w:tc>
          <w:tcPr>
            <w:tcW w:w="850" w:type="dxa"/>
            <w:tcBorders>
              <w:top w:val="nil"/>
              <w:left w:val="nil"/>
              <w:right w:val="single" w:color="auto" w:sz="4" w:space="0"/>
            </w:tcBorders>
            <w:shd w:val="clear" w:color="auto" w:fill="auto"/>
            <w:noWrap/>
            <w:vAlign w:val="center"/>
          </w:tcPr>
          <w:p w14:paraId="0B8CD9F5">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　</w:t>
            </w:r>
          </w:p>
        </w:tc>
        <w:tc>
          <w:tcPr>
            <w:tcW w:w="807" w:type="dxa"/>
            <w:tcBorders>
              <w:top w:val="nil"/>
              <w:left w:val="nil"/>
              <w:right w:val="single" w:color="auto" w:sz="4" w:space="0"/>
            </w:tcBorders>
            <w:shd w:val="clear" w:color="auto" w:fill="auto"/>
            <w:vAlign w:val="center"/>
          </w:tcPr>
          <w:p w14:paraId="512FA89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right w:val="single" w:color="auto" w:sz="4" w:space="0"/>
            </w:tcBorders>
            <w:shd w:val="clear" w:color="auto" w:fill="auto"/>
            <w:vAlign w:val="center"/>
          </w:tcPr>
          <w:p w14:paraId="7DB19CBD">
            <w:pPr>
              <w:widowControl/>
              <w:adjustRightInd/>
              <w:spacing w:line="240" w:lineRule="auto"/>
              <w:jc w:val="center"/>
              <w:rPr>
                <w:rFonts w:ascii="等线" w:hAnsi="等线" w:eastAsia="等线" w:cs="宋体"/>
                <w:color w:val="000000"/>
                <w:kern w:val="0"/>
                <w:sz w:val="22"/>
                <w:szCs w:val="22"/>
              </w:rPr>
            </w:pPr>
          </w:p>
        </w:tc>
        <w:tc>
          <w:tcPr>
            <w:tcW w:w="709" w:type="dxa"/>
            <w:tcBorders>
              <w:top w:val="nil"/>
              <w:left w:val="nil"/>
              <w:right w:val="single" w:color="auto" w:sz="4" w:space="0"/>
            </w:tcBorders>
          </w:tcPr>
          <w:p w14:paraId="4A553425">
            <w:pPr>
              <w:widowControl/>
              <w:adjustRightInd/>
              <w:spacing w:line="240" w:lineRule="auto"/>
              <w:jc w:val="center"/>
              <w:rPr>
                <w:rFonts w:ascii="等线" w:hAnsi="等线" w:eastAsia="等线" w:cs="宋体"/>
                <w:color w:val="000000"/>
                <w:kern w:val="0"/>
                <w:sz w:val="22"/>
                <w:szCs w:val="22"/>
              </w:rPr>
            </w:pPr>
          </w:p>
        </w:tc>
      </w:tr>
      <w:tr w14:paraId="256F5FB9">
        <w:tblPrEx>
          <w:tblCellMar>
            <w:top w:w="0" w:type="dxa"/>
            <w:left w:w="108" w:type="dxa"/>
            <w:bottom w:w="0" w:type="dxa"/>
            <w:right w:w="108" w:type="dxa"/>
          </w:tblCellMar>
        </w:tblPrEx>
        <w:trPr>
          <w:trHeight w:val="314" w:hRule="atLeast"/>
        </w:trPr>
        <w:tc>
          <w:tcPr>
            <w:tcW w:w="562" w:type="dxa"/>
            <w:vMerge w:val="continue"/>
            <w:tcBorders>
              <w:left w:val="single" w:color="auto" w:sz="4" w:space="0"/>
              <w:bottom w:val="single" w:color="auto" w:sz="4" w:space="0"/>
              <w:right w:val="single" w:color="auto" w:sz="4" w:space="0"/>
            </w:tcBorders>
            <w:shd w:val="clear" w:color="auto" w:fill="auto"/>
            <w:noWrap/>
            <w:vAlign w:val="center"/>
          </w:tcPr>
          <w:p w14:paraId="445E7272">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right w:val="single" w:color="auto" w:sz="4" w:space="0"/>
            </w:tcBorders>
            <w:shd w:val="clear" w:color="auto" w:fill="auto"/>
            <w:vAlign w:val="center"/>
          </w:tcPr>
          <w:p w14:paraId="132FD05E">
            <w:pPr>
              <w:widowControl/>
              <w:adjustRightInd/>
              <w:spacing w:line="240" w:lineRule="auto"/>
              <w:jc w:val="left"/>
              <w:rPr>
                <w:rFonts w:ascii="等线" w:hAnsi="等线" w:eastAsia="等线" w:cs="宋体"/>
                <w:color w:val="000000"/>
                <w:kern w:val="0"/>
                <w:sz w:val="22"/>
                <w:szCs w:val="22"/>
              </w:rPr>
            </w:pPr>
          </w:p>
        </w:tc>
        <w:tc>
          <w:tcPr>
            <w:tcW w:w="766" w:type="dxa"/>
            <w:vMerge w:val="continue"/>
            <w:tcBorders>
              <w:left w:val="nil"/>
              <w:bottom w:val="single" w:color="auto" w:sz="4" w:space="0"/>
              <w:right w:val="single" w:color="auto" w:sz="4" w:space="0"/>
            </w:tcBorders>
            <w:shd w:val="clear" w:color="auto" w:fill="auto"/>
            <w:vAlign w:val="center"/>
          </w:tcPr>
          <w:p w14:paraId="4B188221">
            <w:pPr>
              <w:widowControl/>
              <w:adjustRightInd/>
              <w:spacing w:line="240" w:lineRule="auto"/>
              <w:jc w:val="left"/>
              <w:rPr>
                <w:rFonts w:ascii="等线" w:hAnsi="等线" w:eastAsia="等线" w:cs="宋体"/>
                <w:color w:val="000000"/>
                <w:kern w:val="0"/>
                <w:sz w:val="18"/>
                <w:szCs w:val="18"/>
              </w:rPr>
            </w:pPr>
          </w:p>
        </w:tc>
        <w:tc>
          <w:tcPr>
            <w:tcW w:w="4447" w:type="dxa"/>
            <w:gridSpan w:val="3"/>
            <w:tcBorders>
              <w:left w:val="nil"/>
              <w:bottom w:val="single" w:color="auto" w:sz="4" w:space="0"/>
              <w:right w:val="single" w:color="auto" w:sz="4" w:space="0"/>
            </w:tcBorders>
            <w:shd w:val="clear" w:color="auto" w:fill="auto"/>
            <w:vAlign w:val="center"/>
          </w:tcPr>
          <w:p w14:paraId="017EFC98">
            <w:pPr>
              <w:rPr>
                <w:sz w:val="18"/>
                <w:szCs w:val="18"/>
              </w:rPr>
            </w:pPr>
            <w:r>
              <w:rPr>
                <w:rFonts w:hint="eastAsia"/>
                <w:sz w:val="18"/>
                <w:szCs w:val="18"/>
              </w:rPr>
              <w:t>4、申投诉及服务补救情况的评价包括但不限于:（5分）</w:t>
            </w:r>
          </w:p>
          <w:p w14:paraId="7F3BC6D6">
            <w:pPr>
              <w:ind w:firstLine="360" w:firstLineChars="200"/>
              <w:rPr>
                <w:sz w:val="18"/>
                <w:szCs w:val="18"/>
              </w:rPr>
            </w:pPr>
            <w:r>
              <w:rPr>
                <w:rFonts w:hint="eastAsia"/>
                <w:sz w:val="18"/>
                <w:szCs w:val="18"/>
              </w:rPr>
              <w:t>a）建立申投诉处理机制：</w:t>
            </w:r>
          </w:p>
          <w:p w14:paraId="293B00C9">
            <w:pPr>
              <w:ind w:firstLine="540" w:firstLineChars="300"/>
              <w:rPr>
                <w:sz w:val="18"/>
                <w:szCs w:val="18"/>
              </w:rPr>
            </w:pPr>
            <w:r>
              <w:rPr>
                <w:rFonts w:hint="eastAsia"/>
                <w:sz w:val="18"/>
                <w:szCs w:val="18"/>
              </w:rPr>
              <w:t>——公开申投诉渠道及处理流程；</w:t>
            </w:r>
          </w:p>
          <w:p w14:paraId="42EFC059">
            <w:pPr>
              <w:ind w:firstLine="540" w:firstLineChars="300"/>
              <w:rPr>
                <w:sz w:val="18"/>
                <w:szCs w:val="18"/>
              </w:rPr>
            </w:pPr>
            <w:r>
              <w:rPr>
                <w:rFonts w:hint="eastAsia"/>
                <w:sz w:val="18"/>
                <w:szCs w:val="18"/>
              </w:rPr>
              <w:t>——明确的受理部门和职责；</w:t>
            </w:r>
          </w:p>
          <w:p w14:paraId="52B735E5">
            <w:pPr>
              <w:ind w:firstLine="540" w:firstLineChars="300"/>
              <w:rPr>
                <w:sz w:val="18"/>
                <w:szCs w:val="18"/>
              </w:rPr>
            </w:pPr>
            <w:r>
              <w:rPr>
                <w:rFonts w:hint="eastAsia"/>
                <w:sz w:val="18"/>
                <w:szCs w:val="18"/>
              </w:rPr>
              <w:t>——明确的结案时间及1</w:t>
            </w:r>
            <w:r>
              <w:rPr>
                <w:sz w:val="18"/>
                <w:szCs w:val="18"/>
              </w:rPr>
              <w:t>00%</w:t>
            </w:r>
            <w:r>
              <w:rPr>
                <w:rFonts w:hint="eastAsia"/>
                <w:sz w:val="18"/>
                <w:szCs w:val="18"/>
              </w:rPr>
              <w:t>结案率要求；</w:t>
            </w:r>
          </w:p>
          <w:p w14:paraId="4E1715BD">
            <w:pPr>
              <w:ind w:firstLine="540" w:firstLineChars="300"/>
              <w:rPr>
                <w:sz w:val="18"/>
                <w:szCs w:val="18"/>
              </w:rPr>
            </w:pPr>
            <w:r>
              <w:rPr>
                <w:rFonts w:hint="eastAsia"/>
                <w:sz w:val="18"/>
                <w:szCs w:val="18"/>
              </w:rPr>
              <w:t>——结果反馈要求。</w:t>
            </w:r>
          </w:p>
          <w:p w14:paraId="018189E0">
            <w:pPr>
              <w:ind w:firstLine="360" w:firstLineChars="200"/>
              <w:rPr>
                <w:sz w:val="18"/>
                <w:szCs w:val="18"/>
              </w:rPr>
            </w:pPr>
            <w:r>
              <w:rPr>
                <w:rFonts w:hint="eastAsia"/>
                <w:sz w:val="18"/>
                <w:szCs w:val="18"/>
              </w:rPr>
              <w:t>b</w:t>
            </w:r>
            <w:r>
              <w:rPr>
                <w:sz w:val="18"/>
                <w:szCs w:val="18"/>
              </w:rPr>
              <w:t>)</w:t>
            </w:r>
            <w:r>
              <w:rPr>
                <w:rFonts w:hint="eastAsia"/>
                <w:sz w:val="18"/>
                <w:szCs w:val="18"/>
              </w:rPr>
              <w:t>参照GB/T19012要求建立相应的服务补救机制：</w:t>
            </w:r>
          </w:p>
          <w:p w14:paraId="43C46175">
            <w:pPr>
              <w:ind w:firstLine="540" w:firstLineChars="300"/>
              <w:rPr>
                <w:sz w:val="18"/>
                <w:szCs w:val="18"/>
              </w:rPr>
            </w:pPr>
            <w:r>
              <w:rPr>
                <w:rFonts w:hint="eastAsia"/>
                <w:sz w:val="18"/>
                <w:szCs w:val="18"/>
              </w:rPr>
              <w:t>——明确的部门及职责；</w:t>
            </w:r>
          </w:p>
          <w:p w14:paraId="6BD47A00">
            <w:pPr>
              <w:widowControl/>
              <w:adjustRightInd/>
              <w:spacing w:line="240" w:lineRule="auto"/>
              <w:ind w:firstLine="540" w:firstLineChars="300"/>
              <w:jc w:val="left"/>
              <w:rPr>
                <w:rFonts w:ascii="等线" w:hAnsi="等线" w:eastAsia="等线" w:cs="宋体"/>
                <w:color w:val="000000"/>
                <w:kern w:val="0"/>
                <w:sz w:val="18"/>
                <w:szCs w:val="18"/>
              </w:rPr>
            </w:pPr>
            <w:r>
              <w:rPr>
                <w:rFonts w:hint="eastAsia"/>
                <w:sz w:val="18"/>
                <w:szCs w:val="18"/>
              </w:rPr>
              <w:t>——服务补救措施及方式。</w:t>
            </w:r>
          </w:p>
        </w:tc>
        <w:tc>
          <w:tcPr>
            <w:tcW w:w="850" w:type="dxa"/>
            <w:tcBorders>
              <w:left w:val="nil"/>
              <w:bottom w:val="single" w:color="auto" w:sz="4" w:space="0"/>
              <w:right w:val="single" w:color="auto" w:sz="4" w:space="0"/>
            </w:tcBorders>
            <w:shd w:val="clear" w:color="auto" w:fill="auto"/>
            <w:noWrap/>
            <w:vAlign w:val="center"/>
          </w:tcPr>
          <w:p w14:paraId="4C5716D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07" w:type="dxa"/>
            <w:tcBorders>
              <w:left w:val="nil"/>
              <w:bottom w:val="single" w:color="auto" w:sz="4" w:space="0"/>
              <w:right w:val="single" w:color="auto" w:sz="4" w:space="0"/>
            </w:tcBorders>
            <w:shd w:val="clear" w:color="auto" w:fill="auto"/>
            <w:vAlign w:val="center"/>
          </w:tcPr>
          <w:p w14:paraId="108926A6">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shd w:val="clear" w:color="auto" w:fill="auto"/>
            <w:vAlign w:val="center"/>
          </w:tcPr>
          <w:p w14:paraId="6767FB0F">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tcPr>
          <w:p w14:paraId="0B2C313B">
            <w:pPr>
              <w:widowControl/>
              <w:adjustRightInd/>
              <w:spacing w:line="240" w:lineRule="auto"/>
              <w:jc w:val="center"/>
              <w:rPr>
                <w:rFonts w:ascii="等线" w:hAnsi="等线" w:eastAsia="等线" w:cs="宋体"/>
                <w:color w:val="000000"/>
                <w:kern w:val="0"/>
                <w:sz w:val="22"/>
                <w:szCs w:val="22"/>
              </w:rPr>
            </w:pPr>
          </w:p>
        </w:tc>
      </w:tr>
      <w:tr w14:paraId="5071C7A4">
        <w:tblPrEx>
          <w:tblCellMar>
            <w:top w:w="0" w:type="dxa"/>
            <w:left w:w="108" w:type="dxa"/>
            <w:bottom w:w="0" w:type="dxa"/>
            <w:right w:w="108" w:type="dxa"/>
          </w:tblCellMar>
        </w:tblPrEx>
        <w:trPr>
          <w:trHeight w:val="283" w:hRule="atLeast"/>
        </w:trPr>
        <w:tc>
          <w:tcPr>
            <w:tcW w:w="562" w:type="dxa"/>
            <w:vMerge w:val="restart"/>
            <w:tcBorders>
              <w:left w:val="single" w:color="auto" w:sz="4" w:space="0"/>
              <w:right w:val="single" w:color="auto" w:sz="4" w:space="0"/>
            </w:tcBorders>
            <w:shd w:val="clear" w:color="auto" w:fill="auto"/>
            <w:noWrap/>
            <w:vAlign w:val="center"/>
          </w:tcPr>
          <w:p w14:paraId="0D0B99C6">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right w:val="single" w:color="auto" w:sz="4" w:space="0"/>
            </w:tcBorders>
            <w:shd w:val="clear" w:color="auto" w:fill="auto"/>
            <w:vAlign w:val="center"/>
          </w:tcPr>
          <w:p w14:paraId="682E999D">
            <w:pPr>
              <w:widowControl/>
              <w:adjustRightInd/>
              <w:spacing w:line="240" w:lineRule="auto"/>
              <w:jc w:val="left"/>
              <w:rPr>
                <w:rFonts w:ascii="等线" w:hAnsi="等线" w:eastAsia="等线" w:cs="宋体"/>
                <w:color w:val="000000"/>
                <w:kern w:val="0"/>
                <w:sz w:val="22"/>
                <w:szCs w:val="22"/>
              </w:rPr>
            </w:pPr>
          </w:p>
        </w:tc>
        <w:tc>
          <w:tcPr>
            <w:tcW w:w="766" w:type="dxa"/>
            <w:vMerge w:val="restart"/>
            <w:tcBorders>
              <w:left w:val="nil"/>
              <w:right w:val="single" w:color="auto" w:sz="4" w:space="0"/>
            </w:tcBorders>
            <w:shd w:val="clear" w:color="auto" w:fill="auto"/>
            <w:vAlign w:val="center"/>
          </w:tcPr>
          <w:p w14:paraId="1ECF54B5">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服务改进（5）</w:t>
            </w:r>
          </w:p>
        </w:tc>
        <w:tc>
          <w:tcPr>
            <w:tcW w:w="4447" w:type="dxa"/>
            <w:gridSpan w:val="3"/>
            <w:tcBorders>
              <w:left w:val="nil"/>
              <w:bottom w:val="single" w:color="auto" w:sz="4" w:space="0"/>
              <w:right w:val="single" w:color="auto" w:sz="4" w:space="0"/>
            </w:tcBorders>
            <w:shd w:val="clear" w:color="auto" w:fill="auto"/>
            <w:vAlign w:val="center"/>
          </w:tcPr>
          <w:p w14:paraId="458245DB">
            <w:pPr>
              <w:pStyle w:val="231"/>
              <w:numPr>
                <w:ilvl w:val="0"/>
                <w:numId w:val="38"/>
              </w:numPr>
              <w:ind w:left="0" w:firstLine="91" w:firstLineChars="0"/>
              <w:rPr>
                <w:rFonts w:ascii="黑体" w:hAnsi="黑体" w:eastAsia="黑体"/>
                <w:sz w:val="18"/>
                <w:szCs w:val="18"/>
              </w:rPr>
            </w:pPr>
            <w:r>
              <w:rPr>
                <w:rFonts w:ascii="宋体" w:hAnsi="宋体"/>
                <w:sz w:val="18"/>
                <w:szCs w:val="18"/>
              </w:rPr>
              <w:t>组织应建立质量管理体系，确保其实施和保持，并持续改进其有效性</w:t>
            </w:r>
            <w:r>
              <w:rPr>
                <w:rFonts w:ascii="黑体" w:hAnsi="黑体" w:eastAsia="黑体"/>
                <w:sz w:val="18"/>
                <w:szCs w:val="18"/>
              </w:rPr>
              <w:t>。</w:t>
            </w:r>
            <w:r>
              <w:rPr>
                <w:rFonts w:hint="eastAsia" w:ascii="黑体" w:hAnsi="黑体" w:eastAsia="黑体"/>
                <w:sz w:val="18"/>
                <w:szCs w:val="18"/>
              </w:rPr>
              <w:t>（2分）</w:t>
            </w:r>
          </w:p>
          <w:p w14:paraId="1723E60D">
            <w:pPr>
              <w:pStyle w:val="231"/>
              <w:ind w:left="-51" w:firstLine="282" w:firstLineChars="157"/>
              <w:rPr>
                <w:rFonts w:ascii="宋体" w:hAnsi="宋体"/>
                <w:sz w:val="18"/>
                <w:szCs w:val="18"/>
              </w:rPr>
            </w:pPr>
            <w:r>
              <w:rPr>
                <w:rFonts w:ascii="宋体" w:hAnsi="宋体"/>
                <w:sz w:val="18"/>
                <w:szCs w:val="18"/>
              </w:rPr>
              <w:t>组织应：</w:t>
            </w:r>
          </w:p>
          <w:p w14:paraId="6C0F339A">
            <w:pPr>
              <w:ind w:firstLine="360" w:firstLineChars="200"/>
              <w:rPr>
                <w:rFonts w:ascii="宋体" w:hAnsi="宋体"/>
                <w:sz w:val="18"/>
                <w:szCs w:val="18"/>
              </w:rPr>
            </w:pPr>
            <w:r>
              <w:rPr>
                <w:rFonts w:hint="eastAsia" w:ascii="宋体" w:hAnsi="宋体"/>
                <w:sz w:val="18"/>
                <w:szCs w:val="18"/>
              </w:rPr>
              <w:t>对社区居家养老服务提供者的服务回访机制的评价包括但不限于:</w:t>
            </w:r>
          </w:p>
          <w:p w14:paraId="31C93D72">
            <w:pPr>
              <w:ind w:firstLine="360" w:firstLineChars="200"/>
              <w:rPr>
                <w:rFonts w:ascii="宋体" w:hAnsi="宋体"/>
                <w:sz w:val="18"/>
                <w:szCs w:val="18"/>
              </w:rPr>
            </w:pPr>
            <w:r>
              <w:rPr>
                <w:rFonts w:ascii="宋体" w:hAnsi="宋体"/>
                <w:sz w:val="18"/>
                <w:szCs w:val="18"/>
              </w:rPr>
              <w:t>a</w:t>
            </w:r>
            <w:r>
              <w:rPr>
                <w:rFonts w:hint="eastAsia" w:ascii="宋体" w:hAnsi="宋体"/>
                <w:sz w:val="18"/>
                <w:szCs w:val="18"/>
              </w:rPr>
              <w:t>)通过电话、网络、走访、暗访等形式回访,并及时对回访情况进行分析处理;</w:t>
            </w:r>
          </w:p>
          <w:p w14:paraId="319E3BB8">
            <w:pPr>
              <w:ind w:firstLine="360" w:firstLineChars="200"/>
              <w:rPr>
                <w:rFonts w:ascii="宋体" w:hAnsi="宋体"/>
                <w:sz w:val="18"/>
                <w:szCs w:val="18"/>
              </w:rPr>
            </w:pPr>
            <w:r>
              <w:rPr>
                <w:rFonts w:hint="eastAsia" w:ascii="宋体" w:hAnsi="宋体"/>
                <w:sz w:val="18"/>
                <w:szCs w:val="18"/>
              </w:rPr>
              <w:t>b)对服务对象和(或)家属/监护人进行满意度调查</w:t>
            </w:r>
            <w:r>
              <w:rPr>
                <w:rFonts w:ascii="宋体" w:hAnsi="宋体"/>
                <w:sz w:val="18"/>
                <w:szCs w:val="18"/>
              </w:rPr>
              <w:t>;</w:t>
            </w:r>
          </w:p>
          <w:p w14:paraId="77DAAA8B">
            <w:pPr>
              <w:ind w:firstLine="360" w:firstLineChars="200"/>
              <w:rPr>
                <w:sz w:val="18"/>
                <w:szCs w:val="18"/>
              </w:rPr>
            </w:pPr>
            <w:r>
              <w:rPr>
                <w:rFonts w:ascii="宋体" w:hAnsi="宋体"/>
                <w:sz w:val="18"/>
                <w:szCs w:val="18"/>
              </w:rPr>
              <w:t xml:space="preserve">c) </w:t>
            </w:r>
            <w:r>
              <w:rPr>
                <w:rFonts w:hint="eastAsia" w:ascii="宋体" w:hAnsi="宋体"/>
                <w:sz w:val="18"/>
                <w:szCs w:val="18"/>
              </w:rPr>
              <w:t>制定回访计划及保留回访过程相应记录。</w:t>
            </w:r>
          </w:p>
        </w:tc>
        <w:tc>
          <w:tcPr>
            <w:tcW w:w="850" w:type="dxa"/>
            <w:tcBorders>
              <w:left w:val="nil"/>
              <w:right w:val="single" w:color="auto" w:sz="4" w:space="0"/>
            </w:tcBorders>
            <w:shd w:val="clear" w:color="auto" w:fill="auto"/>
            <w:noWrap/>
            <w:vAlign w:val="center"/>
          </w:tcPr>
          <w:p w14:paraId="23F86577">
            <w:pPr>
              <w:widowControl/>
              <w:adjustRightInd/>
              <w:spacing w:line="240" w:lineRule="auto"/>
              <w:jc w:val="center"/>
              <w:rPr>
                <w:rFonts w:ascii="等线" w:hAnsi="等线" w:eastAsia="等线" w:cs="宋体"/>
                <w:color w:val="000000"/>
                <w:kern w:val="0"/>
                <w:sz w:val="22"/>
                <w:szCs w:val="22"/>
              </w:rPr>
            </w:pPr>
            <w:r>
              <w:rPr>
                <w:rFonts w:ascii="等线" w:hAnsi="等线" w:eastAsia="等线" w:cs="宋体"/>
                <w:color w:val="000000"/>
                <w:kern w:val="0"/>
                <w:sz w:val="22"/>
                <w:szCs w:val="22"/>
              </w:rPr>
              <w:t>2</w:t>
            </w:r>
          </w:p>
        </w:tc>
        <w:tc>
          <w:tcPr>
            <w:tcW w:w="807" w:type="dxa"/>
            <w:tcBorders>
              <w:left w:val="nil"/>
              <w:right w:val="single" w:color="auto" w:sz="4" w:space="0"/>
            </w:tcBorders>
            <w:shd w:val="clear" w:color="auto" w:fill="auto"/>
            <w:vAlign w:val="center"/>
          </w:tcPr>
          <w:p w14:paraId="168125F1">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1D643B10">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7AB545B2">
            <w:pPr>
              <w:widowControl/>
              <w:adjustRightInd/>
              <w:spacing w:line="240" w:lineRule="auto"/>
              <w:jc w:val="center"/>
              <w:rPr>
                <w:rFonts w:ascii="等线" w:hAnsi="等线" w:eastAsia="等线" w:cs="宋体"/>
                <w:color w:val="000000"/>
                <w:kern w:val="0"/>
                <w:sz w:val="22"/>
                <w:szCs w:val="22"/>
              </w:rPr>
            </w:pPr>
          </w:p>
        </w:tc>
      </w:tr>
      <w:tr w14:paraId="768AD685">
        <w:tblPrEx>
          <w:tblCellMar>
            <w:top w:w="0" w:type="dxa"/>
            <w:left w:w="108" w:type="dxa"/>
            <w:bottom w:w="0" w:type="dxa"/>
            <w:right w:w="108" w:type="dxa"/>
          </w:tblCellMar>
        </w:tblPrEx>
        <w:trPr>
          <w:trHeight w:val="183" w:hRule="atLeast"/>
        </w:trPr>
        <w:tc>
          <w:tcPr>
            <w:tcW w:w="562" w:type="dxa"/>
            <w:vMerge w:val="continue"/>
            <w:tcBorders>
              <w:left w:val="single" w:color="auto" w:sz="4" w:space="0"/>
              <w:right w:val="single" w:color="auto" w:sz="4" w:space="0"/>
            </w:tcBorders>
            <w:shd w:val="clear" w:color="auto" w:fill="auto"/>
            <w:noWrap/>
            <w:vAlign w:val="center"/>
          </w:tcPr>
          <w:p w14:paraId="7063BBA5">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right w:val="single" w:color="auto" w:sz="4" w:space="0"/>
            </w:tcBorders>
            <w:shd w:val="clear" w:color="auto" w:fill="auto"/>
            <w:vAlign w:val="center"/>
          </w:tcPr>
          <w:p w14:paraId="46B6E8F0">
            <w:pPr>
              <w:widowControl/>
              <w:adjustRightInd/>
              <w:spacing w:line="240" w:lineRule="auto"/>
              <w:jc w:val="left"/>
              <w:rPr>
                <w:rFonts w:ascii="等线" w:hAnsi="等线" w:eastAsia="等线" w:cs="宋体"/>
                <w:color w:val="000000"/>
                <w:kern w:val="0"/>
                <w:sz w:val="22"/>
                <w:szCs w:val="22"/>
              </w:rPr>
            </w:pPr>
          </w:p>
        </w:tc>
        <w:tc>
          <w:tcPr>
            <w:tcW w:w="766" w:type="dxa"/>
            <w:vMerge w:val="continue"/>
            <w:tcBorders>
              <w:left w:val="nil"/>
              <w:right w:val="single" w:color="auto" w:sz="4" w:space="0"/>
            </w:tcBorders>
            <w:shd w:val="clear" w:color="auto" w:fill="auto"/>
            <w:vAlign w:val="center"/>
          </w:tcPr>
          <w:p w14:paraId="79099E12">
            <w:pPr>
              <w:widowControl/>
              <w:adjustRightInd/>
              <w:spacing w:line="240" w:lineRule="auto"/>
              <w:jc w:val="left"/>
              <w:rPr>
                <w:rFonts w:ascii="等线" w:hAnsi="等线" w:eastAsia="等线" w:cs="宋体"/>
                <w:color w:val="000000"/>
                <w:kern w:val="0"/>
                <w:sz w:val="18"/>
                <w:szCs w:val="18"/>
              </w:rPr>
            </w:pPr>
          </w:p>
        </w:tc>
        <w:tc>
          <w:tcPr>
            <w:tcW w:w="4447" w:type="dxa"/>
            <w:gridSpan w:val="3"/>
            <w:tcBorders>
              <w:left w:val="nil"/>
              <w:bottom w:val="single" w:color="auto" w:sz="4" w:space="0"/>
              <w:right w:val="single" w:color="auto" w:sz="4" w:space="0"/>
            </w:tcBorders>
            <w:shd w:val="clear" w:color="auto" w:fill="auto"/>
            <w:vAlign w:val="center"/>
          </w:tcPr>
          <w:p w14:paraId="6CA75AF0">
            <w:pPr>
              <w:rPr>
                <w:rFonts w:ascii="宋体" w:hAnsi="宋体"/>
                <w:sz w:val="18"/>
                <w:szCs w:val="18"/>
              </w:rPr>
            </w:pPr>
            <w:r>
              <w:rPr>
                <w:rFonts w:hint="eastAsia"/>
                <w:sz w:val="18"/>
                <w:szCs w:val="18"/>
              </w:rPr>
              <w:t>2、</w:t>
            </w:r>
            <w:r>
              <w:rPr>
                <w:rFonts w:hint="eastAsia" w:ascii="宋体" w:hAnsi="宋体"/>
                <w:sz w:val="18"/>
                <w:szCs w:val="18"/>
              </w:rPr>
              <w:t>对服务提供的持续改进机制的评价，包括但不限于:（1</w:t>
            </w:r>
            <w:r>
              <w:rPr>
                <w:rFonts w:ascii="宋体" w:hAnsi="宋体"/>
                <w:sz w:val="18"/>
                <w:szCs w:val="18"/>
              </w:rPr>
              <w:t>.5</w:t>
            </w:r>
            <w:r>
              <w:rPr>
                <w:rFonts w:hint="eastAsia" w:ascii="宋体" w:hAnsi="宋体"/>
                <w:sz w:val="18"/>
                <w:szCs w:val="18"/>
              </w:rPr>
              <w:t>分）</w:t>
            </w:r>
          </w:p>
          <w:p w14:paraId="4B056D6E">
            <w:pPr>
              <w:ind w:left="420" w:leftChars="200"/>
              <w:rPr>
                <w:rFonts w:ascii="宋体" w:hAnsi="宋体"/>
                <w:sz w:val="18"/>
                <w:szCs w:val="18"/>
              </w:rPr>
            </w:pPr>
            <w:r>
              <w:rPr>
                <w:rFonts w:hint="eastAsia" w:ascii="宋体" w:hAnsi="宋体"/>
                <w:sz w:val="18"/>
                <w:szCs w:val="18"/>
              </w:rPr>
              <w:t>a)建立顾客满意度测评制度,并对服务质量进行定期评估;</w:t>
            </w:r>
          </w:p>
          <w:p w14:paraId="024B2E84">
            <w:pPr>
              <w:ind w:left="420" w:leftChars="200"/>
              <w:rPr>
                <w:rFonts w:ascii="宋体" w:hAnsi="宋体"/>
                <w:sz w:val="18"/>
                <w:szCs w:val="18"/>
              </w:rPr>
            </w:pPr>
            <w:r>
              <w:rPr>
                <w:rFonts w:hint="eastAsia" w:ascii="宋体" w:hAnsi="宋体"/>
                <w:sz w:val="18"/>
                <w:szCs w:val="18"/>
              </w:rPr>
              <w:t>b)纠正不合格服务,消除或降低不合格服务造成的不良影响,分析产生不合格服务的原因,制定整改措施,并跟踪整改措施的落实情况;</w:t>
            </w:r>
          </w:p>
          <w:p w14:paraId="218147DA">
            <w:pPr>
              <w:ind w:left="420" w:leftChars="200"/>
              <w:rPr>
                <w:sz w:val="18"/>
                <w:szCs w:val="18"/>
              </w:rPr>
            </w:pPr>
            <w:r>
              <w:rPr>
                <w:rFonts w:hint="eastAsia" w:ascii="宋体" w:hAnsi="宋体"/>
                <w:sz w:val="18"/>
                <w:szCs w:val="18"/>
              </w:rPr>
              <w:t>c</w:t>
            </w:r>
            <w:r>
              <w:rPr>
                <w:rFonts w:ascii="宋体" w:hAnsi="宋体"/>
                <w:sz w:val="18"/>
                <w:szCs w:val="18"/>
              </w:rPr>
              <w:t>)</w:t>
            </w:r>
            <w:r>
              <w:rPr>
                <w:rFonts w:hint="eastAsia" w:ascii="宋体" w:hAnsi="宋体"/>
                <w:sz w:val="18"/>
                <w:szCs w:val="18"/>
              </w:rPr>
              <w:t>收集分析通过顾客及其他渠道获得的反馈信息及评价结果,持续改进服务质量。</w:t>
            </w:r>
          </w:p>
        </w:tc>
        <w:tc>
          <w:tcPr>
            <w:tcW w:w="850" w:type="dxa"/>
            <w:tcBorders>
              <w:left w:val="nil"/>
              <w:right w:val="single" w:color="auto" w:sz="4" w:space="0"/>
            </w:tcBorders>
            <w:shd w:val="clear" w:color="auto" w:fill="auto"/>
            <w:noWrap/>
            <w:vAlign w:val="center"/>
          </w:tcPr>
          <w:p w14:paraId="7DEF36A6">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r>
              <w:rPr>
                <w:rFonts w:ascii="等线" w:hAnsi="等线" w:eastAsia="等线" w:cs="宋体"/>
                <w:color w:val="000000"/>
                <w:kern w:val="0"/>
                <w:sz w:val="22"/>
                <w:szCs w:val="22"/>
              </w:rPr>
              <w:t>.5</w:t>
            </w:r>
          </w:p>
        </w:tc>
        <w:tc>
          <w:tcPr>
            <w:tcW w:w="807" w:type="dxa"/>
            <w:tcBorders>
              <w:left w:val="nil"/>
              <w:right w:val="single" w:color="auto" w:sz="4" w:space="0"/>
            </w:tcBorders>
            <w:shd w:val="clear" w:color="auto" w:fill="auto"/>
            <w:vAlign w:val="center"/>
          </w:tcPr>
          <w:p w14:paraId="3C3B64CD">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056E744E">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66AEF35E">
            <w:pPr>
              <w:widowControl/>
              <w:adjustRightInd/>
              <w:spacing w:line="240" w:lineRule="auto"/>
              <w:jc w:val="center"/>
              <w:rPr>
                <w:rFonts w:ascii="等线" w:hAnsi="等线" w:eastAsia="等线" w:cs="宋体"/>
                <w:color w:val="000000"/>
                <w:kern w:val="0"/>
                <w:sz w:val="22"/>
                <w:szCs w:val="22"/>
              </w:rPr>
            </w:pPr>
          </w:p>
        </w:tc>
      </w:tr>
      <w:tr w14:paraId="449F7C50">
        <w:tblPrEx>
          <w:tblCellMar>
            <w:top w:w="0" w:type="dxa"/>
            <w:left w:w="108" w:type="dxa"/>
            <w:bottom w:w="0" w:type="dxa"/>
            <w:right w:w="108" w:type="dxa"/>
          </w:tblCellMar>
        </w:tblPrEx>
        <w:trPr>
          <w:trHeight w:val="182" w:hRule="atLeast"/>
        </w:trPr>
        <w:tc>
          <w:tcPr>
            <w:tcW w:w="562" w:type="dxa"/>
            <w:vMerge w:val="continue"/>
            <w:tcBorders>
              <w:left w:val="single" w:color="auto" w:sz="4" w:space="0"/>
              <w:bottom w:val="single" w:color="auto" w:sz="4" w:space="0"/>
              <w:right w:val="single" w:color="auto" w:sz="4" w:space="0"/>
            </w:tcBorders>
            <w:shd w:val="clear" w:color="auto" w:fill="auto"/>
            <w:noWrap/>
            <w:vAlign w:val="center"/>
          </w:tcPr>
          <w:p w14:paraId="2BBED9DB">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bottom w:val="nil"/>
              <w:right w:val="single" w:color="auto" w:sz="4" w:space="0"/>
            </w:tcBorders>
            <w:shd w:val="clear" w:color="auto" w:fill="auto"/>
            <w:vAlign w:val="center"/>
          </w:tcPr>
          <w:p w14:paraId="70A9C047">
            <w:pPr>
              <w:widowControl/>
              <w:adjustRightInd/>
              <w:spacing w:line="240" w:lineRule="auto"/>
              <w:jc w:val="left"/>
              <w:rPr>
                <w:rFonts w:ascii="等线" w:hAnsi="等线" w:eastAsia="等线" w:cs="宋体"/>
                <w:color w:val="000000"/>
                <w:kern w:val="0"/>
                <w:sz w:val="22"/>
                <w:szCs w:val="22"/>
              </w:rPr>
            </w:pPr>
          </w:p>
        </w:tc>
        <w:tc>
          <w:tcPr>
            <w:tcW w:w="766" w:type="dxa"/>
            <w:vMerge w:val="continue"/>
            <w:tcBorders>
              <w:left w:val="nil"/>
              <w:bottom w:val="single" w:color="auto" w:sz="4" w:space="0"/>
              <w:right w:val="single" w:color="auto" w:sz="4" w:space="0"/>
            </w:tcBorders>
            <w:shd w:val="clear" w:color="auto" w:fill="auto"/>
            <w:vAlign w:val="center"/>
          </w:tcPr>
          <w:p w14:paraId="6616EC58">
            <w:pPr>
              <w:widowControl/>
              <w:adjustRightInd/>
              <w:spacing w:line="240" w:lineRule="auto"/>
              <w:jc w:val="left"/>
              <w:rPr>
                <w:rFonts w:ascii="等线" w:hAnsi="等线" w:eastAsia="等线" w:cs="宋体"/>
                <w:color w:val="000000"/>
                <w:kern w:val="0"/>
                <w:sz w:val="18"/>
                <w:szCs w:val="18"/>
              </w:rPr>
            </w:pPr>
          </w:p>
        </w:tc>
        <w:tc>
          <w:tcPr>
            <w:tcW w:w="4447" w:type="dxa"/>
            <w:gridSpan w:val="3"/>
            <w:tcBorders>
              <w:left w:val="nil"/>
              <w:bottom w:val="single" w:color="auto" w:sz="4" w:space="0"/>
              <w:right w:val="single" w:color="auto" w:sz="4" w:space="0"/>
            </w:tcBorders>
            <w:shd w:val="clear" w:color="auto" w:fill="auto"/>
            <w:vAlign w:val="center"/>
          </w:tcPr>
          <w:p w14:paraId="29063536">
            <w:pPr>
              <w:rPr>
                <w:sz w:val="18"/>
                <w:szCs w:val="18"/>
              </w:rPr>
            </w:pPr>
            <w:r>
              <w:rPr>
                <w:rFonts w:hint="eastAsia"/>
                <w:sz w:val="18"/>
                <w:szCs w:val="18"/>
              </w:rPr>
              <w:t>3、</w:t>
            </w:r>
            <w:r>
              <w:rPr>
                <w:rFonts w:hint="eastAsia" w:ascii="宋体" w:hAnsi="宋体"/>
                <w:sz w:val="18"/>
                <w:szCs w:val="18"/>
              </w:rPr>
              <w:t>应依据GB/T19012,对社区居家养老服务提供者的投诉处理机制进行评价。（1</w:t>
            </w:r>
            <w:r>
              <w:rPr>
                <w:rFonts w:ascii="宋体" w:hAnsi="宋体"/>
                <w:sz w:val="18"/>
                <w:szCs w:val="18"/>
              </w:rPr>
              <w:t>.5</w:t>
            </w:r>
            <w:r>
              <w:rPr>
                <w:rFonts w:hint="eastAsia" w:ascii="宋体" w:hAnsi="宋体"/>
                <w:sz w:val="18"/>
                <w:szCs w:val="18"/>
              </w:rPr>
              <w:t>分）</w:t>
            </w:r>
          </w:p>
        </w:tc>
        <w:tc>
          <w:tcPr>
            <w:tcW w:w="850" w:type="dxa"/>
            <w:tcBorders>
              <w:left w:val="nil"/>
              <w:bottom w:val="single" w:color="auto" w:sz="4" w:space="0"/>
              <w:right w:val="single" w:color="auto" w:sz="4" w:space="0"/>
            </w:tcBorders>
            <w:shd w:val="clear" w:color="auto" w:fill="auto"/>
            <w:noWrap/>
            <w:vAlign w:val="center"/>
          </w:tcPr>
          <w:p w14:paraId="7362B3F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r>
              <w:rPr>
                <w:rFonts w:ascii="等线" w:hAnsi="等线" w:eastAsia="等线" w:cs="宋体"/>
                <w:color w:val="000000"/>
                <w:kern w:val="0"/>
                <w:sz w:val="22"/>
                <w:szCs w:val="22"/>
              </w:rPr>
              <w:t>.5</w:t>
            </w:r>
          </w:p>
        </w:tc>
        <w:tc>
          <w:tcPr>
            <w:tcW w:w="807" w:type="dxa"/>
            <w:tcBorders>
              <w:left w:val="nil"/>
              <w:bottom w:val="single" w:color="auto" w:sz="4" w:space="0"/>
              <w:right w:val="single" w:color="auto" w:sz="4" w:space="0"/>
            </w:tcBorders>
            <w:shd w:val="clear" w:color="auto" w:fill="auto"/>
            <w:vAlign w:val="center"/>
          </w:tcPr>
          <w:p w14:paraId="348F040B">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shd w:val="clear" w:color="auto" w:fill="auto"/>
            <w:vAlign w:val="center"/>
          </w:tcPr>
          <w:p w14:paraId="1A575EC2">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tcPr>
          <w:p w14:paraId="3D629B92">
            <w:pPr>
              <w:widowControl/>
              <w:adjustRightInd/>
              <w:spacing w:line="240" w:lineRule="auto"/>
              <w:jc w:val="center"/>
              <w:rPr>
                <w:rFonts w:ascii="等线" w:hAnsi="等线" w:eastAsia="等线" w:cs="宋体"/>
                <w:color w:val="000000"/>
                <w:kern w:val="0"/>
                <w:sz w:val="22"/>
                <w:szCs w:val="22"/>
              </w:rPr>
            </w:pPr>
          </w:p>
        </w:tc>
      </w:tr>
      <w:tr w14:paraId="7C20BF91">
        <w:tblPrEx>
          <w:tblCellMar>
            <w:top w:w="0" w:type="dxa"/>
            <w:left w:w="108" w:type="dxa"/>
            <w:bottom w:w="0" w:type="dxa"/>
            <w:right w:w="108" w:type="dxa"/>
          </w:tblCellMar>
        </w:tblPrEx>
        <w:trPr>
          <w:trHeight w:val="283" w:hRule="atLeast"/>
        </w:trPr>
        <w:tc>
          <w:tcPr>
            <w:tcW w:w="562" w:type="dxa"/>
            <w:vMerge w:val="restart"/>
            <w:tcBorders>
              <w:top w:val="nil"/>
              <w:left w:val="single" w:color="auto" w:sz="4" w:space="0"/>
              <w:right w:val="single" w:color="auto" w:sz="4" w:space="0"/>
            </w:tcBorders>
            <w:shd w:val="clear" w:color="auto" w:fill="auto"/>
            <w:noWrap/>
            <w:vAlign w:val="center"/>
          </w:tcPr>
          <w:p w14:paraId="094118EB">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88" w:type="dxa"/>
            <w:vMerge w:val="restart"/>
            <w:tcBorders>
              <w:top w:val="nil"/>
              <w:left w:val="single" w:color="auto" w:sz="4" w:space="0"/>
              <w:right w:val="single" w:color="auto" w:sz="4" w:space="0"/>
            </w:tcBorders>
            <w:shd w:val="clear" w:color="auto" w:fill="auto"/>
            <w:vAlign w:val="center"/>
          </w:tcPr>
          <w:p w14:paraId="57CBB426">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服务绩效</w:t>
            </w:r>
          </w:p>
          <w:p w14:paraId="5901DD74">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（3</w:t>
            </w:r>
            <w:r>
              <w:rPr>
                <w:rFonts w:ascii="等线" w:hAnsi="等线" w:eastAsia="等线" w:cs="宋体"/>
                <w:color w:val="000000"/>
                <w:kern w:val="0"/>
                <w:sz w:val="22"/>
                <w:szCs w:val="22"/>
              </w:rPr>
              <w:t>5</w:t>
            </w:r>
            <w:r>
              <w:rPr>
                <w:rFonts w:hint="eastAsia" w:ascii="等线" w:hAnsi="等线" w:eastAsia="等线" w:cs="宋体"/>
                <w:color w:val="000000"/>
                <w:kern w:val="0"/>
                <w:sz w:val="22"/>
                <w:szCs w:val="22"/>
              </w:rPr>
              <w:t>）</w:t>
            </w:r>
          </w:p>
        </w:tc>
        <w:tc>
          <w:tcPr>
            <w:tcW w:w="766" w:type="dxa"/>
            <w:vMerge w:val="restart"/>
            <w:tcBorders>
              <w:top w:val="single" w:color="auto" w:sz="4" w:space="0"/>
              <w:left w:val="nil"/>
              <w:right w:val="single" w:color="auto" w:sz="4" w:space="0"/>
            </w:tcBorders>
            <w:shd w:val="clear" w:color="auto" w:fill="auto"/>
            <w:vAlign w:val="center"/>
          </w:tcPr>
          <w:p w14:paraId="2F40FD96">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品牌效益</w:t>
            </w:r>
          </w:p>
          <w:p w14:paraId="145A9017">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r>
              <w:rPr>
                <w:rFonts w:ascii="等线" w:hAnsi="等线" w:eastAsia="等线" w:cs="宋体"/>
                <w:color w:val="000000"/>
                <w:kern w:val="0"/>
                <w:sz w:val="18"/>
                <w:szCs w:val="18"/>
              </w:rPr>
              <w:t>15</w:t>
            </w:r>
            <w:r>
              <w:rPr>
                <w:rFonts w:hint="eastAsia" w:ascii="等线" w:hAnsi="等线" w:eastAsia="等线" w:cs="宋体"/>
                <w:color w:val="000000"/>
                <w:kern w:val="0"/>
                <w:sz w:val="18"/>
                <w:szCs w:val="18"/>
              </w:rPr>
              <w:t>）</w:t>
            </w: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61EB3DF4">
            <w:pPr>
              <w:rPr>
                <w:rFonts w:ascii="宋体" w:hAnsi="宋体"/>
                <w:sz w:val="18"/>
                <w:szCs w:val="18"/>
              </w:rPr>
            </w:pPr>
            <w:r>
              <w:rPr>
                <w:rFonts w:hint="eastAsia" w:ascii="宋体" w:hAnsi="宋体"/>
                <w:sz w:val="18"/>
                <w:szCs w:val="18"/>
              </w:rPr>
              <w:t>1、对顾客满意测评的评价包括但不限于:（</w:t>
            </w:r>
            <w:r>
              <w:rPr>
                <w:rFonts w:ascii="宋体" w:hAnsi="宋体"/>
                <w:sz w:val="18"/>
                <w:szCs w:val="18"/>
              </w:rPr>
              <w:t>5</w:t>
            </w:r>
            <w:r>
              <w:rPr>
                <w:rFonts w:hint="eastAsia" w:ascii="宋体" w:hAnsi="宋体"/>
                <w:sz w:val="18"/>
                <w:szCs w:val="18"/>
              </w:rPr>
              <w:t>分）</w:t>
            </w:r>
          </w:p>
          <w:p w14:paraId="033587B9">
            <w:pPr>
              <w:ind w:firstLine="360" w:firstLineChars="200"/>
              <w:rPr>
                <w:rFonts w:ascii="宋体" w:hAnsi="宋体"/>
                <w:sz w:val="18"/>
                <w:szCs w:val="18"/>
              </w:rPr>
            </w:pPr>
            <w:r>
              <w:rPr>
                <w:rFonts w:hint="eastAsia" w:ascii="宋体" w:hAnsi="宋体"/>
                <w:sz w:val="18"/>
                <w:szCs w:val="18"/>
              </w:rPr>
              <w:t>a)社区居家养老服务提供者应定期进行顾客满意测评。</w:t>
            </w:r>
          </w:p>
          <w:p w14:paraId="35499926">
            <w:pPr>
              <w:ind w:firstLine="360" w:firstLineChars="200"/>
              <w:rPr>
                <w:rFonts w:ascii="宋体" w:hAnsi="宋体"/>
                <w:sz w:val="18"/>
                <w:szCs w:val="18"/>
              </w:rPr>
            </w:pPr>
            <w:r>
              <w:rPr>
                <w:rFonts w:hint="eastAsia" w:ascii="宋体" w:hAnsi="宋体"/>
                <w:sz w:val="18"/>
                <w:szCs w:val="18"/>
              </w:rPr>
              <w:t>b)按照 GB/T19039相关要求,进行顾客满意测评,测评内容宜涵盖顾客的关键需求,可包括:</w:t>
            </w:r>
          </w:p>
          <w:p w14:paraId="01336651">
            <w:pPr>
              <w:ind w:firstLine="360" w:firstLineChars="200"/>
              <w:rPr>
                <w:rFonts w:ascii="宋体" w:hAnsi="宋体"/>
                <w:sz w:val="18"/>
                <w:szCs w:val="18"/>
              </w:rPr>
            </w:pPr>
            <w:r>
              <w:rPr>
                <w:rFonts w:hint="eastAsia" w:ascii="宋体" w:hAnsi="宋体"/>
                <w:sz w:val="18"/>
                <w:szCs w:val="18"/>
              </w:rPr>
              <w:t>——服务过程专业性、管理规范性；</w:t>
            </w:r>
          </w:p>
          <w:p w14:paraId="7F85DB28">
            <w:pPr>
              <w:ind w:firstLine="360" w:firstLineChars="200"/>
              <w:rPr>
                <w:rFonts w:ascii="宋体" w:hAnsi="宋体"/>
                <w:sz w:val="18"/>
                <w:szCs w:val="18"/>
              </w:rPr>
            </w:pPr>
            <w:r>
              <w:rPr>
                <w:rFonts w:hint="eastAsia" w:ascii="宋体" w:hAnsi="宋体"/>
                <w:sz w:val="18"/>
                <w:szCs w:val="18"/>
              </w:rPr>
              <w:t>——服务过程质量；</w:t>
            </w:r>
          </w:p>
          <w:p w14:paraId="745834FC">
            <w:pPr>
              <w:ind w:firstLine="360" w:firstLineChars="200"/>
              <w:rPr>
                <w:rFonts w:ascii="宋体" w:hAnsi="宋体"/>
                <w:sz w:val="18"/>
                <w:szCs w:val="18"/>
              </w:rPr>
            </w:pPr>
            <w:r>
              <w:rPr>
                <w:rFonts w:hint="eastAsia" w:ascii="宋体" w:hAnsi="宋体"/>
                <w:sz w:val="18"/>
                <w:szCs w:val="18"/>
              </w:rPr>
              <w:t>——服务人员态度；</w:t>
            </w:r>
          </w:p>
          <w:p w14:paraId="12B8D26F">
            <w:pPr>
              <w:ind w:firstLine="360" w:firstLineChars="200"/>
              <w:rPr>
                <w:rFonts w:ascii="宋体" w:hAnsi="宋体"/>
                <w:sz w:val="18"/>
                <w:szCs w:val="18"/>
              </w:rPr>
            </w:pPr>
            <w:r>
              <w:rPr>
                <w:rFonts w:hint="eastAsia" w:ascii="宋体" w:hAnsi="宋体"/>
                <w:sz w:val="18"/>
                <w:szCs w:val="18"/>
              </w:rPr>
              <w:t>——服务文明性、规范性；</w:t>
            </w:r>
          </w:p>
          <w:p w14:paraId="0937766B">
            <w:pPr>
              <w:ind w:firstLine="360" w:firstLineChars="200"/>
              <w:rPr>
                <w:rFonts w:ascii="宋体" w:hAnsi="宋体"/>
                <w:sz w:val="18"/>
                <w:szCs w:val="18"/>
              </w:rPr>
            </w:pPr>
            <w:r>
              <w:rPr>
                <w:rFonts w:hint="eastAsia" w:ascii="宋体" w:hAnsi="宋体"/>
                <w:sz w:val="18"/>
                <w:szCs w:val="18"/>
              </w:rPr>
              <w:t>——设施设备完好率；</w:t>
            </w:r>
          </w:p>
          <w:p w14:paraId="14E25B5A">
            <w:pPr>
              <w:ind w:firstLine="360" w:firstLineChars="200"/>
              <w:rPr>
                <w:rFonts w:ascii="宋体" w:hAnsi="宋体"/>
                <w:sz w:val="18"/>
                <w:szCs w:val="18"/>
              </w:rPr>
            </w:pPr>
            <w:r>
              <w:rPr>
                <w:rFonts w:hint="eastAsia" w:ascii="宋体" w:hAnsi="宋体"/>
                <w:sz w:val="18"/>
                <w:szCs w:val="18"/>
              </w:rPr>
              <w:t>——服务到位、及时性；</w:t>
            </w:r>
          </w:p>
          <w:p w14:paraId="5363A56D">
            <w:pPr>
              <w:ind w:firstLine="360" w:firstLineChars="200"/>
              <w:rPr>
                <w:rFonts w:ascii="宋体" w:hAnsi="宋体"/>
                <w:sz w:val="18"/>
                <w:szCs w:val="18"/>
              </w:rPr>
            </w:pPr>
            <w:r>
              <w:rPr>
                <w:rFonts w:hint="eastAsia" w:ascii="宋体" w:hAnsi="宋体"/>
                <w:sz w:val="18"/>
                <w:szCs w:val="18"/>
              </w:rPr>
              <w:t>——合同履约情况；</w:t>
            </w:r>
          </w:p>
          <w:p w14:paraId="336BF790">
            <w:pPr>
              <w:ind w:firstLine="360" w:firstLineChars="200"/>
              <w:rPr>
                <w:rFonts w:ascii="宋体" w:hAnsi="宋体"/>
                <w:sz w:val="18"/>
                <w:szCs w:val="18"/>
              </w:rPr>
            </w:pPr>
            <w:r>
              <w:rPr>
                <w:rFonts w:hint="eastAsia" w:ascii="宋体" w:hAnsi="宋体"/>
                <w:sz w:val="18"/>
                <w:szCs w:val="18"/>
              </w:rPr>
              <w:t>——总体满意度等。</w:t>
            </w:r>
          </w:p>
          <w:p w14:paraId="2B231481">
            <w:pPr>
              <w:ind w:firstLine="360" w:firstLineChars="200"/>
              <w:rPr>
                <w:rFonts w:ascii="宋体" w:hAnsi="宋体"/>
                <w:sz w:val="18"/>
                <w:szCs w:val="18"/>
              </w:rPr>
            </w:pPr>
            <w:r>
              <w:rPr>
                <w:rFonts w:hint="eastAsia" w:ascii="宋体" w:hAnsi="宋体"/>
                <w:sz w:val="18"/>
                <w:szCs w:val="18"/>
              </w:rPr>
              <w:t>c</w:t>
            </w:r>
            <w:r>
              <w:rPr>
                <w:rFonts w:ascii="宋体" w:hAnsi="宋体"/>
                <w:sz w:val="18"/>
                <w:szCs w:val="18"/>
              </w:rPr>
              <w:t>)</w:t>
            </w:r>
            <w:r>
              <w:rPr>
                <w:rFonts w:hint="eastAsia" w:ascii="宋体" w:hAnsi="宋体"/>
                <w:sz w:val="18"/>
                <w:szCs w:val="18"/>
              </w:rPr>
              <w:t>定期或不定期抽样查阅服务对象的反馈意见、服务过程记录等相关信息，预防不合格服务的发生。</w:t>
            </w:r>
          </w:p>
          <w:p w14:paraId="38202227">
            <w:pPr>
              <w:ind w:firstLine="360" w:firstLineChars="200"/>
              <w:rPr>
                <w:rFonts w:ascii="等线" w:hAnsi="等线" w:eastAsia="等线" w:cs="宋体"/>
                <w:color w:val="000000"/>
                <w:kern w:val="0"/>
                <w:sz w:val="18"/>
                <w:szCs w:val="18"/>
              </w:rPr>
            </w:pPr>
            <w:r>
              <w:rPr>
                <w:rFonts w:hint="eastAsia" w:ascii="宋体" w:hAnsi="宋体"/>
                <w:sz w:val="18"/>
                <w:szCs w:val="18"/>
              </w:rPr>
              <w:t>d)定期或不定期回访服务对象的家属/监护人，进行服务满意调查。</w:t>
            </w:r>
          </w:p>
        </w:tc>
        <w:tc>
          <w:tcPr>
            <w:tcW w:w="850" w:type="dxa"/>
            <w:tcBorders>
              <w:top w:val="nil"/>
              <w:left w:val="nil"/>
              <w:right w:val="single" w:color="auto" w:sz="4" w:space="0"/>
            </w:tcBorders>
            <w:shd w:val="clear" w:color="auto" w:fill="auto"/>
            <w:noWrap/>
            <w:vAlign w:val="center"/>
          </w:tcPr>
          <w:p w14:paraId="7B34BB94">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07" w:type="dxa"/>
            <w:tcBorders>
              <w:top w:val="nil"/>
              <w:left w:val="nil"/>
              <w:right w:val="single" w:color="auto" w:sz="4" w:space="0"/>
            </w:tcBorders>
            <w:shd w:val="clear" w:color="auto" w:fill="auto"/>
            <w:vAlign w:val="center"/>
          </w:tcPr>
          <w:p w14:paraId="470AE562">
            <w:pPr>
              <w:widowControl/>
              <w:adjustRightInd/>
              <w:spacing w:line="240" w:lineRule="auto"/>
              <w:jc w:val="center"/>
              <w:rPr>
                <w:rFonts w:ascii="等线" w:hAnsi="等线" w:eastAsia="等线" w:cs="宋体"/>
                <w:color w:val="000000"/>
                <w:kern w:val="0"/>
                <w:sz w:val="22"/>
                <w:szCs w:val="22"/>
              </w:rPr>
            </w:pPr>
          </w:p>
        </w:tc>
        <w:tc>
          <w:tcPr>
            <w:tcW w:w="709" w:type="dxa"/>
            <w:tcBorders>
              <w:top w:val="nil"/>
              <w:left w:val="nil"/>
              <w:right w:val="single" w:color="auto" w:sz="4" w:space="0"/>
            </w:tcBorders>
            <w:shd w:val="clear" w:color="auto" w:fill="auto"/>
            <w:vAlign w:val="center"/>
          </w:tcPr>
          <w:p w14:paraId="2F494866">
            <w:pPr>
              <w:widowControl/>
              <w:adjustRightInd/>
              <w:spacing w:line="240" w:lineRule="auto"/>
              <w:jc w:val="center"/>
              <w:rPr>
                <w:rFonts w:ascii="等线" w:hAnsi="等线" w:eastAsia="等线" w:cs="宋体"/>
                <w:color w:val="000000"/>
                <w:kern w:val="0"/>
                <w:sz w:val="22"/>
                <w:szCs w:val="22"/>
              </w:rPr>
            </w:pPr>
          </w:p>
        </w:tc>
        <w:tc>
          <w:tcPr>
            <w:tcW w:w="709" w:type="dxa"/>
            <w:tcBorders>
              <w:top w:val="nil"/>
              <w:left w:val="nil"/>
              <w:right w:val="single" w:color="auto" w:sz="4" w:space="0"/>
            </w:tcBorders>
          </w:tcPr>
          <w:p w14:paraId="13012363">
            <w:pPr>
              <w:widowControl/>
              <w:adjustRightInd/>
              <w:spacing w:line="240" w:lineRule="auto"/>
              <w:jc w:val="center"/>
              <w:rPr>
                <w:rFonts w:ascii="等线" w:hAnsi="等线" w:eastAsia="等线" w:cs="宋体"/>
                <w:color w:val="000000"/>
                <w:kern w:val="0"/>
                <w:sz w:val="22"/>
                <w:szCs w:val="22"/>
              </w:rPr>
            </w:pPr>
          </w:p>
        </w:tc>
      </w:tr>
      <w:tr w14:paraId="0D2AE62A">
        <w:tblPrEx>
          <w:tblCellMar>
            <w:top w:w="0" w:type="dxa"/>
            <w:left w:w="108" w:type="dxa"/>
            <w:bottom w:w="0" w:type="dxa"/>
            <w:right w:w="108" w:type="dxa"/>
          </w:tblCellMar>
        </w:tblPrEx>
        <w:trPr>
          <w:trHeight w:val="142" w:hRule="atLeast"/>
        </w:trPr>
        <w:tc>
          <w:tcPr>
            <w:tcW w:w="562" w:type="dxa"/>
            <w:vMerge w:val="continue"/>
            <w:tcBorders>
              <w:left w:val="single" w:color="auto" w:sz="4" w:space="0"/>
              <w:right w:val="single" w:color="auto" w:sz="4" w:space="0"/>
            </w:tcBorders>
            <w:shd w:val="clear" w:color="auto" w:fill="auto"/>
            <w:noWrap/>
            <w:vAlign w:val="center"/>
          </w:tcPr>
          <w:p w14:paraId="6D855AA2">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right w:val="single" w:color="auto" w:sz="4" w:space="0"/>
            </w:tcBorders>
            <w:shd w:val="clear" w:color="auto" w:fill="auto"/>
            <w:vAlign w:val="center"/>
          </w:tcPr>
          <w:p w14:paraId="79BA967D">
            <w:pPr>
              <w:widowControl/>
              <w:adjustRightInd/>
              <w:spacing w:line="240" w:lineRule="auto"/>
              <w:jc w:val="left"/>
              <w:rPr>
                <w:rFonts w:ascii="等线" w:hAnsi="等线" w:eastAsia="等线" w:cs="宋体"/>
                <w:color w:val="000000"/>
                <w:kern w:val="0"/>
                <w:sz w:val="22"/>
                <w:szCs w:val="22"/>
              </w:rPr>
            </w:pPr>
          </w:p>
        </w:tc>
        <w:tc>
          <w:tcPr>
            <w:tcW w:w="766" w:type="dxa"/>
            <w:vMerge w:val="continue"/>
            <w:tcBorders>
              <w:left w:val="nil"/>
              <w:right w:val="single" w:color="auto" w:sz="4" w:space="0"/>
            </w:tcBorders>
            <w:shd w:val="clear" w:color="auto" w:fill="auto"/>
            <w:vAlign w:val="center"/>
          </w:tcPr>
          <w:p w14:paraId="31166236">
            <w:pPr>
              <w:widowControl/>
              <w:adjustRightInd/>
              <w:spacing w:line="240" w:lineRule="auto"/>
              <w:jc w:val="left"/>
              <w:rPr>
                <w:rFonts w:ascii="等线" w:hAnsi="等线" w:eastAsia="等线" w:cs="宋体"/>
                <w:color w:val="000000"/>
                <w:kern w:val="0"/>
                <w:sz w:val="18"/>
                <w:szCs w:val="18"/>
              </w:rPr>
            </w:pP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1E28F703">
            <w:pPr>
              <w:rPr>
                <w:rFonts w:ascii="宋体" w:hAnsi="宋体"/>
                <w:sz w:val="18"/>
                <w:szCs w:val="18"/>
              </w:rPr>
            </w:pPr>
            <w:r>
              <w:rPr>
                <w:rFonts w:hint="eastAsia" w:ascii="等线" w:hAnsi="等线" w:eastAsia="等线" w:cs="宋体"/>
                <w:color w:val="000000"/>
                <w:kern w:val="0"/>
                <w:sz w:val="18"/>
                <w:szCs w:val="18"/>
              </w:rPr>
              <w:t>2、</w:t>
            </w:r>
            <w:r>
              <w:rPr>
                <w:rFonts w:hint="eastAsia" w:ascii="宋体" w:hAnsi="宋体"/>
                <w:sz w:val="18"/>
                <w:szCs w:val="18"/>
              </w:rPr>
              <w:t>对服务实效的评价,包括但不限于:（</w:t>
            </w:r>
            <w:r>
              <w:rPr>
                <w:rFonts w:ascii="宋体" w:hAnsi="宋体"/>
                <w:sz w:val="18"/>
                <w:szCs w:val="18"/>
              </w:rPr>
              <w:t>5</w:t>
            </w:r>
            <w:r>
              <w:rPr>
                <w:rFonts w:hint="eastAsia" w:ascii="宋体" w:hAnsi="宋体"/>
                <w:sz w:val="18"/>
                <w:szCs w:val="18"/>
              </w:rPr>
              <w:t>分）</w:t>
            </w:r>
          </w:p>
          <w:p w14:paraId="4FA4B24B">
            <w:pPr>
              <w:ind w:left="420" w:leftChars="200"/>
              <w:rPr>
                <w:rFonts w:ascii="宋体" w:hAnsi="宋体"/>
                <w:sz w:val="18"/>
                <w:szCs w:val="18"/>
              </w:rPr>
            </w:pPr>
            <w:r>
              <w:rPr>
                <w:rFonts w:hint="eastAsia" w:ascii="宋体" w:hAnsi="宋体"/>
                <w:sz w:val="18"/>
                <w:szCs w:val="18"/>
              </w:rPr>
              <w:t>a</w:t>
            </w:r>
            <w:r>
              <w:rPr>
                <w:rFonts w:ascii="宋体" w:hAnsi="宋体"/>
                <w:sz w:val="18"/>
                <w:szCs w:val="18"/>
              </w:rPr>
              <w:t>)</w:t>
            </w:r>
            <w:r>
              <w:rPr>
                <w:rFonts w:hint="eastAsia" w:ascii="宋体" w:hAnsi="宋体"/>
                <w:sz w:val="18"/>
                <w:szCs w:val="18"/>
              </w:rPr>
              <w:t>社区居家养老服务提供者近一年服务项目完成率；</w:t>
            </w:r>
          </w:p>
          <w:p w14:paraId="561D8BD6">
            <w:pPr>
              <w:ind w:left="420" w:leftChars="200"/>
              <w:rPr>
                <w:rFonts w:ascii="宋体" w:hAnsi="宋体"/>
                <w:sz w:val="18"/>
                <w:szCs w:val="18"/>
              </w:rPr>
            </w:pPr>
            <w:r>
              <w:rPr>
                <w:rFonts w:hint="eastAsia" w:ascii="宋体" w:hAnsi="宋体"/>
                <w:sz w:val="18"/>
                <w:szCs w:val="18"/>
              </w:rPr>
              <w:t>b</w:t>
            </w:r>
            <w:r>
              <w:rPr>
                <w:rFonts w:ascii="宋体" w:hAnsi="宋体"/>
                <w:sz w:val="18"/>
                <w:szCs w:val="18"/>
              </w:rPr>
              <w:t>)</w:t>
            </w:r>
            <w:r>
              <w:rPr>
                <w:rFonts w:hint="eastAsia" w:ascii="宋体" w:hAnsi="宋体"/>
                <w:sz w:val="18"/>
                <w:szCs w:val="18"/>
              </w:rPr>
              <w:t>有效投诉结案率；</w:t>
            </w:r>
          </w:p>
          <w:p w14:paraId="29AFA4D4">
            <w:pPr>
              <w:ind w:left="420" w:leftChars="200"/>
              <w:rPr>
                <w:rFonts w:ascii="等线" w:hAnsi="等线" w:eastAsia="等线" w:cs="宋体"/>
                <w:color w:val="000000"/>
                <w:kern w:val="0"/>
                <w:sz w:val="18"/>
                <w:szCs w:val="18"/>
              </w:rPr>
            </w:pPr>
            <w:r>
              <w:rPr>
                <w:rFonts w:ascii="宋体" w:hAnsi="宋体"/>
                <w:sz w:val="18"/>
                <w:szCs w:val="18"/>
              </w:rPr>
              <w:t>c)</w:t>
            </w:r>
            <w:r>
              <w:rPr>
                <w:rFonts w:hint="eastAsia" w:ascii="宋体" w:hAnsi="宋体"/>
                <w:sz w:val="18"/>
                <w:szCs w:val="18"/>
              </w:rPr>
              <w:t>政府购买服务项目完成率及质量达标率。</w:t>
            </w:r>
          </w:p>
        </w:tc>
        <w:tc>
          <w:tcPr>
            <w:tcW w:w="850" w:type="dxa"/>
            <w:tcBorders>
              <w:left w:val="nil"/>
              <w:right w:val="single" w:color="auto" w:sz="4" w:space="0"/>
            </w:tcBorders>
            <w:shd w:val="clear" w:color="auto" w:fill="auto"/>
            <w:noWrap/>
            <w:vAlign w:val="center"/>
          </w:tcPr>
          <w:p w14:paraId="2E985193">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07" w:type="dxa"/>
            <w:tcBorders>
              <w:left w:val="nil"/>
              <w:right w:val="single" w:color="auto" w:sz="4" w:space="0"/>
            </w:tcBorders>
            <w:shd w:val="clear" w:color="auto" w:fill="auto"/>
            <w:vAlign w:val="center"/>
          </w:tcPr>
          <w:p w14:paraId="22E8AEE6">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212E9EB5">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34AD8513">
            <w:pPr>
              <w:widowControl/>
              <w:adjustRightInd/>
              <w:spacing w:line="240" w:lineRule="auto"/>
              <w:jc w:val="center"/>
              <w:rPr>
                <w:rFonts w:ascii="等线" w:hAnsi="等线" w:eastAsia="等线" w:cs="宋体"/>
                <w:color w:val="000000"/>
                <w:kern w:val="0"/>
                <w:sz w:val="22"/>
                <w:szCs w:val="22"/>
              </w:rPr>
            </w:pPr>
          </w:p>
        </w:tc>
      </w:tr>
      <w:tr w14:paraId="6F13B9C3">
        <w:tblPrEx>
          <w:tblCellMar>
            <w:top w:w="0" w:type="dxa"/>
            <w:left w:w="108" w:type="dxa"/>
            <w:bottom w:w="0" w:type="dxa"/>
            <w:right w:w="108" w:type="dxa"/>
          </w:tblCellMar>
        </w:tblPrEx>
        <w:trPr>
          <w:trHeight w:val="141" w:hRule="atLeast"/>
        </w:trPr>
        <w:tc>
          <w:tcPr>
            <w:tcW w:w="562" w:type="dxa"/>
            <w:vMerge w:val="continue"/>
            <w:tcBorders>
              <w:left w:val="single" w:color="auto" w:sz="4" w:space="0"/>
              <w:right w:val="single" w:color="auto" w:sz="4" w:space="0"/>
            </w:tcBorders>
            <w:shd w:val="clear" w:color="auto" w:fill="auto"/>
            <w:noWrap/>
            <w:vAlign w:val="center"/>
          </w:tcPr>
          <w:p w14:paraId="12AC3F13">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right w:val="single" w:color="auto" w:sz="4" w:space="0"/>
            </w:tcBorders>
            <w:shd w:val="clear" w:color="auto" w:fill="auto"/>
            <w:vAlign w:val="center"/>
          </w:tcPr>
          <w:p w14:paraId="1AA1F502">
            <w:pPr>
              <w:widowControl/>
              <w:adjustRightInd/>
              <w:spacing w:line="240" w:lineRule="auto"/>
              <w:jc w:val="left"/>
              <w:rPr>
                <w:rFonts w:ascii="等线" w:hAnsi="等线" w:eastAsia="等线" w:cs="宋体"/>
                <w:color w:val="000000"/>
                <w:kern w:val="0"/>
                <w:sz w:val="22"/>
                <w:szCs w:val="22"/>
              </w:rPr>
            </w:pPr>
          </w:p>
        </w:tc>
        <w:tc>
          <w:tcPr>
            <w:tcW w:w="766" w:type="dxa"/>
            <w:vMerge w:val="continue"/>
            <w:tcBorders>
              <w:left w:val="nil"/>
              <w:bottom w:val="single" w:color="auto" w:sz="4" w:space="0"/>
              <w:right w:val="single" w:color="auto" w:sz="4" w:space="0"/>
            </w:tcBorders>
            <w:shd w:val="clear" w:color="auto" w:fill="auto"/>
            <w:vAlign w:val="center"/>
          </w:tcPr>
          <w:p w14:paraId="033B2983">
            <w:pPr>
              <w:widowControl/>
              <w:adjustRightInd/>
              <w:spacing w:line="240" w:lineRule="auto"/>
              <w:jc w:val="left"/>
              <w:rPr>
                <w:rFonts w:ascii="等线" w:hAnsi="等线" w:eastAsia="等线" w:cs="宋体"/>
                <w:color w:val="000000"/>
                <w:kern w:val="0"/>
                <w:sz w:val="18"/>
                <w:szCs w:val="18"/>
              </w:rPr>
            </w:pP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403F25F8">
            <w:pPr>
              <w:rPr>
                <w:rFonts w:ascii="宋体" w:hAnsi="宋体"/>
                <w:sz w:val="18"/>
                <w:szCs w:val="18"/>
              </w:rPr>
            </w:pPr>
            <w:r>
              <w:rPr>
                <w:rFonts w:hint="eastAsia" w:ascii="等线" w:hAnsi="等线" w:eastAsia="等线" w:cs="宋体"/>
                <w:color w:val="000000"/>
                <w:kern w:val="0"/>
                <w:sz w:val="18"/>
                <w:szCs w:val="18"/>
              </w:rPr>
              <w:t>3、</w:t>
            </w:r>
            <w:r>
              <w:rPr>
                <w:rFonts w:hint="eastAsia" w:ascii="宋体" w:hAnsi="宋体"/>
                <w:sz w:val="18"/>
                <w:szCs w:val="18"/>
              </w:rPr>
              <w:t>对可持续性的评价，包括但不限于:（</w:t>
            </w:r>
            <w:r>
              <w:rPr>
                <w:rFonts w:ascii="宋体" w:hAnsi="宋体"/>
                <w:sz w:val="18"/>
                <w:szCs w:val="18"/>
              </w:rPr>
              <w:t>5</w:t>
            </w:r>
            <w:r>
              <w:rPr>
                <w:rFonts w:hint="eastAsia" w:ascii="宋体" w:hAnsi="宋体"/>
                <w:sz w:val="18"/>
                <w:szCs w:val="18"/>
              </w:rPr>
              <w:t>分）</w:t>
            </w:r>
          </w:p>
          <w:p w14:paraId="37752657">
            <w:pPr>
              <w:ind w:firstLine="360" w:firstLineChars="200"/>
              <w:rPr>
                <w:rFonts w:ascii="宋体" w:hAnsi="宋体"/>
                <w:sz w:val="18"/>
                <w:szCs w:val="18"/>
              </w:rPr>
            </w:pPr>
            <w:r>
              <w:rPr>
                <w:rFonts w:hint="eastAsia" w:ascii="宋体" w:hAnsi="宋体"/>
                <w:sz w:val="18"/>
                <w:szCs w:val="18"/>
              </w:rPr>
              <w:t>a)居家养老服务提供者近一年资产运营状况;</w:t>
            </w:r>
          </w:p>
          <w:p w14:paraId="00EE9632">
            <w:pPr>
              <w:ind w:firstLine="360" w:firstLineChars="200"/>
              <w:rPr>
                <w:rFonts w:ascii="等线" w:hAnsi="等线" w:eastAsia="等线" w:cs="宋体"/>
                <w:color w:val="000000"/>
                <w:kern w:val="0"/>
                <w:sz w:val="18"/>
                <w:szCs w:val="18"/>
              </w:rPr>
            </w:pPr>
            <w:r>
              <w:rPr>
                <w:rFonts w:hint="eastAsia" w:ascii="宋体" w:hAnsi="宋体"/>
                <w:sz w:val="18"/>
                <w:szCs w:val="18"/>
              </w:rPr>
              <w:t>b</w:t>
            </w:r>
            <w:r>
              <w:rPr>
                <w:rFonts w:ascii="宋体" w:hAnsi="宋体"/>
                <w:sz w:val="18"/>
                <w:szCs w:val="18"/>
              </w:rPr>
              <w:t>)</w:t>
            </w:r>
            <w:r>
              <w:rPr>
                <w:rFonts w:hint="eastAsia" w:ascii="宋体" w:hAnsi="宋体"/>
                <w:sz w:val="18"/>
                <w:szCs w:val="18"/>
              </w:rPr>
              <w:t>固定资产的增长情况。</w:t>
            </w:r>
          </w:p>
        </w:tc>
        <w:tc>
          <w:tcPr>
            <w:tcW w:w="850" w:type="dxa"/>
            <w:tcBorders>
              <w:left w:val="nil"/>
              <w:right w:val="single" w:color="auto" w:sz="4" w:space="0"/>
            </w:tcBorders>
            <w:shd w:val="clear" w:color="auto" w:fill="auto"/>
            <w:noWrap/>
            <w:vAlign w:val="center"/>
          </w:tcPr>
          <w:p w14:paraId="22DD892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807" w:type="dxa"/>
            <w:tcBorders>
              <w:left w:val="nil"/>
              <w:right w:val="single" w:color="auto" w:sz="4" w:space="0"/>
            </w:tcBorders>
            <w:shd w:val="clear" w:color="auto" w:fill="auto"/>
            <w:vAlign w:val="center"/>
          </w:tcPr>
          <w:p w14:paraId="32A7BC44">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564039F5">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5C29A379">
            <w:pPr>
              <w:widowControl/>
              <w:adjustRightInd/>
              <w:spacing w:line="240" w:lineRule="auto"/>
              <w:jc w:val="center"/>
              <w:rPr>
                <w:rFonts w:ascii="等线" w:hAnsi="等线" w:eastAsia="等线" w:cs="宋体"/>
                <w:color w:val="000000"/>
                <w:kern w:val="0"/>
                <w:sz w:val="22"/>
                <w:szCs w:val="22"/>
              </w:rPr>
            </w:pPr>
          </w:p>
        </w:tc>
      </w:tr>
      <w:tr w14:paraId="436C22FB">
        <w:tblPrEx>
          <w:tblCellMar>
            <w:top w:w="0" w:type="dxa"/>
            <w:left w:w="108" w:type="dxa"/>
            <w:bottom w:w="0" w:type="dxa"/>
            <w:right w:w="108" w:type="dxa"/>
          </w:tblCellMar>
        </w:tblPrEx>
        <w:trPr>
          <w:trHeight w:val="429" w:hRule="atLeast"/>
        </w:trPr>
        <w:tc>
          <w:tcPr>
            <w:tcW w:w="562" w:type="dxa"/>
            <w:vMerge w:val="continue"/>
            <w:tcBorders>
              <w:left w:val="single" w:color="auto" w:sz="4" w:space="0"/>
              <w:right w:val="single" w:color="auto" w:sz="4" w:space="0"/>
            </w:tcBorders>
            <w:shd w:val="clear" w:color="auto" w:fill="auto"/>
            <w:noWrap/>
            <w:vAlign w:val="center"/>
          </w:tcPr>
          <w:p w14:paraId="048974A0">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right w:val="single" w:color="auto" w:sz="4" w:space="0"/>
            </w:tcBorders>
            <w:shd w:val="clear" w:color="auto" w:fill="auto"/>
            <w:vAlign w:val="center"/>
          </w:tcPr>
          <w:p w14:paraId="00AC21B2">
            <w:pPr>
              <w:widowControl/>
              <w:adjustRightInd/>
              <w:spacing w:line="240" w:lineRule="auto"/>
              <w:jc w:val="left"/>
              <w:rPr>
                <w:rFonts w:ascii="等线" w:hAnsi="等线" w:eastAsia="等线" w:cs="宋体"/>
                <w:color w:val="000000"/>
                <w:kern w:val="0"/>
                <w:sz w:val="22"/>
                <w:szCs w:val="22"/>
              </w:rPr>
            </w:pPr>
          </w:p>
        </w:tc>
        <w:tc>
          <w:tcPr>
            <w:tcW w:w="766" w:type="dxa"/>
            <w:vMerge w:val="restart"/>
            <w:tcBorders>
              <w:top w:val="single" w:color="auto" w:sz="4" w:space="0"/>
              <w:left w:val="nil"/>
              <w:right w:val="single" w:color="auto" w:sz="4" w:space="0"/>
            </w:tcBorders>
            <w:shd w:val="clear" w:color="auto" w:fill="auto"/>
            <w:vAlign w:val="center"/>
          </w:tcPr>
          <w:p w14:paraId="4BC68F52">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经济社会效益</w:t>
            </w:r>
          </w:p>
          <w:p w14:paraId="5684520E">
            <w:pPr>
              <w:widowControl/>
              <w:adjustRightInd/>
              <w:spacing w:line="240" w:lineRule="auto"/>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w:t>
            </w:r>
            <w:r>
              <w:rPr>
                <w:rFonts w:ascii="等线" w:hAnsi="等线" w:eastAsia="等线" w:cs="宋体"/>
                <w:color w:val="000000"/>
                <w:kern w:val="0"/>
                <w:sz w:val="18"/>
                <w:szCs w:val="18"/>
              </w:rPr>
              <w:t>0</w:t>
            </w:r>
            <w:r>
              <w:rPr>
                <w:rFonts w:hint="eastAsia" w:ascii="等线" w:hAnsi="等线" w:eastAsia="等线" w:cs="宋体"/>
                <w:color w:val="000000"/>
                <w:kern w:val="0"/>
                <w:sz w:val="18"/>
                <w:szCs w:val="18"/>
              </w:rPr>
              <w:t>）</w:t>
            </w: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40B65908">
            <w:pPr>
              <w:rPr>
                <w:rFonts w:ascii="宋体" w:hAnsi="宋体"/>
                <w:sz w:val="18"/>
                <w:szCs w:val="18"/>
              </w:rPr>
            </w:pPr>
            <w:r>
              <w:rPr>
                <w:rFonts w:hint="eastAsia" w:ascii="宋体" w:hAnsi="宋体"/>
                <w:sz w:val="18"/>
                <w:szCs w:val="18"/>
              </w:rPr>
              <w:t>1、对业务数量及增长情况的评价,包括但不限于:（</w:t>
            </w:r>
            <w:r>
              <w:rPr>
                <w:rFonts w:ascii="宋体" w:hAnsi="宋体"/>
                <w:sz w:val="18"/>
                <w:szCs w:val="18"/>
              </w:rPr>
              <w:t>10</w:t>
            </w:r>
            <w:r>
              <w:rPr>
                <w:rFonts w:hint="eastAsia" w:ascii="宋体" w:hAnsi="宋体"/>
                <w:sz w:val="18"/>
                <w:szCs w:val="18"/>
              </w:rPr>
              <w:t>分）</w:t>
            </w:r>
          </w:p>
          <w:p w14:paraId="0367CB02">
            <w:pPr>
              <w:ind w:left="420" w:leftChars="200"/>
              <w:rPr>
                <w:rFonts w:ascii="宋体" w:hAnsi="宋体"/>
                <w:sz w:val="18"/>
                <w:szCs w:val="18"/>
              </w:rPr>
            </w:pPr>
            <w:r>
              <w:rPr>
                <w:rFonts w:hint="eastAsia" w:ascii="宋体" w:hAnsi="宋体"/>
                <w:sz w:val="18"/>
                <w:szCs w:val="18"/>
              </w:rPr>
              <w:t>a</w:t>
            </w:r>
            <w:r>
              <w:rPr>
                <w:rFonts w:ascii="宋体" w:hAnsi="宋体"/>
                <w:sz w:val="18"/>
                <w:szCs w:val="18"/>
              </w:rPr>
              <w:t>)</w:t>
            </w:r>
            <w:r>
              <w:rPr>
                <w:rFonts w:hint="eastAsia" w:ascii="宋体" w:hAnsi="宋体"/>
                <w:sz w:val="18"/>
                <w:szCs w:val="18"/>
              </w:rPr>
              <w:t>社区居家养老服务提供者近一年完成或正在提供服务的业务数量;</w:t>
            </w:r>
          </w:p>
          <w:p w14:paraId="3570A20D">
            <w:pPr>
              <w:ind w:left="420" w:leftChars="200"/>
              <w:rPr>
                <w:rFonts w:ascii="宋体" w:hAnsi="宋体"/>
                <w:sz w:val="18"/>
                <w:szCs w:val="18"/>
              </w:rPr>
            </w:pPr>
            <w:r>
              <w:rPr>
                <w:rFonts w:hint="eastAsia" w:ascii="宋体" w:hAnsi="宋体"/>
                <w:sz w:val="18"/>
                <w:szCs w:val="18"/>
              </w:rPr>
              <w:t>b</w:t>
            </w:r>
            <w:r>
              <w:rPr>
                <w:rFonts w:ascii="宋体" w:hAnsi="宋体"/>
                <w:sz w:val="18"/>
                <w:szCs w:val="18"/>
              </w:rPr>
              <w:t>)</w:t>
            </w:r>
            <w:r>
              <w:rPr>
                <w:rFonts w:hint="eastAsia" w:ascii="宋体" w:hAnsi="宋体"/>
                <w:sz w:val="18"/>
                <w:szCs w:val="18"/>
              </w:rPr>
              <w:t>服务业务增长率;</w:t>
            </w:r>
          </w:p>
          <w:p w14:paraId="04DD2FC8">
            <w:pPr>
              <w:ind w:left="420" w:leftChars="200"/>
              <w:rPr>
                <w:rFonts w:ascii="等线" w:hAnsi="等线" w:eastAsia="等线" w:cs="宋体"/>
                <w:color w:val="000000"/>
                <w:kern w:val="0"/>
                <w:sz w:val="18"/>
                <w:szCs w:val="18"/>
              </w:rPr>
            </w:pPr>
            <w:r>
              <w:rPr>
                <w:rFonts w:hint="eastAsia" w:ascii="宋体" w:hAnsi="宋体"/>
                <w:sz w:val="18"/>
                <w:szCs w:val="18"/>
              </w:rPr>
              <w:t>c)服务人数增长率。</w:t>
            </w:r>
          </w:p>
        </w:tc>
        <w:tc>
          <w:tcPr>
            <w:tcW w:w="850" w:type="dxa"/>
            <w:tcBorders>
              <w:left w:val="nil"/>
              <w:right w:val="single" w:color="auto" w:sz="4" w:space="0"/>
            </w:tcBorders>
            <w:shd w:val="clear" w:color="auto" w:fill="auto"/>
            <w:noWrap/>
            <w:vAlign w:val="center"/>
          </w:tcPr>
          <w:p w14:paraId="1AE8B4C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r>
              <w:rPr>
                <w:rFonts w:ascii="等线" w:hAnsi="等线" w:eastAsia="等线" w:cs="宋体"/>
                <w:color w:val="000000"/>
                <w:kern w:val="0"/>
                <w:sz w:val="22"/>
                <w:szCs w:val="22"/>
              </w:rPr>
              <w:t>0</w:t>
            </w:r>
          </w:p>
        </w:tc>
        <w:tc>
          <w:tcPr>
            <w:tcW w:w="807" w:type="dxa"/>
            <w:tcBorders>
              <w:left w:val="nil"/>
              <w:right w:val="single" w:color="auto" w:sz="4" w:space="0"/>
            </w:tcBorders>
            <w:shd w:val="clear" w:color="auto" w:fill="auto"/>
            <w:vAlign w:val="center"/>
          </w:tcPr>
          <w:p w14:paraId="6BA607AC">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shd w:val="clear" w:color="auto" w:fill="auto"/>
            <w:vAlign w:val="center"/>
          </w:tcPr>
          <w:p w14:paraId="4D406C7D">
            <w:pPr>
              <w:widowControl/>
              <w:adjustRightInd/>
              <w:spacing w:line="240" w:lineRule="auto"/>
              <w:jc w:val="center"/>
              <w:rPr>
                <w:rFonts w:ascii="等线" w:hAnsi="等线" w:eastAsia="等线" w:cs="宋体"/>
                <w:color w:val="000000"/>
                <w:kern w:val="0"/>
                <w:sz w:val="22"/>
                <w:szCs w:val="22"/>
              </w:rPr>
            </w:pPr>
          </w:p>
        </w:tc>
        <w:tc>
          <w:tcPr>
            <w:tcW w:w="709" w:type="dxa"/>
            <w:tcBorders>
              <w:left w:val="nil"/>
              <w:right w:val="single" w:color="auto" w:sz="4" w:space="0"/>
            </w:tcBorders>
          </w:tcPr>
          <w:p w14:paraId="0A63F0F6">
            <w:pPr>
              <w:widowControl/>
              <w:adjustRightInd/>
              <w:spacing w:line="240" w:lineRule="auto"/>
              <w:jc w:val="center"/>
              <w:rPr>
                <w:rFonts w:ascii="等线" w:hAnsi="等线" w:eastAsia="等线" w:cs="宋体"/>
                <w:color w:val="000000"/>
                <w:kern w:val="0"/>
                <w:sz w:val="22"/>
                <w:szCs w:val="22"/>
              </w:rPr>
            </w:pPr>
          </w:p>
        </w:tc>
      </w:tr>
      <w:tr w14:paraId="334DE320">
        <w:tblPrEx>
          <w:tblCellMar>
            <w:top w:w="0" w:type="dxa"/>
            <w:left w:w="108" w:type="dxa"/>
            <w:bottom w:w="0" w:type="dxa"/>
            <w:right w:w="108" w:type="dxa"/>
          </w:tblCellMar>
        </w:tblPrEx>
        <w:trPr>
          <w:trHeight w:val="428" w:hRule="atLeast"/>
        </w:trPr>
        <w:tc>
          <w:tcPr>
            <w:tcW w:w="562" w:type="dxa"/>
            <w:vMerge w:val="continue"/>
            <w:tcBorders>
              <w:left w:val="single" w:color="auto" w:sz="4" w:space="0"/>
              <w:bottom w:val="single" w:color="auto" w:sz="4" w:space="0"/>
              <w:right w:val="single" w:color="auto" w:sz="4" w:space="0"/>
            </w:tcBorders>
            <w:shd w:val="clear" w:color="auto" w:fill="auto"/>
            <w:noWrap/>
            <w:vAlign w:val="center"/>
          </w:tcPr>
          <w:p w14:paraId="070B2EF4">
            <w:pPr>
              <w:widowControl/>
              <w:adjustRightInd/>
              <w:spacing w:line="240" w:lineRule="auto"/>
              <w:jc w:val="center"/>
              <w:rPr>
                <w:rFonts w:ascii="等线" w:hAnsi="等线" w:eastAsia="等线" w:cs="宋体"/>
                <w:color w:val="000000"/>
                <w:kern w:val="0"/>
                <w:sz w:val="22"/>
                <w:szCs w:val="22"/>
              </w:rPr>
            </w:pPr>
          </w:p>
        </w:tc>
        <w:tc>
          <w:tcPr>
            <w:tcW w:w="888" w:type="dxa"/>
            <w:vMerge w:val="continue"/>
            <w:tcBorders>
              <w:left w:val="single" w:color="auto" w:sz="4" w:space="0"/>
              <w:bottom w:val="nil"/>
              <w:right w:val="single" w:color="auto" w:sz="4" w:space="0"/>
            </w:tcBorders>
            <w:shd w:val="clear" w:color="auto" w:fill="auto"/>
            <w:vAlign w:val="center"/>
          </w:tcPr>
          <w:p w14:paraId="3A18FA87">
            <w:pPr>
              <w:widowControl/>
              <w:adjustRightInd/>
              <w:spacing w:line="240" w:lineRule="auto"/>
              <w:jc w:val="left"/>
              <w:rPr>
                <w:rFonts w:ascii="等线" w:hAnsi="等线" w:eastAsia="等线" w:cs="宋体"/>
                <w:color w:val="000000"/>
                <w:kern w:val="0"/>
                <w:sz w:val="22"/>
                <w:szCs w:val="22"/>
              </w:rPr>
            </w:pPr>
          </w:p>
        </w:tc>
        <w:tc>
          <w:tcPr>
            <w:tcW w:w="766" w:type="dxa"/>
            <w:vMerge w:val="continue"/>
            <w:tcBorders>
              <w:left w:val="nil"/>
              <w:bottom w:val="single" w:color="auto" w:sz="4" w:space="0"/>
              <w:right w:val="single" w:color="auto" w:sz="4" w:space="0"/>
            </w:tcBorders>
            <w:shd w:val="clear" w:color="auto" w:fill="auto"/>
            <w:vAlign w:val="center"/>
          </w:tcPr>
          <w:p w14:paraId="66CAC866">
            <w:pPr>
              <w:widowControl/>
              <w:adjustRightInd/>
              <w:spacing w:line="240" w:lineRule="auto"/>
              <w:jc w:val="left"/>
              <w:rPr>
                <w:rFonts w:ascii="等线" w:hAnsi="等线" w:eastAsia="等线" w:cs="宋体"/>
                <w:color w:val="000000"/>
                <w:kern w:val="0"/>
                <w:sz w:val="18"/>
                <w:szCs w:val="18"/>
              </w:rPr>
            </w:pPr>
          </w:p>
        </w:tc>
        <w:tc>
          <w:tcPr>
            <w:tcW w:w="4447" w:type="dxa"/>
            <w:gridSpan w:val="3"/>
            <w:tcBorders>
              <w:top w:val="single" w:color="auto" w:sz="4" w:space="0"/>
              <w:left w:val="nil"/>
              <w:bottom w:val="single" w:color="auto" w:sz="4" w:space="0"/>
              <w:right w:val="single" w:color="auto" w:sz="4" w:space="0"/>
            </w:tcBorders>
            <w:shd w:val="clear" w:color="auto" w:fill="auto"/>
            <w:vAlign w:val="center"/>
          </w:tcPr>
          <w:p w14:paraId="410EE6E6">
            <w:pPr>
              <w:rPr>
                <w:rFonts w:ascii="宋体" w:hAnsi="宋体"/>
                <w:sz w:val="18"/>
                <w:szCs w:val="18"/>
              </w:rPr>
            </w:pPr>
            <w:r>
              <w:rPr>
                <w:rFonts w:hint="eastAsia" w:ascii="宋体" w:hAnsi="宋体"/>
                <w:sz w:val="18"/>
                <w:szCs w:val="18"/>
              </w:rPr>
              <w:t>2、对口碑、声誉的评价,包括但不限于:（</w:t>
            </w:r>
            <w:r>
              <w:rPr>
                <w:rFonts w:ascii="宋体" w:hAnsi="宋体"/>
                <w:sz w:val="18"/>
                <w:szCs w:val="18"/>
              </w:rPr>
              <w:t>10</w:t>
            </w:r>
            <w:r>
              <w:rPr>
                <w:rFonts w:hint="eastAsia" w:ascii="宋体" w:hAnsi="宋体"/>
                <w:sz w:val="18"/>
                <w:szCs w:val="18"/>
              </w:rPr>
              <w:t>分）</w:t>
            </w:r>
          </w:p>
          <w:p w14:paraId="2197B834">
            <w:pPr>
              <w:ind w:left="2" w:leftChars="1" w:firstLine="424" w:firstLineChars="236"/>
              <w:rPr>
                <w:rFonts w:ascii="宋体" w:hAnsi="宋体"/>
                <w:sz w:val="18"/>
                <w:szCs w:val="18"/>
              </w:rPr>
            </w:pPr>
            <w:r>
              <w:rPr>
                <w:rFonts w:ascii="宋体" w:hAnsi="宋体"/>
                <w:sz w:val="18"/>
                <w:szCs w:val="18"/>
              </w:rPr>
              <w:t>a)</w:t>
            </w:r>
            <w:r>
              <w:rPr>
                <w:rFonts w:hint="eastAsia" w:ascii="宋体" w:hAnsi="宋体"/>
                <w:sz w:val="18"/>
                <w:szCs w:val="18"/>
              </w:rPr>
              <w:t>社会、媒体报道反响较好,诚实守信,依法经营,无违法违规记录,无重大事件的投诉；维护消费者和员工合法权益的情况，服务品牌的宣传推广的投入情况及服务品牌知名度在本地区和本行业的地位；</w:t>
            </w:r>
          </w:p>
          <w:p w14:paraId="22667230">
            <w:pPr>
              <w:ind w:firstLine="426" w:firstLineChars="237"/>
              <w:rPr>
                <w:rFonts w:ascii="宋体" w:hAnsi="宋体"/>
                <w:sz w:val="18"/>
                <w:szCs w:val="18"/>
              </w:rPr>
            </w:pPr>
            <w:r>
              <w:rPr>
                <w:rFonts w:ascii="宋体" w:hAnsi="宋体"/>
                <w:sz w:val="18"/>
                <w:szCs w:val="18"/>
              </w:rPr>
              <w:t>b)</w:t>
            </w:r>
            <w:r>
              <w:rPr>
                <w:rFonts w:hint="eastAsia" w:ascii="宋体" w:hAnsi="宋体"/>
                <w:sz w:val="18"/>
                <w:szCs w:val="18"/>
              </w:rPr>
              <w:t>获得国家、行业和(或)地方奖励、表彰的情况；</w:t>
            </w:r>
          </w:p>
          <w:p w14:paraId="7A99CC6C">
            <w:pPr>
              <w:ind w:firstLine="419" w:firstLineChars="233"/>
              <w:rPr>
                <w:rFonts w:ascii="宋体" w:hAnsi="宋体"/>
                <w:sz w:val="18"/>
                <w:szCs w:val="18"/>
              </w:rPr>
            </w:pPr>
            <w:r>
              <w:rPr>
                <w:rFonts w:hint="eastAsia" w:ascii="宋体" w:hAnsi="宋体"/>
                <w:sz w:val="18"/>
                <w:szCs w:val="18"/>
              </w:rPr>
              <w:t>c</w:t>
            </w:r>
            <w:r>
              <w:rPr>
                <w:rFonts w:ascii="宋体" w:hAnsi="宋体"/>
                <w:sz w:val="18"/>
                <w:szCs w:val="18"/>
              </w:rPr>
              <w:t>)</w:t>
            </w:r>
            <w:r>
              <w:rPr>
                <w:rFonts w:hint="eastAsia" w:ascii="宋体" w:hAnsi="宋体"/>
                <w:sz w:val="18"/>
                <w:szCs w:val="18"/>
              </w:rPr>
              <w:t>受到国家、行业和(或)地方处理、惩罚的情况。</w:t>
            </w:r>
          </w:p>
        </w:tc>
        <w:tc>
          <w:tcPr>
            <w:tcW w:w="850" w:type="dxa"/>
            <w:tcBorders>
              <w:left w:val="nil"/>
              <w:bottom w:val="single" w:color="auto" w:sz="4" w:space="0"/>
              <w:right w:val="single" w:color="auto" w:sz="4" w:space="0"/>
            </w:tcBorders>
            <w:shd w:val="clear" w:color="auto" w:fill="auto"/>
            <w:noWrap/>
            <w:vAlign w:val="center"/>
          </w:tcPr>
          <w:p w14:paraId="2086C28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r>
              <w:rPr>
                <w:rFonts w:ascii="等线" w:hAnsi="等线" w:eastAsia="等线" w:cs="宋体"/>
                <w:color w:val="000000"/>
                <w:kern w:val="0"/>
                <w:sz w:val="22"/>
                <w:szCs w:val="22"/>
              </w:rPr>
              <w:t>0</w:t>
            </w:r>
          </w:p>
        </w:tc>
        <w:tc>
          <w:tcPr>
            <w:tcW w:w="807" w:type="dxa"/>
            <w:tcBorders>
              <w:left w:val="nil"/>
              <w:bottom w:val="single" w:color="auto" w:sz="4" w:space="0"/>
              <w:right w:val="single" w:color="auto" w:sz="4" w:space="0"/>
            </w:tcBorders>
            <w:shd w:val="clear" w:color="auto" w:fill="auto"/>
            <w:vAlign w:val="center"/>
          </w:tcPr>
          <w:p w14:paraId="4DD8A6FD">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shd w:val="clear" w:color="auto" w:fill="auto"/>
            <w:vAlign w:val="center"/>
          </w:tcPr>
          <w:p w14:paraId="508F0B1A">
            <w:pPr>
              <w:widowControl/>
              <w:adjustRightInd/>
              <w:spacing w:line="240" w:lineRule="auto"/>
              <w:jc w:val="center"/>
              <w:rPr>
                <w:rFonts w:ascii="等线" w:hAnsi="等线" w:eastAsia="等线" w:cs="宋体"/>
                <w:color w:val="000000"/>
                <w:kern w:val="0"/>
                <w:sz w:val="22"/>
                <w:szCs w:val="22"/>
              </w:rPr>
            </w:pPr>
          </w:p>
        </w:tc>
        <w:tc>
          <w:tcPr>
            <w:tcW w:w="709" w:type="dxa"/>
            <w:tcBorders>
              <w:left w:val="nil"/>
              <w:bottom w:val="single" w:color="auto" w:sz="4" w:space="0"/>
              <w:right w:val="single" w:color="auto" w:sz="4" w:space="0"/>
            </w:tcBorders>
          </w:tcPr>
          <w:p w14:paraId="013D0DF9">
            <w:pPr>
              <w:widowControl/>
              <w:adjustRightInd/>
              <w:spacing w:line="240" w:lineRule="auto"/>
              <w:jc w:val="center"/>
              <w:rPr>
                <w:rFonts w:ascii="等线" w:hAnsi="等线" w:eastAsia="等线" w:cs="宋体"/>
                <w:color w:val="000000"/>
                <w:kern w:val="0"/>
                <w:sz w:val="22"/>
                <w:szCs w:val="22"/>
              </w:rPr>
            </w:pPr>
          </w:p>
        </w:tc>
      </w:tr>
      <w:tr w14:paraId="0A6478C8">
        <w:tblPrEx>
          <w:tblCellMar>
            <w:top w:w="0" w:type="dxa"/>
            <w:left w:w="108" w:type="dxa"/>
            <w:bottom w:w="0" w:type="dxa"/>
            <w:right w:w="108" w:type="dxa"/>
          </w:tblCellMar>
        </w:tblPrEx>
        <w:trPr>
          <w:trHeight w:val="520" w:hRule="atLeast"/>
        </w:trPr>
        <w:tc>
          <w:tcPr>
            <w:tcW w:w="562" w:type="dxa"/>
            <w:tcBorders>
              <w:top w:val="nil"/>
              <w:left w:val="single" w:color="auto" w:sz="4" w:space="0"/>
              <w:bottom w:val="single" w:color="auto" w:sz="4" w:space="0"/>
              <w:right w:val="single" w:color="auto" w:sz="4" w:space="0"/>
            </w:tcBorders>
            <w:shd w:val="clear" w:color="auto" w:fill="auto"/>
            <w:noWrap/>
            <w:vAlign w:val="center"/>
          </w:tcPr>
          <w:p w14:paraId="2B34C971">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6101" w:type="dxa"/>
            <w:gridSpan w:val="5"/>
            <w:tcBorders>
              <w:top w:val="single" w:color="auto" w:sz="4" w:space="0"/>
              <w:left w:val="nil"/>
              <w:bottom w:val="single" w:color="auto" w:sz="4" w:space="0"/>
              <w:right w:val="single" w:color="auto" w:sz="4" w:space="0"/>
            </w:tcBorders>
            <w:shd w:val="clear" w:color="auto" w:fill="auto"/>
            <w:noWrap/>
            <w:vAlign w:val="center"/>
          </w:tcPr>
          <w:p w14:paraId="15D55125">
            <w:pPr>
              <w:widowControl/>
              <w:adjustRightInd/>
              <w:spacing w:line="240" w:lineRule="auto"/>
              <w:jc w:val="right"/>
              <w:rPr>
                <w:rFonts w:ascii="等线" w:hAnsi="等线" w:eastAsia="等线" w:cs="宋体"/>
                <w:color w:val="000000"/>
                <w:kern w:val="0"/>
                <w:sz w:val="22"/>
                <w:szCs w:val="22"/>
              </w:rPr>
            </w:pPr>
            <w:r>
              <w:rPr>
                <w:rFonts w:hint="eastAsia" w:ascii="等线" w:hAnsi="等线" w:eastAsia="等线" w:cs="宋体"/>
                <w:color w:val="000000"/>
                <w:kern w:val="0"/>
                <w:sz w:val="22"/>
                <w:szCs w:val="22"/>
              </w:rPr>
              <w:t>总分</w:t>
            </w:r>
          </w:p>
        </w:tc>
        <w:tc>
          <w:tcPr>
            <w:tcW w:w="850" w:type="dxa"/>
            <w:tcBorders>
              <w:top w:val="nil"/>
              <w:left w:val="nil"/>
              <w:bottom w:val="single" w:color="auto" w:sz="4" w:space="0"/>
              <w:right w:val="single" w:color="auto" w:sz="4" w:space="0"/>
            </w:tcBorders>
            <w:shd w:val="clear" w:color="auto" w:fill="auto"/>
            <w:noWrap/>
            <w:vAlign w:val="center"/>
          </w:tcPr>
          <w:p w14:paraId="46CF8DD9">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807" w:type="dxa"/>
            <w:tcBorders>
              <w:top w:val="nil"/>
              <w:left w:val="nil"/>
              <w:bottom w:val="single" w:color="auto" w:sz="4" w:space="0"/>
              <w:right w:val="single" w:color="auto" w:sz="4" w:space="0"/>
            </w:tcBorders>
            <w:shd w:val="clear" w:color="auto" w:fill="auto"/>
            <w:noWrap/>
            <w:vAlign w:val="bottom"/>
          </w:tcPr>
          <w:p w14:paraId="6B9D7739">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shd w:val="clear" w:color="auto" w:fill="auto"/>
            <w:noWrap/>
            <w:vAlign w:val="bottom"/>
          </w:tcPr>
          <w:p w14:paraId="46367E2B">
            <w:pPr>
              <w:widowControl/>
              <w:adjustRightInd/>
              <w:spacing w:line="240" w:lineRule="auto"/>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tcPr>
          <w:p w14:paraId="3B3C4426">
            <w:pPr>
              <w:widowControl/>
              <w:adjustRightInd/>
              <w:spacing w:line="240" w:lineRule="auto"/>
              <w:jc w:val="left"/>
              <w:rPr>
                <w:rFonts w:ascii="等线" w:hAnsi="等线" w:eastAsia="等线" w:cs="宋体"/>
                <w:color w:val="000000"/>
                <w:kern w:val="0"/>
                <w:sz w:val="22"/>
                <w:szCs w:val="22"/>
              </w:rPr>
            </w:pPr>
          </w:p>
        </w:tc>
      </w:tr>
      <w:tr w14:paraId="65F03AE3">
        <w:tblPrEx>
          <w:tblCellMar>
            <w:top w:w="0" w:type="dxa"/>
            <w:left w:w="108" w:type="dxa"/>
            <w:bottom w:w="0" w:type="dxa"/>
            <w:right w:w="108" w:type="dxa"/>
          </w:tblCellMar>
        </w:tblPrEx>
        <w:trPr>
          <w:trHeight w:val="630" w:hRule="atLeast"/>
        </w:trPr>
        <w:tc>
          <w:tcPr>
            <w:tcW w:w="145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468B4AE">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评价人</w:t>
            </w:r>
          </w:p>
        </w:tc>
        <w:tc>
          <w:tcPr>
            <w:tcW w:w="1556" w:type="dxa"/>
            <w:gridSpan w:val="2"/>
            <w:tcBorders>
              <w:top w:val="single" w:color="auto" w:sz="4" w:space="0"/>
              <w:left w:val="nil"/>
              <w:bottom w:val="single" w:color="auto" w:sz="4" w:space="0"/>
              <w:right w:val="single" w:color="auto" w:sz="4" w:space="0"/>
            </w:tcBorders>
            <w:shd w:val="clear" w:color="auto" w:fill="auto"/>
            <w:vAlign w:val="center"/>
          </w:tcPr>
          <w:p w14:paraId="4BB0EC06">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040" w:type="dxa"/>
            <w:tcBorders>
              <w:top w:val="nil"/>
              <w:left w:val="nil"/>
              <w:bottom w:val="single" w:color="auto" w:sz="4" w:space="0"/>
              <w:right w:val="single" w:color="auto" w:sz="4" w:space="0"/>
            </w:tcBorders>
            <w:shd w:val="clear" w:color="auto" w:fill="auto"/>
            <w:vAlign w:val="center"/>
          </w:tcPr>
          <w:p w14:paraId="12A01420">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22"/>
                <w:szCs w:val="22"/>
              </w:rPr>
              <w:t>得分率</w:t>
            </w:r>
          </w:p>
        </w:tc>
        <w:tc>
          <w:tcPr>
            <w:tcW w:w="2617" w:type="dxa"/>
            <w:tcBorders>
              <w:top w:val="single" w:color="auto" w:sz="4" w:space="0"/>
              <w:left w:val="nil"/>
              <w:bottom w:val="single" w:color="auto" w:sz="4" w:space="0"/>
              <w:right w:val="single" w:color="auto" w:sz="4" w:space="0"/>
            </w:tcBorders>
            <w:shd w:val="clear" w:color="auto" w:fill="auto"/>
            <w:vAlign w:val="center"/>
          </w:tcPr>
          <w:p w14:paraId="4E501596">
            <w:pPr>
              <w:widowControl/>
              <w:adjustRightInd/>
              <w:spacing w:line="240" w:lineRule="auto"/>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　</w:t>
            </w:r>
          </w:p>
        </w:tc>
        <w:tc>
          <w:tcPr>
            <w:tcW w:w="1657" w:type="dxa"/>
            <w:gridSpan w:val="2"/>
            <w:tcBorders>
              <w:top w:val="single" w:color="auto" w:sz="4" w:space="0"/>
              <w:left w:val="nil"/>
              <w:bottom w:val="single" w:color="auto" w:sz="4" w:space="0"/>
              <w:right w:val="single" w:color="auto" w:sz="4" w:space="0"/>
            </w:tcBorders>
            <w:shd w:val="clear" w:color="auto" w:fill="auto"/>
            <w:noWrap/>
            <w:vAlign w:val="center"/>
          </w:tcPr>
          <w:p w14:paraId="7855B1BF">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评价结果</w:t>
            </w:r>
          </w:p>
        </w:tc>
        <w:tc>
          <w:tcPr>
            <w:tcW w:w="709" w:type="dxa"/>
            <w:tcBorders>
              <w:top w:val="nil"/>
              <w:left w:val="nil"/>
              <w:bottom w:val="single" w:color="auto" w:sz="4" w:space="0"/>
              <w:right w:val="single" w:color="auto" w:sz="4" w:space="0"/>
            </w:tcBorders>
            <w:shd w:val="clear" w:color="auto" w:fill="auto"/>
            <w:noWrap/>
            <w:vAlign w:val="center"/>
          </w:tcPr>
          <w:p w14:paraId="0D60F1FA">
            <w:pPr>
              <w:widowControl/>
              <w:adjustRightInd/>
              <w:spacing w:line="240" w:lineRule="auto"/>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　</w:t>
            </w:r>
          </w:p>
        </w:tc>
        <w:tc>
          <w:tcPr>
            <w:tcW w:w="709" w:type="dxa"/>
            <w:tcBorders>
              <w:top w:val="nil"/>
              <w:left w:val="nil"/>
              <w:bottom w:val="single" w:color="auto" w:sz="4" w:space="0"/>
              <w:right w:val="single" w:color="auto" w:sz="4" w:space="0"/>
            </w:tcBorders>
          </w:tcPr>
          <w:p w14:paraId="62432E57">
            <w:pPr>
              <w:widowControl/>
              <w:adjustRightInd/>
              <w:spacing w:line="240" w:lineRule="auto"/>
              <w:jc w:val="center"/>
              <w:rPr>
                <w:rFonts w:ascii="等线" w:hAnsi="等线" w:eastAsia="等线" w:cs="宋体"/>
                <w:color w:val="000000"/>
                <w:kern w:val="0"/>
                <w:sz w:val="22"/>
                <w:szCs w:val="22"/>
              </w:rPr>
            </w:pPr>
          </w:p>
        </w:tc>
      </w:tr>
    </w:tbl>
    <w:p w14:paraId="68B9F416">
      <w:pPr>
        <w:rPr>
          <w:rFonts w:ascii="黑体" w:hAnsi="黑体" w:eastAsia="黑体"/>
        </w:rPr>
      </w:pPr>
      <w:r>
        <w:rPr>
          <w:rFonts w:hint="eastAsia" w:ascii="黑体" w:hAnsi="黑体" w:eastAsia="黑体"/>
        </w:rPr>
        <w:t>注：</w:t>
      </w:r>
    </w:p>
    <w:p w14:paraId="4C9DF528">
      <w:pPr>
        <w:rPr>
          <w:rFonts w:ascii="黑体" w:hAnsi="黑体" w:eastAsia="黑体"/>
        </w:rPr>
      </w:pPr>
      <w:r>
        <w:rPr>
          <w:rFonts w:hint="eastAsia" w:ascii="黑体" w:hAnsi="黑体" w:eastAsia="黑体"/>
        </w:rPr>
        <w:t>（1）</w:t>
      </w:r>
      <w:r>
        <w:rPr>
          <w:rFonts w:hint="eastAsia" w:ascii="宋体" w:hAnsi="宋体"/>
        </w:rPr>
        <w:t>测评分=给定分值×体验系数α；体验系数评分规则见表2。</w:t>
      </w:r>
    </w:p>
    <w:p w14:paraId="0F9DB20F">
      <w:pPr>
        <w:rPr>
          <w:rFonts w:ascii="宋体" w:hAnsi="宋体"/>
        </w:rPr>
      </w:pPr>
      <w:r>
        <w:rPr>
          <w:rFonts w:hint="eastAsia" w:ascii="黑体" w:hAnsi="黑体" w:eastAsia="黑体"/>
        </w:rPr>
        <w:t>（2）</w:t>
      </w:r>
      <w:r>
        <w:rPr>
          <w:rFonts w:hint="eastAsia" w:ascii="宋体" w:hAnsi="宋体"/>
        </w:rPr>
        <w:t>得分率按照式（1）的方式计算，计算结果应为计算的实际数值向下取整。</w:t>
      </w:r>
    </w:p>
    <w:p w14:paraId="1102C2C8">
      <w:pPr>
        <w:rPr>
          <w:rFonts w:ascii="宋体" w:hAnsi="宋体"/>
        </w:rPr>
      </w:pPr>
    </w:p>
    <w:p w14:paraId="15AA557B">
      <w:pPr>
        <w:pStyle w:val="233"/>
        <w:ind w:firstLine="0" w:firstLineChars="0"/>
      </w:pPr>
      <m:oMathPara>
        <m:oMath>
          <m:r>
            <m:rPr/>
            <w:rPr>
              <w:rFonts w:ascii="Cambria Math" w:hAnsi="Cambria Math"/>
            </w:rPr>
            <m:t>S=</m:t>
          </m:r>
          <m:nary>
            <m:naryPr>
              <m:chr m:val="∑"/>
              <m:grow m:val="1"/>
              <m:ctrlPr>
                <w:rPr>
                  <w:rFonts w:ascii="Cambria Math" w:hAnsi="Cambria Math" w:eastAsia="Cambria Math"/>
                </w:rPr>
              </m:ctrlPr>
            </m:naryPr>
            <m:sub>
              <m:r>
                <m:rPr/>
                <w:rPr>
                  <w:rFonts w:ascii="Cambria Math" w:hAnsi="Cambria Math"/>
                </w:rPr>
                <m:t>i=1</m:t>
              </m:r>
              <m:ctrlPr>
                <w:rPr>
                  <w:rFonts w:ascii="Cambria Math" w:hAnsi="Cambria Math" w:eastAsia="Cambria Math"/>
                </w:rPr>
              </m:ctrlPr>
            </m:sub>
            <m:sup>
              <m:r>
                <m:rPr/>
                <w:rPr>
                  <w:rFonts w:ascii="Cambria Math" w:hAnsi="Cambria Math"/>
                </w:rPr>
                <m:t>n</m:t>
              </m:r>
              <m:ctrlPr>
                <w:rPr>
                  <w:rFonts w:ascii="Cambria Math" w:hAnsi="Cambria Math" w:eastAsia="Cambria Math"/>
                </w:rPr>
              </m:ctrlPr>
            </m:sup>
            <m:e>
              <m:sSub>
                <m:sSubPr>
                  <m:ctrlPr>
                    <w:rPr>
                      <w:rFonts w:ascii="Cambria Math" w:hAnsi="Cambria Math" w:eastAsia="Cambria Math"/>
                      <w:i/>
                    </w:rPr>
                  </m:ctrlPr>
                </m:sSubPr>
                <m:e>
                  <m:r>
                    <m:rPr/>
                    <w:rPr>
                      <w:rFonts w:ascii="Cambria Math" w:hAnsi="Cambria Math" w:eastAsiaTheme="minorEastAsia"/>
                    </w:rPr>
                    <m:t>r</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ctrlPr>
                <w:rPr>
                  <w:rFonts w:ascii="Cambria Math" w:hAnsi="Cambria Math" w:eastAsia="Cambria Math"/>
                </w:rPr>
              </m:ctrlPr>
            </m:e>
          </m:nary>
          <m:r>
            <m:rPr/>
            <w:rPr>
              <w:rFonts w:ascii="Cambria Math" w:hAnsi="Cambria Math" w:eastAsia="Cambria Math"/>
            </w:rPr>
            <m:t>/</m:t>
          </m:r>
          <m:nary>
            <m:naryPr>
              <m:chr m:val="∑"/>
              <m:grow m:val="1"/>
              <m:ctrlPr>
                <w:rPr>
                  <w:rFonts w:ascii="Cambria Math" w:hAnsi="Cambria Math" w:eastAsia="Cambria Math"/>
                </w:rPr>
              </m:ctrlPr>
            </m:naryPr>
            <m:sub>
              <m:r>
                <m:rPr/>
                <w:rPr>
                  <w:rFonts w:ascii="Cambria Math" w:hAnsi="Cambria Math"/>
                </w:rPr>
                <m:t>i=1</m:t>
              </m:r>
              <m:ctrlPr>
                <w:rPr>
                  <w:rFonts w:ascii="Cambria Math" w:hAnsi="Cambria Math" w:eastAsia="Cambria Math"/>
                </w:rPr>
              </m:ctrlPr>
            </m:sub>
            <m:sup>
              <m:r>
                <m:rPr/>
                <w:rPr>
                  <w:rFonts w:ascii="Cambria Math" w:hAnsi="Cambria Math"/>
                </w:rPr>
                <m:t>n</m:t>
              </m:r>
              <m:ctrlPr>
                <w:rPr>
                  <w:rFonts w:ascii="Cambria Math" w:hAnsi="Cambria Math" w:eastAsia="Cambria Math"/>
                </w:rPr>
              </m:ctrlPr>
            </m:sup>
            <m:e>
              <m:sSub>
                <m:sSubPr>
                  <m:ctrlPr>
                    <w:rPr>
                      <w:rFonts w:ascii="Cambria Math" w:hAnsi="Cambria Math" w:eastAsia="Cambria Math"/>
                      <w:i/>
                    </w:rPr>
                  </m:ctrlPr>
                </m:sSubPr>
                <m:e>
                  <m:r>
                    <m:rPr/>
                    <w:rPr>
                      <w:rFonts w:ascii="Cambria Math" w:hAnsi="Cambria Math" w:eastAsiaTheme="minorEastAsia"/>
                    </w:rPr>
                    <m:t>R</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r>
                <m:rPr/>
                <w:rPr>
                  <w:rFonts w:ascii="Cambria Math" w:hAnsi="Cambria Math" w:eastAsiaTheme="minorEastAsia"/>
                </w:rPr>
                <m:t>×</m:t>
              </m:r>
              <m:r>
                <m:rPr/>
                <w:rPr>
                  <w:rFonts w:ascii="Cambria Math" w:hAnsi="Cambria Math" w:eastAsia="Cambria Math"/>
                </w:rPr>
                <m:t>100</m:t>
              </m:r>
              <m:r>
                <m:rPr/>
                <w:rPr>
                  <w:rFonts w:hint="eastAsia" w:ascii="Cambria Math" w:hAnsi="Cambria Math" w:eastAsiaTheme="minorEastAsia"/>
                </w:rPr>
                <m:t>%</m:t>
              </m:r>
              <m:ctrlPr>
                <w:rPr>
                  <w:rFonts w:ascii="Cambria Math" w:hAnsi="Cambria Math" w:eastAsia="Cambria Math"/>
                </w:rPr>
              </m:ctrlPr>
            </m:e>
          </m:nary>
        </m:oMath>
      </m:oMathPara>
    </w:p>
    <w:p w14:paraId="114342DE">
      <w:pPr>
        <w:pStyle w:val="233"/>
      </w:pPr>
      <w:r>
        <w:rPr>
          <w:rFonts w:hint="eastAsia"/>
        </w:rPr>
        <w:t>式中：</w:t>
      </w:r>
    </w:p>
    <w:p w14:paraId="58C289F9">
      <w:pPr>
        <w:ind w:firstLine="420" w:firstLineChars="200"/>
        <w:rPr>
          <w:rFonts w:ascii="宋体" w:hAnsi="宋体"/>
        </w:rPr>
      </w:pPr>
      <w:r>
        <w:rPr>
          <w:rFonts w:ascii="宋体" w:hAnsi="宋体"/>
        </w:rPr>
        <w:t>S  ——换算后的得分；</w:t>
      </w:r>
    </w:p>
    <w:p w14:paraId="1E8A48CC">
      <w:pPr>
        <w:ind w:firstLine="420" w:firstLineChars="200"/>
        <w:rPr>
          <w:rFonts w:ascii="宋体" w:hAnsi="宋体"/>
        </w:rPr>
      </w:pPr>
      <w:r>
        <w:rPr>
          <w:rFonts w:ascii="宋体" w:hAnsi="宋体"/>
        </w:rPr>
        <w:t>n  ——去除</w:t>
      </w:r>
      <w:r>
        <w:rPr>
          <w:rFonts w:hint="eastAsia" w:ascii="宋体" w:hAnsi="宋体"/>
        </w:rPr>
        <w:t>未评价与</w:t>
      </w:r>
      <w:r>
        <w:rPr>
          <w:rFonts w:ascii="宋体" w:hAnsi="宋体"/>
        </w:rPr>
        <w:t>不适用项后的评价项目总数；</w:t>
      </w:r>
    </w:p>
    <w:p w14:paraId="6BE10B30">
      <w:pPr>
        <w:ind w:firstLine="420" w:firstLineChars="200"/>
        <w:rPr>
          <w:rFonts w:ascii="宋体" w:hAnsi="宋体"/>
        </w:rPr>
      </w:pPr>
      <w:r>
        <w:rPr>
          <w:rFonts w:ascii="宋体" w:hAnsi="宋体"/>
        </w:rPr>
        <w:t>r</w:t>
      </w:r>
      <w:r>
        <w:rPr>
          <w:rFonts w:hint="eastAsia" w:ascii="宋体" w:hAnsi="宋体"/>
          <w:vertAlign w:val="subscript"/>
        </w:rPr>
        <w:t>i</w:t>
      </w:r>
      <w:r>
        <w:rPr>
          <w:rFonts w:ascii="宋体" w:hAnsi="宋体"/>
        </w:rPr>
        <w:t xml:space="preserve"> ——第i个适用项的单项实际得分；</w:t>
      </w:r>
    </w:p>
    <w:p w14:paraId="549CCC42">
      <w:pPr>
        <w:ind w:firstLine="315" w:firstLineChars="150"/>
        <w:rPr>
          <w:rFonts w:ascii="宋体" w:hAnsi="宋体"/>
        </w:rPr>
      </w:pPr>
      <w:r>
        <w:rPr>
          <w:rFonts w:ascii="宋体" w:hAnsi="宋体"/>
        </w:rPr>
        <w:t>R</w:t>
      </w:r>
      <w:r>
        <w:rPr>
          <w:rFonts w:hint="eastAsia" w:ascii="宋体" w:hAnsi="宋体"/>
          <w:vertAlign w:val="subscript"/>
        </w:rPr>
        <w:t>i</w:t>
      </w:r>
      <w:r>
        <w:rPr>
          <w:rFonts w:ascii="宋体" w:hAnsi="宋体"/>
        </w:rPr>
        <w:t xml:space="preserve"> ——第i个适用项的单项满分。</w:t>
      </w:r>
    </w:p>
    <w:p w14:paraId="6E170588">
      <w:pPr>
        <w:pStyle w:val="2"/>
        <w:rPr>
          <w:rFonts w:ascii="宋体" w:hAnsi="宋体"/>
        </w:rPr>
      </w:pPr>
    </w:p>
    <w:p w14:paraId="392F66C9">
      <w:pPr>
        <w:pStyle w:val="2"/>
        <w:rPr>
          <w:rFonts w:ascii="宋体" w:hAnsi="宋体"/>
        </w:rPr>
      </w:pPr>
    </w:p>
    <w:p w14:paraId="684CE32C">
      <w:pPr>
        <w:pStyle w:val="2"/>
        <w:rPr>
          <w:rFonts w:ascii="宋体" w:hAnsi="宋体"/>
        </w:rPr>
      </w:pPr>
    </w:p>
    <w:p w14:paraId="7569BF0A">
      <w:pPr>
        <w:rPr>
          <w:rFonts w:ascii="黑体" w:hAnsi="黑体" w:eastAsia="黑体"/>
        </w:rPr>
      </w:pPr>
    </w:p>
    <w:p w14:paraId="16890E80">
      <w:pPr>
        <w:pStyle w:val="3"/>
        <w:jc w:val="center"/>
        <w:rPr>
          <w:rFonts w:ascii="黑体" w:hAnsi="黑体" w:eastAsia="黑体"/>
          <w:sz w:val="28"/>
          <w:szCs w:val="28"/>
        </w:rPr>
      </w:pPr>
      <w:bookmarkStart w:id="62" w:name="_Toc186446333"/>
      <w:r>
        <w:rPr>
          <w:rFonts w:hint="eastAsia" w:ascii="黑体" w:hAnsi="黑体" w:eastAsia="黑体"/>
          <w:sz w:val="28"/>
          <w:szCs w:val="28"/>
        </w:rPr>
        <w:t>参考文献</w:t>
      </w:r>
      <w:bookmarkEnd w:id="62"/>
    </w:p>
    <w:p w14:paraId="0F7CDE85">
      <w:pPr>
        <w:rPr>
          <w:rFonts w:ascii="宋体" w:hAnsi="宋体"/>
        </w:rPr>
      </w:pPr>
      <w:r>
        <w:rPr>
          <w:rFonts w:ascii="宋体" w:hAnsi="宋体"/>
        </w:rPr>
        <w:t xml:space="preserve">[1] GB/T 20002.2—2008 标准中特定内容的起草 第2部分：老年人和残疾人的需求 </w:t>
      </w:r>
    </w:p>
    <w:p w14:paraId="21D0221A">
      <w:pPr>
        <w:rPr>
          <w:rFonts w:ascii="宋体" w:hAnsi="宋体"/>
        </w:rPr>
      </w:pPr>
      <w:r>
        <w:rPr>
          <w:rFonts w:ascii="宋体" w:hAnsi="宋体"/>
        </w:rPr>
        <w:t xml:space="preserve">[2] GB/T 24421.2-2023 服务业组织标准化工作指南 第2部分：标准体系 </w:t>
      </w:r>
      <w:r>
        <w:rPr>
          <w:rFonts w:hint="eastAsia" w:ascii="宋体" w:hAnsi="宋体"/>
        </w:rPr>
        <w:t>构建</w:t>
      </w:r>
    </w:p>
    <w:p w14:paraId="5A10126D">
      <w:pPr>
        <w:rPr>
          <w:rFonts w:ascii="宋体" w:hAnsi="宋体"/>
        </w:rPr>
      </w:pPr>
      <w:r>
        <w:rPr>
          <w:rFonts w:ascii="宋体" w:hAnsi="宋体"/>
        </w:rPr>
        <w:t>[3] GB/T 33169-2016 社区老年人日间照料中心设施设备配置</w:t>
      </w:r>
    </w:p>
    <w:p w14:paraId="0743519A">
      <w:pPr>
        <w:rPr>
          <w:rFonts w:ascii="宋体" w:hAnsi="宋体"/>
        </w:rPr>
      </w:pPr>
      <w:r>
        <w:rPr>
          <w:rFonts w:ascii="宋体" w:hAnsi="宋体"/>
        </w:rPr>
        <w:t xml:space="preserve">[4] GB/T 37276-2018 养老机构等级划分与评定 </w:t>
      </w:r>
    </w:p>
    <w:p w14:paraId="682D7C7D">
      <w:pPr>
        <w:rPr>
          <w:rFonts w:ascii="宋体" w:hAnsi="宋体"/>
        </w:rPr>
      </w:pPr>
      <w:r>
        <w:rPr>
          <w:rFonts w:ascii="宋体" w:hAnsi="宋体"/>
        </w:rPr>
        <w:t>[5] WS/T 556-2017 老年人膳食指导</w:t>
      </w:r>
    </w:p>
    <w:p w14:paraId="526E5099">
      <w:pPr>
        <w:rPr>
          <w:rFonts w:ascii="宋体" w:hAnsi="宋体"/>
        </w:rPr>
      </w:pPr>
      <w:r>
        <w:rPr>
          <w:rFonts w:ascii="宋体" w:hAnsi="宋体"/>
        </w:rPr>
        <w:t>[6] RB/T 301</w:t>
      </w:r>
      <w:r>
        <w:rPr>
          <w:rFonts w:hint="eastAsia" w:ascii="宋体" w:hAnsi="宋体"/>
        </w:rPr>
        <w:t>-</w:t>
      </w:r>
      <w:r>
        <w:rPr>
          <w:rFonts w:ascii="宋体" w:hAnsi="宋体"/>
        </w:rPr>
        <w:t xml:space="preserve">2016 合格评定 服务认证技术通则 </w:t>
      </w:r>
    </w:p>
    <w:p w14:paraId="442085E8">
      <w:pPr>
        <w:rPr>
          <w:rFonts w:ascii="宋体" w:hAnsi="宋体"/>
        </w:rPr>
      </w:pPr>
      <w:r>
        <w:rPr>
          <w:rFonts w:ascii="宋体" w:hAnsi="宋体"/>
        </w:rPr>
        <w:t>[7] RB/T 303</w:t>
      </w:r>
      <w:r>
        <w:rPr>
          <w:rFonts w:hint="eastAsia" w:ascii="宋体" w:hAnsi="宋体"/>
        </w:rPr>
        <w:t>-</w:t>
      </w:r>
      <w:r>
        <w:rPr>
          <w:rFonts w:ascii="宋体" w:hAnsi="宋体"/>
        </w:rPr>
        <w:t xml:space="preserve">2016 养老服务认证技术导则 </w:t>
      </w:r>
    </w:p>
    <w:p w14:paraId="39FF1B29">
      <w:pPr>
        <w:rPr>
          <w:rFonts w:ascii="宋体" w:hAnsi="宋体"/>
        </w:rPr>
      </w:pPr>
      <w:r>
        <w:rPr>
          <w:rFonts w:ascii="宋体" w:hAnsi="宋体"/>
        </w:rPr>
        <w:t xml:space="preserve">[8] SB/T 10944-2012 社区居家养老服务规范 </w:t>
      </w:r>
    </w:p>
    <w:p w14:paraId="1D2304F8">
      <w:pPr>
        <w:rPr>
          <w:rFonts w:ascii="宋体" w:hAnsi="宋体"/>
        </w:rPr>
      </w:pPr>
      <w:r>
        <w:rPr>
          <w:rFonts w:ascii="宋体" w:hAnsi="宋体"/>
        </w:rPr>
        <w:t>[9] 中华人民共和国老年人权益保障法</w:t>
      </w:r>
    </w:p>
    <w:p w14:paraId="48D78C3B">
      <w:pPr>
        <w:rPr>
          <w:rFonts w:ascii="宋体" w:hAnsi="宋体"/>
        </w:rPr>
      </w:pPr>
      <w:r>
        <w:rPr>
          <w:rFonts w:ascii="宋体" w:hAnsi="宋体"/>
        </w:rPr>
        <w:t xml:space="preserve">[10] 养老护理员国家职业技能标准（2019年版） </w:t>
      </w:r>
    </w:p>
    <w:p w14:paraId="4BF34520">
      <w:pPr>
        <w:rPr>
          <w:rFonts w:ascii="宋体" w:hAnsi="宋体"/>
        </w:rPr>
      </w:pPr>
      <w:r>
        <w:rPr>
          <w:rFonts w:ascii="宋体" w:hAnsi="宋体"/>
        </w:rPr>
        <w:t>[11] 餐饮服务食品安全操作规范</w:t>
      </w:r>
    </w:p>
    <w:p w14:paraId="7783E34F">
      <w:pPr>
        <w:rPr>
          <w:rFonts w:ascii="宋体" w:hAnsi="宋体"/>
        </w:rPr>
      </w:pPr>
      <w:r>
        <w:rPr>
          <w:rFonts w:ascii="宋体" w:hAnsi="宋体"/>
        </w:rPr>
        <w:t>[12] 国务院办公厅关于推进养老服务发展的意见（国办发〔2019〕5号）</w:t>
      </w:r>
    </w:p>
    <w:p w14:paraId="62A03D12">
      <w:pPr>
        <w:pStyle w:val="2"/>
        <w:rPr>
          <w:rFonts w:ascii="宋体" w:hAnsi="宋体"/>
        </w:rPr>
      </w:pPr>
    </w:p>
    <w:p w14:paraId="1C2A6F79">
      <w:pPr>
        <w:pStyle w:val="2"/>
        <w:rPr>
          <w:rFonts w:ascii="宋体" w:hAnsi="宋体"/>
        </w:rPr>
      </w:pPr>
    </w:p>
    <w:p w14:paraId="4BDF06C9">
      <w:pPr>
        <w:pStyle w:val="58"/>
        <w:ind w:firstLine="0" w:firstLineChars="0"/>
        <w:jc w:val="center"/>
      </w:pPr>
      <w:bookmarkStart w:id="63" w:name="BookMark8"/>
      <w:r>
        <w:rPr>
          <w:rFonts w:hint="eastAsia"/>
        </w:rPr>
        <w:drawing>
          <wp:inline distT="0" distB="0" distL="0" distR="0">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bookmarkEnd w:id="21"/>
    <w:p w14:paraId="084F8FFE">
      <w:pPr>
        <w:pStyle w:val="58"/>
        <w:ind w:firstLine="420"/>
      </w:pPr>
    </w:p>
    <w:sectPr>
      <w:headerReference r:id="rId11" w:type="default"/>
      <w:footerReference r:id="rId13" w:type="default"/>
      <w:headerReference r:id="rId1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crosoftYaHe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9416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CA57F">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9F67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C4EFE">
    <w:pPr>
      <w:pStyle w:val="54"/>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1B98E">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14B44">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636E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8F4BA">
    <w:pPr>
      <w:pStyle w:val="63"/>
    </w:pPr>
    <w:r>
      <w:fldChar w:fldCharType="begin"/>
    </w:r>
    <w:r>
      <w:instrText xml:space="preserve"> STYLEREF  标准文件_文件编号  \* MERGEFORMAT </w:instrText>
    </w:r>
    <w:r>
      <w:fldChar w:fldCharType="separate"/>
    </w:r>
    <w:r>
      <w:t>DB3204/TXXXX—2025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C37E5">
    <w:pPr>
      <w:pStyle w:val="19"/>
      <w:jc w:val="right"/>
      <w:rPr>
        <w:lang w:val="fr-FR"/>
      </w:rPr>
    </w:pPr>
    <w:r>
      <w:fldChar w:fldCharType="begin"/>
    </w:r>
    <w:r>
      <w:instrText xml:space="preserve"> STYLEREF  标准文件_文件编号  \* MERGEFORMAT </w:instrText>
    </w:r>
    <w:r>
      <w:fldChar w:fldCharType="separate"/>
    </w:r>
    <w:r>
      <w:t>DB3204/TXXXX—2025</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351D7A"/>
    <w:multiLevelType w:val="multilevel"/>
    <w:tmpl w:val="2C351D7A"/>
    <w:lvl w:ilvl="0" w:tentative="0">
      <w:start w:val="1"/>
      <w:numFmt w:val="decimalEnclosedCircle"/>
      <w:lvlText w:val="%1"/>
      <w:lvlJc w:val="left"/>
      <w:pPr>
        <w:ind w:left="1050" w:hanging="360"/>
      </w:pPr>
      <w:rPr>
        <w:rFonts w:hint="default"/>
      </w:rPr>
    </w:lvl>
    <w:lvl w:ilvl="1" w:tentative="0">
      <w:start w:val="1"/>
      <w:numFmt w:val="lowerLetter"/>
      <w:lvlText w:val="%2)"/>
      <w:lvlJc w:val="left"/>
      <w:pPr>
        <w:ind w:left="1570" w:hanging="440"/>
      </w:pPr>
    </w:lvl>
    <w:lvl w:ilvl="2" w:tentative="0">
      <w:start w:val="1"/>
      <w:numFmt w:val="lowerRoman"/>
      <w:lvlText w:val="%3."/>
      <w:lvlJc w:val="right"/>
      <w:pPr>
        <w:ind w:left="2010" w:hanging="440"/>
      </w:pPr>
    </w:lvl>
    <w:lvl w:ilvl="3" w:tentative="0">
      <w:start w:val="1"/>
      <w:numFmt w:val="decimal"/>
      <w:lvlText w:val="%4."/>
      <w:lvlJc w:val="left"/>
      <w:pPr>
        <w:ind w:left="2450" w:hanging="440"/>
      </w:pPr>
    </w:lvl>
    <w:lvl w:ilvl="4" w:tentative="0">
      <w:start w:val="1"/>
      <w:numFmt w:val="lowerLetter"/>
      <w:lvlText w:val="%5)"/>
      <w:lvlJc w:val="left"/>
      <w:pPr>
        <w:ind w:left="2890" w:hanging="440"/>
      </w:pPr>
    </w:lvl>
    <w:lvl w:ilvl="5" w:tentative="0">
      <w:start w:val="1"/>
      <w:numFmt w:val="lowerRoman"/>
      <w:lvlText w:val="%6."/>
      <w:lvlJc w:val="right"/>
      <w:pPr>
        <w:ind w:left="3330" w:hanging="440"/>
      </w:pPr>
    </w:lvl>
    <w:lvl w:ilvl="6" w:tentative="0">
      <w:start w:val="1"/>
      <w:numFmt w:val="decimal"/>
      <w:lvlText w:val="%7."/>
      <w:lvlJc w:val="left"/>
      <w:pPr>
        <w:ind w:left="3770" w:hanging="440"/>
      </w:pPr>
    </w:lvl>
    <w:lvl w:ilvl="7" w:tentative="0">
      <w:start w:val="1"/>
      <w:numFmt w:val="lowerLetter"/>
      <w:lvlText w:val="%8)"/>
      <w:lvlJc w:val="left"/>
      <w:pPr>
        <w:ind w:left="4210" w:hanging="440"/>
      </w:pPr>
    </w:lvl>
    <w:lvl w:ilvl="8" w:tentative="0">
      <w:start w:val="1"/>
      <w:numFmt w:val="lowerRoman"/>
      <w:lvlText w:val="%9."/>
      <w:lvlJc w:val="right"/>
      <w:pPr>
        <w:ind w:left="4650" w:hanging="44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2EE00362"/>
    <w:multiLevelType w:val="multilevel"/>
    <w:tmpl w:val="2EE00362"/>
    <w:lvl w:ilvl="0" w:tentative="0">
      <w:start w:val="1"/>
      <w:numFmt w:val="lowerLetter"/>
      <w:lvlText w:val="%1)"/>
      <w:lvlJc w:val="left"/>
      <w:pPr>
        <w:ind w:left="720" w:hanging="360"/>
      </w:pPr>
      <w:rPr>
        <w:rFonts w:hint="default"/>
      </w:rPr>
    </w:lvl>
    <w:lvl w:ilvl="1" w:tentative="0">
      <w:start w:val="1"/>
      <w:numFmt w:val="lowerLetter"/>
      <w:lvlText w:val="%2)"/>
      <w:lvlJc w:val="left"/>
      <w:pPr>
        <w:ind w:left="1240" w:hanging="440"/>
      </w:pPr>
    </w:lvl>
    <w:lvl w:ilvl="2" w:tentative="0">
      <w:start w:val="1"/>
      <w:numFmt w:val="lowerRoman"/>
      <w:lvlText w:val="%3."/>
      <w:lvlJc w:val="right"/>
      <w:pPr>
        <w:ind w:left="1680" w:hanging="440"/>
      </w:pPr>
    </w:lvl>
    <w:lvl w:ilvl="3" w:tentative="0">
      <w:start w:val="1"/>
      <w:numFmt w:val="decimal"/>
      <w:lvlText w:val="%4."/>
      <w:lvlJc w:val="left"/>
      <w:pPr>
        <w:ind w:left="2120" w:hanging="440"/>
      </w:pPr>
    </w:lvl>
    <w:lvl w:ilvl="4" w:tentative="0">
      <w:start w:val="1"/>
      <w:numFmt w:val="lowerLetter"/>
      <w:lvlText w:val="%5)"/>
      <w:lvlJc w:val="left"/>
      <w:pPr>
        <w:ind w:left="2560" w:hanging="440"/>
      </w:pPr>
    </w:lvl>
    <w:lvl w:ilvl="5" w:tentative="0">
      <w:start w:val="1"/>
      <w:numFmt w:val="lowerRoman"/>
      <w:lvlText w:val="%6."/>
      <w:lvlJc w:val="right"/>
      <w:pPr>
        <w:ind w:left="3000" w:hanging="440"/>
      </w:pPr>
    </w:lvl>
    <w:lvl w:ilvl="6" w:tentative="0">
      <w:start w:val="1"/>
      <w:numFmt w:val="decimal"/>
      <w:lvlText w:val="%7."/>
      <w:lvlJc w:val="left"/>
      <w:pPr>
        <w:ind w:left="3440" w:hanging="440"/>
      </w:pPr>
    </w:lvl>
    <w:lvl w:ilvl="7" w:tentative="0">
      <w:start w:val="1"/>
      <w:numFmt w:val="lowerLetter"/>
      <w:lvlText w:val="%8)"/>
      <w:lvlJc w:val="left"/>
      <w:pPr>
        <w:ind w:left="3880" w:hanging="440"/>
      </w:pPr>
    </w:lvl>
    <w:lvl w:ilvl="8" w:tentative="0">
      <w:start w:val="1"/>
      <w:numFmt w:val="lowerRoman"/>
      <w:lvlText w:val="%9."/>
      <w:lvlJc w:val="right"/>
      <w:pPr>
        <w:ind w:left="4320" w:hanging="440"/>
      </w:pPr>
    </w:lvl>
  </w:abstractNum>
  <w:abstractNum w:abstractNumId="13">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32FB04D1"/>
    <w:multiLevelType w:val="multilevel"/>
    <w:tmpl w:val="32FB04D1"/>
    <w:lvl w:ilvl="0" w:tentative="0">
      <w:start w:val="1"/>
      <w:numFmt w:val="decimal"/>
      <w:lvlText w:val="%1、"/>
      <w:lvlJc w:val="left"/>
      <w:pPr>
        <w:ind w:left="360" w:hanging="360"/>
      </w:pPr>
      <w:rPr>
        <w:rFonts w:hint="default" w:ascii="Calibri" w:hAnsi="Calibri" w:eastAsia="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6FA1F8A"/>
    <w:multiLevelType w:val="multilevel"/>
    <w:tmpl w:val="46FA1F8A"/>
    <w:lvl w:ilvl="0" w:tentative="0">
      <w:start w:val="1"/>
      <w:numFmt w:val="lowerLetter"/>
      <w:lvlText w:val="%1)"/>
      <w:lvlJc w:val="left"/>
      <w:pPr>
        <w:ind w:left="1160" w:hanging="440"/>
      </w:pPr>
    </w:lvl>
    <w:lvl w:ilvl="1" w:tentative="0">
      <w:start w:val="1"/>
      <w:numFmt w:val="lowerLetter"/>
      <w:lvlText w:val="%2)"/>
      <w:lvlJc w:val="left"/>
      <w:pPr>
        <w:ind w:left="1600" w:hanging="440"/>
      </w:pPr>
    </w:lvl>
    <w:lvl w:ilvl="2" w:tentative="0">
      <w:start w:val="1"/>
      <w:numFmt w:val="lowerRoman"/>
      <w:lvlText w:val="%3."/>
      <w:lvlJc w:val="right"/>
      <w:pPr>
        <w:ind w:left="2040" w:hanging="440"/>
      </w:pPr>
    </w:lvl>
    <w:lvl w:ilvl="3" w:tentative="0">
      <w:start w:val="1"/>
      <w:numFmt w:val="decimal"/>
      <w:lvlText w:val="%4."/>
      <w:lvlJc w:val="left"/>
      <w:pPr>
        <w:ind w:left="2480" w:hanging="440"/>
      </w:pPr>
    </w:lvl>
    <w:lvl w:ilvl="4" w:tentative="0">
      <w:start w:val="1"/>
      <w:numFmt w:val="lowerLetter"/>
      <w:lvlText w:val="%5)"/>
      <w:lvlJc w:val="left"/>
      <w:pPr>
        <w:ind w:left="2920" w:hanging="440"/>
      </w:pPr>
    </w:lvl>
    <w:lvl w:ilvl="5" w:tentative="0">
      <w:start w:val="1"/>
      <w:numFmt w:val="lowerRoman"/>
      <w:lvlText w:val="%6."/>
      <w:lvlJc w:val="right"/>
      <w:pPr>
        <w:ind w:left="3360" w:hanging="440"/>
      </w:pPr>
    </w:lvl>
    <w:lvl w:ilvl="6" w:tentative="0">
      <w:start w:val="1"/>
      <w:numFmt w:val="decimal"/>
      <w:lvlText w:val="%7."/>
      <w:lvlJc w:val="left"/>
      <w:pPr>
        <w:ind w:left="3800" w:hanging="440"/>
      </w:pPr>
    </w:lvl>
    <w:lvl w:ilvl="7" w:tentative="0">
      <w:start w:val="1"/>
      <w:numFmt w:val="lowerLetter"/>
      <w:lvlText w:val="%8)"/>
      <w:lvlJc w:val="left"/>
      <w:pPr>
        <w:ind w:left="4240" w:hanging="440"/>
      </w:pPr>
    </w:lvl>
    <w:lvl w:ilvl="8" w:tentative="0">
      <w:start w:val="1"/>
      <w:numFmt w:val="lowerRoman"/>
      <w:lvlText w:val="%9."/>
      <w:lvlJc w:val="right"/>
      <w:pPr>
        <w:ind w:left="4680" w:hanging="440"/>
      </w:pPr>
    </w:lvl>
  </w:abstractNum>
  <w:abstractNum w:abstractNumId="17">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F86A98"/>
    <w:multiLevelType w:val="multilevel"/>
    <w:tmpl w:val="54F86A98"/>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5FD535F6"/>
    <w:multiLevelType w:val="multilevel"/>
    <w:tmpl w:val="5FD535F6"/>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6">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B91678A"/>
    <w:multiLevelType w:val="multilevel"/>
    <w:tmpl w:val="6B91678A"/>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32">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7">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4"/>
  </w:num>
  <w:num w:numId="3">
    <w:abstractNumId w:val="5"/>
  </w:num>
  <w:num w:numId="4">
    <w:abstractNumId w:val="29"/>
  </w:num>
  <w:num w:numId="5">
    <w:abstractNumId w:val="23"/>
  </w:num>
  <w:num w:numId="6">
    <w:abstractNumId w:val="17"/>
  </w:num>
  <w:num w:numId="7">
    <w:abstractNumId w:val="8"/>
  </w:num>
  <w:num w:numId="8">
    <w:abstractNumId w:val="3"/>
  </w:num>
  <w:num w:numId="9">
    <w:abstractNumId w:val="9"/>
  </w:num>
  <w:num w:numId="10">
    <w:abstractNumId w:val="20"/>
  </w:num>
  <w:num w:numId="11">
    <w:abstractNumId w:val="32"/>
  </w:num>
  <w:num w:numId="12">
    <w:abstractNumId w:val="13"/>
  </w:num>
  <w:num w:numId="13">
    <w:abstractNumId w:val="15"/>
  </w:num>
  <w:num w:numId="14">
    <w:abstractNumId w:val="7"/>
  </w:num>
  <w:num w:numId="15">
    <w:abstractNumId w:val="24"/>
  </w:num>
  <w:num w:numId="16">
    <w:abstractNumId w:val="27"/>
  </w:num>
  <w:num w:numId="17">
    <w:abstractNumId w:val="22"/>
  </w:num>
  <w:num w:numId="18">
    <w:abstractNumId w:val="36"/>
  </w:num>
  <w:num w:numId="19">
    <w:abstractNumId w:val="19"/>
  </w:num>
  <w:num w:numId="20">
    <w:abstractNumId w:val="1"/>
  </w:num>
  <w:num w:numId="21">
    <w:abstractNumId w:val="11"/>
  </w:num>
  <w:num w:numId="22">
    <w:abstractNumId w:val="37"/>
  </w:num>
  <w:num w:numId="23">
    <w:abstractNumId w:val="26"/>
  </w:num>
  <w:num w:numId="24">
    <w:abstractNumId w:val="6"/>
  </w:num>
  <w:num w:numId="25">
    <w:abstractNumId w:val="33"/>
  </w:num>
  <w:num w:numId="26">
    <w:abstractNumId w:val="35"/>
  </w:num>
  <w:num w:numId="27">
    <w:abstractNumId w:val="2"/>
  </w:num>
  <w:num w:numId="28">
    <w:abstractNumId w:val="4"/>
  </w:num>
  <w:num w:numId="29">
    <w:abstractNumId w:val="18"/>
  </w:num>
  <w:num w:numId="30">
    <w:abstractNumId w:val="30"/>
  </w:num>
  <w:num w:numId="31">
    <w:abstractNumId w:val="28"/>
  </w:num>
  <w:num w:numId="32">
    <w:abstractNumId w:val="12"/>
  </w:num>
  <w:num w:numId="33">
    <w:abstractNumId w:val="16"/>
  </w:num>
  <w:num w:numId="34">
    <w:abstractNumId w:val="31"/>
  </w:num>
  <w:num w:numId="35">
    <w:abstractNumId w:val="10"/>
  </w:num>
  <w:num w:numId="36">
    <w:abstractNumId w:val="25"/>
  </w:num>
  <w:num w:numId="37">
    <w:abstractNumId w:val="21"/>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27005"/>
    <w:rsid w:val="0000040A"/>
    <w:rsid w:val="00000A94"/>
    <w:rsid w:val="00001972"/>
    <w:rsid w:val="00001AC5"/>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AF3"/>
    <w:rsid w:val="00033042"/>
    <w:rsid w:val="000331D3"/>
    <w:rsid w:val="000337C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7E0"/>
    <w:rsid w:val="00075F1B"/>
    <w:rsid w:val="00077B64"/>
    <w:rsid w:val="00080A1C"/>
    <w:rsid w:val="00082317"/>
    <w:rsid w:val="00083D2C"/>
    <w:rsid w:val="00086AA1"/>
    <w:rsid w:val="00087A77"/>
    <w:rsid w:val="00090CA6"/>
    <w:rsid w:val="00092B8A"/>
    <w:rsid w:val="00092FB0"/>
    <w:rsid w:val="000934C5"/>
    <w:rsid w:val="00093D25"/>
    <w:rsid w:val="00093DAB"/>
    <w:rsid w:val="00094656"/>
    <w:rsid w:val="00094D73"/>
    <w:rsid w:val="00095608"/>
    <w:rsid w:val="0009581E"/>
    <w:rsid w:val="00096D63"/>
    <w:rsid w:val="000A0B60"/>
    <w:rsid w:val="000A0EB8"/>
    <w:rsid w:val="000A19FC"/>
    <w:rsid w:val="000A296B"/>
    <w:rsid w:val="000A46D4"/>
    <w:rsid w:val="000A7311"/>
    <w:rsid w:val="000B060F"/>
    <w:rsid w:val="000B1456"/>
    <w:rsid w:val="000B1592"/>
    <w:rsid w:val="000B1FF2"/>
    <w:rsid w:val="000B3CDA"/>
    <w:rsid w:val="000B6A0B"/>
    <w:rsid w:val="000C0843"/>
    <w:rsid w:val="000C0B55"/>
    <w:rsid w:val="000C0F6C"/>
    <w:rsid w:val="000C11DB"/>
    <w:rsid w:val="000C1492"/>
    <w:rsid w:val="000C2FBD"/>
    <w:rsid w:val="000C4B41"/>
    <w:rsid w:val="000C4C1C"/>
    <w:rsid w:val="000C57D6"/>
    <w:rsid w:val="000C6362"/>
    <w:rsid w:val="000C7666"/>
    <w:rsid w:val="000D0A9C"/>
    <w:rsid w:val="000D15A9"/>
    <w:rsid w:val="000D1795"/>
    <w:rsid w:val="000D329A"/>
    <w:rsid w:val="000D4B9C"/>
    <w:rsid w:val="000D4EB6"/>
    <w:rsid w:val="000D753B"/>
    <w:rsid w:val="000E4C9E"/>
    <w:rsid w:val="000E5C1F"/>
    <w:rsid w:val="000E6FD7"/>
    <w:rsid w:val="000F06E1"/>
    <w:rsid w:val="000F0E3C"/>
    <w:rsid w:val="000F19D5"/>
    <w:rsid w:val="000F2375"/>
    <w:rsid w:val="000F4AEA"/>
    <w:rsid w:val="000F633F"/>
    <w:rsid w:val="000F67E9"/>
    <w:rsid w:val="000F6A94"/>
    <w:rsid w:val="00104764"/>
    <w:rsid w:val="00104926"/>
    <w:rsid w:val="001049E1"/>
    <w:rsid w:val="001119AD"/>
    <w:rsid w:val="00113B1E"/>
    <w:rsid w:val="00116098"/>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BD"/>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7A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A42"/>
    <w:rsid w:val="001F092D"/>
    <w:rsid w:val="001F143A"/>
    <w:rsid w:val="001F1605"/>
    <w:rsid w:val="001F2508"/>
    <w:rsid w:val="001F4816"/>
    <w:rsid w:val="001F4EE9"/>
    <w:rsid w:val="001F69B4"/>
    <w:rsid w:val="001F77C7"/>
    <w:rsid w:val="00200183"/>
    <w:rsid w:val="00200333"/>
    <w:rsid w:val="0020107D"/>
    <w:rsid w:val="00202AA4"/>
    <w:rsid w:val="00202E5E"/>
    <w:rsid w:val="002031F7"/>
    <w:rsid w:val="002040E6"/>
    <w:rsid w:val="0020527B"/>
    <w:rsid w:val="00205F2C"/>
    <w:rsid w:val="00210B15"/>
    <w:rsid w:val="002142EA"/>
    <w:rsid w:val="002204BB"/>
    <w:rsid w:val="00221B79"/>
    <w:rsid w:val="00221C6B"/>
    <w:rsid w:val="002220CB"/>
    <w:rsid w:val="002246EF"/>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B8B"/>
    <w:rsid w:val="0026148A"/>
    <w:rsid w:val="00262696"/>
    <w:rsid w:val="00263D25"/>
    <w:rsid w:val="002643C3"/>
    <w:rsid w:val="00264A0C"/>
    <w:rsid w:val="00266AEB"/>
    <w:rsid w:val="00266EEB"/>
    <w:rsid w:val="00267EF4"/>
    <w:rsid w:val="00270CB8"/>
    <w:rsid w:val="00272B08"/>
    <w:rsid w:val="002771AC"/>
    <w:rsid w:val="00281BB8"/>
    <w:rsid w:val="00281E9E"/>
    <w:rsid w:val="00282405"/>
    <w:rsid w:val="00285170"/>
    <w:rsid w:val="00285361"/>
    <w:rsid w:val="00292D60"/>
    <w:rsid w:val="00293644"/>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EA5"/>
    <w:rsid w:val="002D42B5"/>
    <w:rsid w:val="002D4F1A"/>
    <w:rsid w:val="002D6EC6"/>
    <w:rsid w:val="002D79AC"/>
    <w:rsid w:val="002E039D"/>
    <w:rsid w:val="002E4D5A"/>
    <w:rsid w:val="002E6326"/>
    <w:rsid w:val="002E6E6F"/>
    <w:rsid w:val="002F30E0"/>
    <w:rsid w:val="002F35E4"/>
    <w:rsid w:val="002F3730"/>
    <w:rsid w:val="002F38E1"/>
    <w:rsid w:val="002F7AF6"/>
    <w:rsid w:val="00300E63"/>
    <w:rsid w:val="00302F5F"/>
    <w:rsid w:val="00303B85"/>
    <w:rsid w:val="0030441D"/>
    <w:rsid w:val="00306063"/>
    <w:rsid w:val="00313B85"/>
    <w:rsid w:val="00317988"/>
    <w:rsid w:val="003221B4"/>
    <w:rsid w:val="0032258D"/>
    <w:rsid w:val="00322E62"/>
    <w:rsid w:val="00324D13"/>
    <w:rsid w:val="00324D2A"/>
    <w:rsid w:val="00324EDD"/>
    <w:rsid w:val="00327D7F"/>
    <w:rsid w:val="003331E4"/>
    <w:rsid w:val="003340CD"/>
    <w:rsid w:val="00336C64"/>
    <w:rsid w:val="00337162"/>
    <w:rsid w:val="0034194F"/>
    <w:rsid w:val="00344605"/>
    <w:rsid w:val="00344B52"/>
    <w:rsid w:val="003474AA"/>
    <w:rsid w:val="00350D1D"/>
    <w:rsid w:val="00352C83"/>
    <w:rsid w:val="003579C5"/>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51E"/>
    <w:rsid w:val="00395700"/>
    <w:rsid w:val="003974EB"/>
    <w:rsid w:val="00397CC5"/>
    <w:rsid w:val="003A1582"/>
    <w:rsid w:val="003A4077"/>
    <w:rsid w:val="003A5A12"/>
    <w:rsid w:val="003B09AD"/>
    <w:rsid w:val="003B1F18"/>
    <w:rsid w:val="003B5BF0"/>
    <w:rsid w:val="003B60BF"/>
    <w:rsid w:val="003B6BE3"/>
    <w:rsid w:val="003C010C"/>
    <w:rsid w:val="003C0A6C"/>
    <w:rsid w:val="003C14F8"/>
    <w:rsid w:val="003C5A43"/>
    <w:rsid w:val="003C7613"/>
    <w:rsid w:val="003D0519"/>
    <w:rsid w:val="003D0FF6"/>
    <w:rsid w:val="003D262C"/>
    <w:rsid w:val="003D34D4"/>
    <w:rsid w:val="003D6612"/>
    <w:rsid w:val="003D6D61"/>
    <w:rsid w:val="003D79C6"/>
    <w:rsid w:val="003E091D"/>
    <w:rsid w:val="003E1C53"/>
    <w:rsid w:val="003E2A69"/>
    <w:rsid w:val="003E2D49"/>
    <w:rsid w:val="003E2FD4"/>
    <w:rsid w:val="003E49F6"/>
    <w:rsid w:val="003E660F"/>
    <w:rsid w:val="003F0841"/>
    <w:rsid w:val="003F23D3"/>
    <w:rsid w:val="003F2EA6"/>
    <w:rsid w:val="003F3F08"/>
    <w:rsid w:val="003F49F1"/>
    <w:rsid w:val="003F6272"/>
    <w:rsid w:val="00400E72"/>
    <w:rsid w:val="00401400"/>
    <w:rsid w:val="00404869"/>
    <w:rsid w:val="00405884"/>
    <w:rsid w:val="00407D39"/>
    <w:rsid w:val="00407E3B"/>
    <w:rsid w:val="0041477A"/>
    <w:rsid w:val="004167A3"/>
    <w:rsid w:val="00432DAA"/>
    <w:rsid w:val="00434305"/>
    <w:rsid w:val="00435DF7"/>
    <w:rsid w:val="004364E8"/>
    <w:rsid w:val="0044083F"/>
    <w:rsid w:val="00441AE7"/>
    <w:rsid w:val="00442869"/>
    <w:rsid w:val="00443230"/>
    <w:rsid w:val="00445574"/>
    <w:rsid w:val="004467FB"/>
    <w:rsid w:val="00452D6B"/>
    <w:rsid w:val="00454484"/>
    <w:rsid w:val="0045517B"/>
    <w:rsid w:val="00463B77"/>
    <w:rsid w:val="00463C7B"/>
    <w:rsid w:val="004644A6"/>
    <w:rsid w:val="004659BD"/>
    <w:rsid w:val="00470775"/>
    <w:rsid w:val="0047258E"/>
    <w:rsid w:val="004746B1"/>
    <w:rsid w:val="0047513E"/>
    <w:rsid w:val="0047583F"/>
    <w:rsid w:val="00475DE8"/>
    <w:rsid w:val="00481A27"/>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22D"/>
    <w:rsid w:val="004B2701"/>
    <w:rsid w:val="004B2E1B"/>
    <w:rsid w:val="004B3AA8"/>
    <w:rsid w:val="004B3E93"/>
    <w:rsid w:val="004B7CA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B05"/>
    <w:rsid w:val="00533D04"/>
    <w:rsid w:val="00534804"/>
    <w:rsid w:val="00534BDF"/>
    <w:rsid w:val="005354EA"/>
    <w:rsid w:val="0053585F"/>
    <w:rsid w:val="00535EC4"/>
    <w:rsid w:val="00535ED9"/>
    <w:rsid w:val="0053692B"/>
    <w:rsid w:val="00541853"/>
    <w:rsid w:val="00543BDA"/>
    <w:rsid w:val="005441CC"/>
    <w:rsid w:val="00546E27"/>
    <w:rsid w:val="005479DA"/>
    <w:rsid w:val="00547BCC"/>
    <w:rsid w:val="0055013B"/>
    <w:rsid w:val="00551F6F"/>
    <w:rsid w:val="00555044"/>
    <w:rsid w:val="00561475"/>
    <w:rsid w:val="0056487B"/>
    <w:rsid w:val="00564FB9"/>
    <w:rsid w:val="00573D9E"/>
    <w:rsid w:val="00574917"/>
    <w:rsid w:val="005801E3"/>
    <w:rsid w:val="00581278"/>
    <w:rsid w:val="00581802"/>
    <w:rsid w:val="005836A8"/>
    <w:rsid w:val="0058409C"/>
    <w:rsid w:val="00584262"/>
    <w:rsid w:val="00586630"/>
    <w:rsid w:val="00587ADD"/>
    <w:rsid w:val="00591E27"/>
    <w:rsid w:val="00593E3C"/>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5CBF"/>
    <w:rsid w:val="00606419"/>
    <w:rsid w:val="00607D29"/>
    <w:rsid w:val="00612952"/>
    <w:rsid w:val="00614CC1"/>
    <w:rsid w:val="00615A9D"/>
    <w:rsid w:val="00617387"/>
    <w:rsid w:val="006205D6"/>
    <w:rsid w:val="00622B77"/>
    <w:rsid w:val="006252D8"/>
    <w:rsid w:val="006259BC"/>
    <w:rsid w:val="0062636B"/>
    <w:rsid w:val="00627005"/>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B83"/>
    <w:rsid w:val="00672060"/>
    <w:rsid w:val="00672BFD"/>
    <w:rsid w:val="006770F4"/>
    <w:rsid w:val="00677A84"/>
    <w:rsid w:val="0068026D"/>
    <w:rsid w:val="00680A27"/>
    <w:rsid w:val="006816A4"/>
    <w:rsid w:val="006819B8"/>
    <w:rsid w:val="006840A6"/>
    <w:rsid w:val="006850CD"/>
    <w:rsid w:val="00685AAB"/>
    <w:rsid w:val="00686CC7"/>
    <w:rsid w:val="00695D22"/>
    <w:rsid w:val="006A07AA"/>
    <w:rsid w:val="006A25E5"/>
    <w:rsid w:val="006A2B46"/>
    <w:rsid w:val="006A336D"/>
    <w:rsid w:val="006A37B9"/>
    <w:rsid w:val="006A3921"/>
    <w:rsid w:val="006B2672"/>
    <w:rsid w:val="006B4448"/>
    <w:rsid w:val="006B54BF"/>
    <w:rsid w:val="006B5F44"/>
    <w:rsid w:val="006B5F90"/>
    <w:rsid w:val="006B62E4"/>
    <w:rsid w:val="006C1BBA"/>
    <w:rsid w:val="006C2079"/>
    <w:rsid w:val="006C5A62"/>
    <w:rsid w:val="006C5D68"/>
    <w:rsid w:val="006C6976"/>
    <w:rsid w:val="006C6DD0"/>
    <w:rsid w:val="006C72C4"/>
    <w:rsid w:val="006D04EA"/>
    <w:rsid w:val="006D0AB7"/>
    <w:rsid w:val="006D16C4"/>
    <w:rsid w:val="006D3E96"/>
    <w:rsid w:val="006D4515"/>
    <w:rsid w:val="006D4BB1"/>
    <w:rsid w:val="006D5E8F"/>
    <w:rsid w:val="006D6593"/>
    <w:rsid w:val="006E23EA"/>
    <w:rsid w:val="006F03A8"/>
    <w:rsid w:val="006F2ACA"/>
    <w:rsid w:val="006F2ADC"/>
    <w:rsid w:val="006F2BFE"/>
    <w:rsid w:val="006F31E9"/>
    <w:rsid w:val="006F6284"/>
    <w:rsid w:val="007002C5"/>
    <w:rsid w:val="0070386B"/>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D38"/>
    <w:rsid w:val="00773C1F"/>
    <w:rsid w:val="00774DA4"/>
    <w:rsid w:val="00776599"/>
    <w:rsid w:val="0078114B"/>
    <w:rsid w:val="00781DD2"/>
    <w:rsid w:val="00783ECF"/>
    <w:rsid w:val="0078413A"/>
    <w:rsid w:val="007959E8"/>
    <w:rsid w:val="00795E9C"/>
    <w:rsid w:val="007A0521"/>
    <w:rsid w:val="007A25A2"/>
    <w:rsid w:val="007A2E12"/>
    <w:rsid w:val="007A3475"/>
    <w:rsid w:val="007A41C8"/>
    <w:rsid w:val="007A54CE"/>
    <w:rsid w:val="007A67C2"/>
    <w:rsid w:val="007A6FD9"/>
    <w:rsid w:val="007A7FFA"/>
    <w:rsid w:val="007B04EB"/>
    <w:rsid w:val="007B0D4F"/>
    <w:rsid w:val="007B2A41"/>
    <w:rsid w:val="007B5A3D"/>
    <w:rsid w:val="007B5B95"/>
    <w:rsid w:val="007B68EA"/>
    <w:rsid w:val="007B7453"/>
    <w:rsid w:val="007C0BDB"/>
    <w:rsid w:val="007C1E8B"/>
    <w:rsid w:val="007C2D89"/>
    <w:rsid w:val="007C4593"/>
    <w:rsid w:val="007C5309"/>
    <w:rsid w:val="007C6069"/>
    <w:rsid w:val="007C68B5"/>
    <w:rsid w:val="007D06C4"/>
    <w:rsid w:val="007D1352"/>
    <w:rsid w:val="007D1F64"/>
    <w:rsid w:val="007D2508"/>
    <w:rsid w:val="007D346A"/>
    <w:rsid w:val="007D6518"/>
    <w:rsid w:val="007D76BD"/>
    <w:rsid w:val="007E0BF1"/>
    <w:rsid w:val="007F0ED8"/>
    <w:rsid w:val="007F0F63"/>
    <w:rsid w:val="007F339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3C7"/>
    <w:rsid w:val="0083348C"/>
    <w:rsid w:val="008373D3"/>
    <w:rsid w:val="00840617"/>
    <w:rsid w:val="00840F84"/>
    <w:rsid w:val="00842A47"/>
    <w:rsid w:val="00843C13"/>
    <w:rsid w:val="008454F8"/>
    <w:rsid w:val="00850955"/>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26D"/>
    <w:rsid w:val="0089049D"/>
    <w:rsid w:val="008914C4"/>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9C6"/>
    <w:rsid w:val="008D0CE8"/>
    <w:rsid w:val="008D2A2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FE0"/>
    <w:rsid w:val="008E6A84"/>
    <w:rsid w:val="008F0CDC"/>
    <w:rsid w:val="008F17A3"/>
    <w:rsid w:val="008F1ED3"/>
    <w:rsid w:val="008F23A5"/>
    <w:rsid w:val="008F4C29"/>
    <w:rsid w:val="008F70BD"/>
    <w:rsid w:val="008F788F"/>
    <w:rsid w:val="008F7EA2"/>
    <w:rsid w:val="00902722"/>
    <w:rsid w:val="009027BC"/>
    <w:rsid w:val="00903573"/>
    <w:rsid w:val="009062E6"/>
    <w:rsid w:val="00911BE5"/>
    <w:rsid w:val="00913CA9"/>
    <w:rsid w:val="009145AE"/>
    <w:rsid w:val="009146CE"/>
    <w:rsid w:val="00914CA7"/>
    <w:rsid w:val="00915C3E"/>
    <w:rsid w:val="009161A8"/>
    <w:rsid w:val="0092141D"/>
    <w:rsid w:val="009245F5"/>
    <w:rsid w:val="009249EC"/>
    <w:rsid w:val="009273B3"/>
    <w:rsid w:val="009305B5"/>
    <w:rsid w:val="00931287"/>
    <w:rsid w:val="009322E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87E"/>
    <w:rsid w:val="009A72AD"/>
    <w:rsid w:val="009B09E0"/>
    <w:rsid w:val="009B0BC5"/>
    <w:rsid w:val="009B1247"/>
    <w:rsid w:val="009B46F9"/>
    <w:rsid w:val="009B6029"/>
    <w:rsid w:val="009B6971"/>
    <w:rsid w:val="009C27F1"/>
    <w:rsid w:val="009C3152"/>
    <w:rsid w:val="009C4CFA"/>
    <w:rsid w:val="009C5070"/>
    <w:rsid w:val="009C6A0A"/>
    <w:rsid w:val="009D0834"/>
    <w:rsid w:val="009D112C"/>
    <w:rsid w:val="009D47FA"/>
    <w:rsid w:val="009D4C5B"/>
    <w:rsid w:val="009D50D2"/>
    <w:rsid w:val="009D6BCA"/>
    <w:rsid w:val="009E0F62"/>
    <w:rsid w:val="009E4A58"/>
    <w:rsid w:val="009E54E3"/>
    <w:rsid w:val="009E5A2D"/>
    <w:rsid w:val="009E5AB2"/>
    <w:rsid w:val="009E60DD"/>
    <w:rsid w:val="009E6219"/>
    <w:rsid w:val="009F03B3"/>
    <w:rsid w:val="00A0096C"/>
    <w:rsid w:val="00A01757"/>
    <w:rsid w:val="00A028C0"/>
    <w:rsid w:val="00A02BAE"/>
    <w:rsid w:val="00A046DB"/>
    <w:rsid w:val="00A05135"/>
    <w:rsid w:val="00A06A6B"/>
    <w:rsid w:val="00A07E47"/>
    <w:rsid w:val="00A129D0"/>
    <w:rsid w:val="00A12C33"/>
    <w:rsid w:val="00A138BA"/>
    <w:rsid w:val="00A14C8E"/>
    <w:rsid w:val="00A153D9"/>
    <w:rsid w:val="00A15F09"/>
    <w:rsid w:val="00A169B6"/>
    <w:rsid w:val="00A20F90"/>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10F"/>
    <w:rsid w:val="00A4452E"/>
    <w:rsid w:val="00A4472C"/>
    <w:rsid w:val="00A44E69"/>
    <w:rsid w:val="00A4661E"/>
    <w:rsid w:val="00A55BD6"/>
    <w:rsid w:val="00A55D50"/>
    <w:rsid w:val="00A57142"/>
    <w:rsid w:val="00A57401"/>
    <w:rsid w:val="00A61F9B"/>
    <w:rsid w:val="00A648CD"/>
    <w:rsid w:val="00A64BA0"/>
    <w:rsid w:val="00A6537A"/>
    <w:rsid w:val="00A67866"/>
    <w:rsid w:val="00A70B07"/>
    <w:rsid w:val="00A723F8"/>
    <w:rsid w:val="00A77CCB"/>
    <w:rsid w:val="00A81F60"/>
    <w:rsid w:val="00A83D8D"/>
    <w:rsid w:val="00A8446B"/>
    <w:rsid w:val="00A8473F"/>
    <w:rsid w:val="00A862D6"/>
    <w:rsid w:val="00A8715E"/>
    <w:rsid w:val="00A9295B"/>
    <w:rsid w:val="00A93B09"/>
    <w:rsid w:val="00A94247"/>
    <w:rsid w:val="00A952D7"/>
    <w:rsid w:val="00A963F7"/>
    <w:rsid w:val="00A96AD8"/>
    <w:rsid w:val="00AA052C"/>
    <w:rsid w:val="00AA0DA2"/>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486"/>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A42"/>
    <w:rsid w:val="00B049AF"/>
    <w:rsid w:val="00B06EB2"/>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4DF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62F"/>
    <w:rsid w:val="00BC5DC7"/>
    <w:rsid w:val="00BC691A"/>
    <w:rsid w:val="00BC6B8B"/>
    <w:rsid w:val="00BC73D8"/>
    <w:rsid w:val="00BD2684"/>
    <w:rsid w:val="00BD52D7"/>
    <w:rsid w:val="00BD5AD2"/>
    <w:rsid w:val="00BE22F3"/>
    <w:rsid w:val="00BE5B52"/>
    <w:rsid w:val="00BE6C56"/>
    <w:rsid w:val="00BE7B8D"/>
    <w:rsid w:val="00BF0993"/>
    <w:rsid w:val="00BF10A9"/>
    <w:rsid w:val="00BF1703"/>
    <w:rsid w:val="00BF231C"/>
    <w:rsid w:val="00BF51E5"/>
    <w:rsid w:val="00BF74A6"/>
    <w:rsid w:val="00C013AD"/>
    <w:rsid w:val="00C04904"/>
    <w:rsid w:val="00C056B3"/>
    <w:rsid w:val="00C103E5"/>
    <w:rsid w:val="00C13319"/>
    <w:rsid w:val="00C13EE9"/>
    <w:rsid w:val="00C167E3"/>
    <w:rsid w:val="00C21540"/>
    <w:rsid w:val="00C21906"/>
    <w:rsid w:val="00C21BFA"/>
    <w:rsid w:val="00C22148"/>
    <w:rsid w:val="00C24C8D"/>
    <w:rsid w:val="00C25FE2"/>
    <w:rsid w:val="00C26B53"/>
    <w:rsid w:val="00C279B2"/>
    <w:rsid w:val="00C27F9C"/>
    <w:rsid w:val="00C33E50"/>
    <w:rsid w:val="00C34C20"/>
    <w:rsid w:val="00C35A3E"/>
    <w:rsid w:val="00C40F87"/>
    <w:rsid w:val="00C42130"/>
    <w:rsid w:val="00C423A4"/>
    <w:rsid w:val="00C44BF5"/>
    <w:rsid w:val="00C521D6"/>
    <w:rsid w:val="00C55232"/>
    <w:rsid w:val="00C553A4"/>
    <w:rsid w:val="00C55A06"/>
    <w:rsid w:val="00C55D03"/>
    <w:rsid w:val="00C601BC"/>
    <w:rsid w:val="00C6329F"/>
    <w:rsid w:val="00C63340"/>
    <w:rsid w:val="00C643F9"/>
    <w:rsid w:val="00C64E95"/>
    <w:rsid w:val="00C6774B"/>
    <w:rsid w:val="00C71372"/>
    <w:rsid w:val="00C72410"/>
    <w:rsid w:val="00C7287F"/>
    <w:rsid w:val="00C72A61"/>
    <w:rsid w:val="00C76AFD"/>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26A"/>
    <w:rsid w:val="00CC39FF"/>
    <w:rsid w:val="00CC3C2F"/>
    <w:rsid w:val="00CC4AC8"/>
    <w:rsid w:val="00CC5233"/>
    <w:rsid w:val="00CC5DE6"/>
    <w:rsid w:val="00CC64E8"/>
    <w:rsid w:val="00CC6E4E"/>
    <w:rsid w:val="00CC6FE8"/>
    <w:rsid w:val="00CC7202"/>
    <w:rsid w:val="00CD2808"/>
    <w:rsid w:val="00CD28BF"/>
    <w:rsid w:val="00CD4092"/>
    <w:rsid w:val="00CD4A20"/>
    <w:rsid w:val="00CD50A1"/>
    <w:rsid w:val="00CD519E"/>
    <w:rsid w:val="00CD561D"/>
    <w:rsid w:val="00CD5784"/>
    <w:rsid w:val="00CE0C4F"/>
    <w:rsid w:val="00CE30EA"/>
    <w:rsid w:val="00CE7A85"/>
    <w:rsid w:val="00CF048A"/>
    <w:rsid w:val="00CF155A"/>
    <w:rsid w:val="00CF2947"/>
    <w:rsid w:val="00CF686F"/>
    <w:rsid w:val="00CF6E60"/>
    <w:rsid w:val="00CF7BCA"/>
    <w:rsid w:val="00D008FD"/>
    <w:rsid w:val="00D0321C"/>
    <w:rsid w:val="00D035EC"/>
    <w:rsid w:val="00D062B3"/>
    <w:rsid w:val="00D063F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6F5"/>
    <w:rsid w:val="00D32719"/>
    <w:rsid w:val="00D33333"/>
    <w:rsid w:val="00D33457"/>
    <w:rsid w:val="00D352A2"/>
    <w:rsid w:val="00D3660F"/>
    <w:rsid w:val="00D4162B"/>
    <w:rsid w:val="00D44FB0"/>
    <w:rsid w:val="00D4514F"/>
    <w:rsid w:val="00D451E2"/>
    <w:rsid w:val="00D45E89"/>
    <w:rsid w:val="00D45E8D"/>
    <w:rsid w:val="00D461AE"/>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3CD0"/>
    <w:rsid w:val="00DB498B"/>
    <w:rsid w:val="00DB66CA"/>
    <w:rsid w:val="00DB6BCA"/>
    <w:rsid w:val="00DB73F7"/>
    <w:rsid w:val="00DC0321"/>
    <w:rsid w:val="00DC3067"/>
    <w:rsid w:val="00DC370B"/>
    <w:rsid w:val="00DC3B20"/>
    <w:rsid w:val="00DC5B90"/>
    <w:rsid w:val="00DD00FF"/>
    <w:rsid w:val="00DD0619"/>
    <w:rsid w:val="00DD07FB"/>
    <w:rsid w:val="00DD25C6"/>
    <w:rsid w:val="00DD2E78"/>
    <w:rsid w:val="00DD4FE5"/>
    <w:rsid w:val="00DD54B0"/>
    <w:rsid w:val="00DD57EE"/>
    <w:rsid w:val="00DD62E6"/>
    <w:rsid w:val="00DD6BCC"/>
    <w:rsid w:val="00DE0A4B"/>
    <w:rsid w:val="00DE2410"/>
    <w:rsid w:val="00DE2939"/>
    <w:rsid w:val="00DE392E"/>
    <w:rsid w:val="00DE6E81"/>
    <w:rsid w:val="00DE703F"/>
    <w:rsid w:val="00DE7595"/>
    <w:rsid w:val="00DF1961"/>
    <w:rsid w:val="00DF44DE"/>
    <w:rsid w:val="00DF5F11"/>
    <w:rsid w:val="00E006EE"/>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68EB"/>
    <w:rsid w:val="00E502C1"/>
    <w:rsid w:val="00E502DD"/>
    <w:rsid w:val="00E50D3A"/>
    <w:rsid w:val="00E51387"/>
    <w:rsid w:val="00E51E68"/>
    <w:rsid w:val="00E52EFD"/>
    <w:rsid w:val="00E5408A"/>
    <w:rsid w:val="00E549E6"/>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95F"/>
    <w:rsid w:val="00ED067A"/>
    <w:rsid w:val="00ED2B50"/>
    <w:rsid w:val="00ED7055"/>
    <w:rsid w:val="00EE0350"/>
    <w:rsid w:val="00EE0719"/>
    <w:rsid w:val="00EE0E80"/>
    <w:rsid w:val="00EE54A6"/>
    <w:rsid w:val="00EE613F"/>
    <w:rsid w:val="00EE7295"/>
    <w:rsid w:val="00EE7869"/>
    <w:rsid w:val="00EF00E7"/>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2C48"/>
    <w:rsid w:val="00F33817"/>
    <w:rsid w:val="00F341C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423"/>
    <w:rsid w:val="00F81141"/>
    <w:rsid w:val="00F833BA"/>
    <w:rsid w:val="00F84FD0"/>
    <w:rsid w:val="00F859A8"/>
    <w:rsid w:val="00F86D87"/>
    <w:rsid w:val="00F9108B"/>
    <w:rsid w:val="00F91349"/>
    <w:rsid w:val="00F93A8A"/>
    <w:rsid w:val="00F95248"/>
    <w:rsid w:val="00F956A9"/>
    <w:rsid w:val="00F963ED"/>
    <w:rsid w:val="00F966CF"/>
    <w:rsid w:val="00F96CAE"/>
    <w:rsid w:val="00F977AD"/>
    <w:rsid w:val="00F97C99"/>
    <w:rsid w:val="00FA4DAC"/>
    <w:rsid w:val="00FA653F"/>
    <w:rsid w:val="00FA662D"/>
    <w:rsid w:val="00FA73B1"/>
    <w:rsid w:val="00FB0CB9"/>
    <w:rsid w:val="00FB231D"/>
    <w:rsid w:val="00FB45F1"/>
    <w:rsid w:val="00FB4A72"/>
    <w:rsid w:val="00FB54E8"/>
    <w:rsid w:val="00FB7054"/>
    <w:rsid w:val="00FC0091"/>
    <w:rsid w:val="00FC17B7"/>
    <w:rsid w:val="00FC19AF"/>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786"/>
    <w:rsid w:val="00FE7E79"/>
    <w:rsid w:val="00FF36FB"/>
    <w:rsid w:val="00FF3E7D"/>
    <w:rsid w:val="00FF5B99"/>
    <w:rsid w:val="00FF6D72"/>
    <w:rsid w:val="00FF6FAF"/>
    <w:rsid w:val="00FF730C"/>
    <w:rsid w:val="00FF73F4"/>
    <w:rsid w:val="00FF7CE4"/>
    <w:rsid w:val="00FF7E39"/>
    <w:rsid w:val="17342109"/>
    <w:rsid w:val="1BAF457F"/>
    <w:rsid w:val="24AF717B"/>
    <w:rsid w:val="276E2ACE"/>
    <w:rsid w:val="3B5B551E"/>
    <w:rsid w:val="6F3825FD"/>
    <w:rsid w:val="719721EE"/>
    <w:rsid w:val="76481D09"/>
    <w:rsid w:val="780600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8"/>
    <w:qFormat/>
    <w:uiPriority w:val="0"/>
    <w:pPr>
      <w:keepNext/>
      <w:keepLines/>
      <w:spacing w:before="260" w:after="260" w:line="416" w:lineRule="auto"/>
      <w:outlineLvl w:val="2"/>
    </w:pPr>
    <w:rPr>
      <w:b/>
      <w:bCs/>
      <w:sz w:val="32"/>
      <w:szCs w:val="32"/>
    </w:rPr>
  </w:style>
  <w:style w:type="paragraph" w:styleId="6">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3"/>
    <w:qFormat/>
    <w:uiPriority w:val="0"/>
    <w:rPr>
      <w:b/>
      <w:bCs/>
      <w:kern w:val="44"/>
      <w:sz w:val="44"/>
      <w:szCs w:val="44"/>
    </w:rPr>
  </w:style>
  <w:style w:type="character" w:customStyle="1" w:styleId="37">
    <w:name w:val="标题 2 Char"/>
    <w:link w:val="4"/>
    <w:qFormat/>
    <w:uiPriority w:val="0"/>
    <w:rPr>
      <w:rFonts w:ascii="Arial" w:hAnsi="Arial" w:eastAsia="黑体"/>
      <w:b/>
      <w:bCs/>
      <w:kern w:val="2"/>
      <w:sz w:val="32"/>
      <w:szCs w:val="32"/>
    </w:rPr>
  </w:style>
  <w:style w:type="character" w:customStyle="1" w:styleId="38">
    <w:name w:val="标题 3 Char"/>
    <w:link w:val="5"/>
    <w:qFormat/>
    <w:uiPriority w:val="0"/>
    <w:rPr>
      <w:b/>
      <w:bCs/>
      <w:kern w:val="2"/>
      <w:sz w:val="32"/>
      <w:szCs w:val="32"/>
    </w:rPr>
  </w:style>
  <w:style w:type="character" w:customStyle="1" w:styleId="39">
    <w:name w:val="标题 4 Char"/>
    <w:link w:val="6"/>
    <w:qFormat/>
    <w:uiPriority w:val="0"/>
    <w:rPr>
      <w:rFonts w:ascii="Arial" w:hAnsi="Arial" w:eastAsia="黑体"/>
      <w:b/>
      <w:bCs/>
      <w:kern w:val="2"/>
      <w:sz w:val="28"/>
      <w:szCs w:val="28"/>
    </w:rPr>
  </w:style>
  <w:style w:type="character" w:customStyle="1" w:styleId="40">
    <w:name w:val="标题 5 Char"/>
    <w:link w:val="7"/>
    <w:qFormat/>
    <w:uiPriority w:val="0"/>
    <w:rPr>
      <w:b/>
      <w:bCs/>
      <w:kern w:val="2"/>
      <w:sz w:val="28"/>
      <w:szCs w:val="28"/>
    </w:rPr>
  </w:style>
  <w:style w:type="character" w:customStyle="1" w:styleId="41">
    <w:name w:val="标题 6 Char"/>
    <w:link w:val="8"/>
    <w:qFormat/>
    <w:uiPriority w:val="0"/>
    <w:rPr>
      <w:rFonts w:ascii="Arial" w:hAnsi="Arial" w:eastAsia="黑体"/>
      <w:b/>
      <w:bCs/>
      <w:kern w:val="2"/>
      <w:sz w:val="24"/>
      <w:szCs w:val="24"/>
    </w:rPr>
  </w:style>
  <w:style w:type="character" w:customStyle="1" w:styleId="42">
    <w:name w:val="标题 7 Char"/>
    <w:link w:val="9"/>
    <w:qFormat/>
    <w:uiPriority w:val="0"/>
    <w:rPr>
      <w:b/>
      <w:bCs/>
      <w:kern w:val="2"/>
      <w:sz w:val="24"/>
      <w:szCs w:val="24"/>
    </w:rPr>
  </w:style>
  <w:style w:type="character" w:customStyle="1" w:styleId="43">
    <w:name w:val="标题 8 Char"/>
    <w:link w:val="10"/>
    <w:qFormat/>
    <w:uiPriority w:val="0"/>
    <w:rPr>
      <w:rFonts w:ascii="Arial" w:hAnsi="Arial" w:eastAsia="黑体"/>
      <w:kern w:val="2"/>
      <w:sz w:val="24"/>
      <w:szCs w:val="24"/>
    </w:rPr>
  </w:style>
  <w:style w:type="character" w:customStyle="1" w:styleId="44">
    <w:name w:val="标题 9 Char"/>
    <w:link w:val="11"/>
    <w:qFormat/>
    <w:uiPriority w:val="0"/>
    <w:rPr>
      <w:rFonts w:ascii="Arial" w:hAnsi="Arial" w:eastAsia="黑体"/>
      <w:kern w:val="2"/>
      <w:sz w:val="21"/>
      <w:szCs w:val="21"/>
    </w:rPr>
  </w:style>
  <w:style w:type="character" w:customStyle="1" w:styleId="45">
    <w:name w:val="页眉 Char"/>
    <w:link w:val="19"/>
    <w:qFormat/>
    <w:uiPriority w:val="99"/>
    <w:rPr>
      <w:kern w:val="2"/>
      <w:sz w:val="18"/>
      <w:szCs w:val="18"/>
    </w:rPr>
  </w:style>
  <w:style w:type="character" w:customStyle="1" w:styleId="46">
    <w:name w:val="页脚 Char"/>
    <w:link w:val="18"/>
    <w:qFormat/>
    <w:uiPriority w:val="99"/>
    <w:rPr>
      <w:rFonts w:ascii="宋体"/>
      <w:kern w:val="2"/>
      <w:sz w:val="18"/>
      <w:szCs w:val="18"/>
    </w:rPr>
  </w:style>
  <w:style w:type="character" w:customStyle="1" w:styleId="47">
    <w:name w:val="批注框文本 Char"/>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character" w:customStyle="1" w:styleId="230">
    <w:name w:val="发布"/>
    <w:basedOn w:val="30"/>
    <w:qFormat/>
    <w:uiPriority w:val="0"/>
    <w:rPr>
      <w:rFonts w:ascii="黑体" w:eastAsia="黑体"/>
      <w:spacing w:val="85"/>
      <w:w w:val="100"/>
      <w:position w:val="3"/>
      <w:sz w:val="28"/>
      <w:szCs w:val="28"/>
    </w:rPr>
  </w:style>
  <w:style w:type="paragraph" w:styleId="231">
    <w:name w:val="List Paragraph"/>
    <w:basedOn w:val="1"/>
    <w:qFormat/>
    <w:uiPriority w:val="34"/>
    <w:pPr>
      <w:adjustRightInd/>
      <w:spacing w:line="240" w:lineRule="auto"/>
      <w:ind w:firstLine="420" w:firstLineChars="200"/>
    </w:pPr>
    <w:rPr>
      <w:rFonts w:asciiTheme="minorHAnsi" w:hAnsiTheme="minorHAnsi" w:eastAsiaTheme="minorEastAsia" w:cstheme="minorBidi"/>
      <w:szCs w:val="22"/>
    </w:rPr>
  </w:style>
  <w:style w:type="paragraph" w:customStyle="1" w:styleId="232">
    <w:name w:val="TOC Heading"/>
    <w:basedOn w:val="3"/>
    <w:next w:val="1"/>
    <w:semiHidden/>
    <w:unhideWhenUsed/>
    <w:qFormat/>
    <w:uiPriority w:val="39"/>
    <w:pPr>
      <w:spacing w:line="578" w:lineRule="atLeast"/>
      <w:outlineLvl w:val="9"/>
    </w:pPr>
  </w:style>
  <w:style w:type="paragraph" w:customStyle="1" w:styleId="233">
    <w:name w:val="段"/>
    <w:link w:val="234"/>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basedOn w:val="30"/>
    <w:link w:val="233"/>
    <w:autoRedefine/>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710AC6AFC6A4FDFA01B76E8A006C766"/>
        <w:style w:val=""/>
        <w:category>
          <w:name w:val="常规"/>
          <w:gallery w:val="placeholder"/>
        </w:category>
        <w:types>
          <w:type w:val="bbPlcHdr"/>
        </w:types>
        <w:behaviors>
          <w:behavior w:val="content"/>
        </w:behaviors>
        <w:description w:val=""/>
        <w:guid w:val="{BEDF8F80-CABE-411E-9725-A10EFC59F3B2}"/>
      </w:docPartPr>
      <w:docPartBody>
        <w:p w14:paraId="05A8E654">
          <w:pPr>
            <w:pStyle w:val="5"/>
          </w:pPr>
          <w:r>
            <w:rPr>
              <w:rStyle w:val="4"/>
              <w:rFonts w:hint="eastAsia"/>
            </w:rPr>
            <w:t>单击或点击此处输入文字。</w:t>
          </w:r>
        </w:p>
      </w:docPartBody>
    </w:docPart>
    <w:docPart>
      <w:docPartPr>
        <w:name w:val="F99C02DDC3674BE2BBE2FF8BB29EBE37"/>
        <w:style w:val=""/>
        <w:category>
          <w:name w:val="常规"/>
          <w:gallery w:val="placeholder"/>
        </w:category>
        <w:types>
          <w:type w:val="bbPlcHdr"/>
        </w:types>
        <w:behaviors>
          <w:behavior w:val="content"/>
        </w:behaviors>
        <w:description w:val=""/>
        <w:guid w:val="{EE696376-8043-49C4-8070-7F14C5A3230D}"/>
      </w:docPartPr>
      <w:docPartBody>
        <w:p w14:paraId="3F4EE792">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06E72"/>
    <w:rsid w:val="00037345"/>
    <w:rsid w:val="000563F8"/>
    <w:rsid w:val="000C0922"/>
    <w:rsid w:val="000D23C4"/>
    <w:rsid w:val="001A058F"/>
    <w:rsid w:val="002711D5"/>
    <w:rsid w:val="002F1084"/>
    <w:rsid w:val="0041725E"/>
    <w:rsid w:val="004C55CB"/>
    <w:rsid w:val="004D1752"/>
    <w:rsid w:val="004F333E"/>
    <w:rsid w:val="006C42AD"/>
    <w:rsid w:val="00936CA0"/>
    <w:rsid w:val="00A0298F"/>
    <w:rsid w:val="00A32D48"/>
    <w:rsid w:val="00BA2D07"/>
    <w:rsid w:val="00C06E72"/>
    <w:rsid w:val="00C27982"/>
    <w:rsid w:val="00CF50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710AC6AFC6A4FDFA01B76E8A006C7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99C02DDC3674BE2BBE2FF8BB29EBE3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15C4F36920B409186715A1B242B5FB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DB932F-28C1-420C-861B-F48BBC9CB4E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42</Pages>
  <Words>5473</Words>
  <Characters>6233</Characters>
  <Lines>190</Lines>
  <Paragraphs>53</Paragraphs>
  <TotalTime>3</TotalTime>
  <ScaleCrop>false</ScaleCrop>
  <LinksUpToDate>false</LinksUpToDate>
  <CharactersWithSpaces>6343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2024-12-26T20:59:00Z</dcterms:created>
  <dc:creator>user</dc:creator>
  <dc:description>&lt;config cover="true" show_menu="true" version="1.0.0" doctype="SDKXY"&gt;_x000d_
&lt;/config&gt;</dc:description>
  <cp:lastModifiedBy>小.包</cp:lastModifiedBy>
  <cp:lastPrinted>2024-11-14T03:26:00Z</cp:lastPrinted>
  <dcterms:modified xsi:type="dcterms:W3CDTF">2025-03-04T08:09:29Z</dcterms:modified>
  <dc:title>地方标准</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eyJoZGlkIjoiMjc1MzExMDhkZjgxNTMzM2VlZTIxNTEyY2Q3NjgxMjUiLCJ1c2VySWQiOiIxMTY4NjI4OTU5In0=</vt:lpwstr>
  </property>
  <property fmtid="{D5CDD505-2E9C-101B-9397-08002B2CF9AE}" pid="15" name="KSOProductBuildVer">
    <vt:lpwstr>2052-12.1.0.20305</vt:lpwstr>
  </property>
  <property fmtid="{D5CDD505-2E9C-101B-9397-08002B2CF9AE}" pid="16" name="ICV">
    <vt:lpwstr>1E9E90A0124D412CA90DBA04E29F5E05_12</vt:lpwstr>
  </property>
</Properties>
</file>