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0" w:type="auto"/>
        <w:tblLook w:val="04A0" w:firstRow="1" w:lastRow="0" w:firstColumn="1" w:lastColumn="0" w:noHBand="0" w:noVBand="1"/>
      </w:tblPr>
      <w:tblGrid>
        <w:gridCol w:w="10402"/>
      </w:tblGrid>
      <w:tr w:rsidR="005C2FD0">
        <w:trPr>
          <w:trHeight w:val="3592"/>
        </w:trPr>
        <w:tc>
          <w:tcPr>
            <w:tcW w:w="10402" w:type="dxa"/>
            <w:tcBorders>
              <w:top w:val="nil"/>
              <w:left w:val="nil"/>
              <w:bottom w:val="nil"/>
              <w:right w:val="nil"/>
            </w:tcBorders>
          </w:tcPr>
          <w:p w:rsidR="005C2FD0" w:rsidRDefault="005C2FD0">
            <w:pPr>
              <w:pStyle w:val="a4"/>
              <w:spacing w:line="360" w:lineRule="auto"/>
              <w:rPr>
                <w:rFonts w:ascii="仿宋" w:eastAsia="仿宋" w:hAnsi="仿宋" w:cs="仿宋"/>
                <w:b/>
                <w:bCs/>
                <w:color w:val="FF0000"/>
                <w:sz w:val="22"/>
                <w:szCs w:val="22"/>
              </w:rPr>
            </w:pPr>
          </w:p>
        </w:tc>
      </w:tr>
      <w:tr w:rsidR="005C2FD0">
        <w:trPr>
          <w:trHeight w:val="4945"/>
        </w:trPr>
        <w:tc>
          <w:tcPr>
            <w:tcW w:w="10402" w:type="dxa"/>
            <w:tcBorders>
              <w:top w:val="nil"/>
              <w:left w:val="nil"/>
              <w:bottom w:val="nil"/>
              <w:right w:val="nil"/>
            </w:tcBorders>
          </w:tcPr>
          <w:p w:rsidR="005C2FD0" w:rsidRDefault="006026FB">
            <w:pPr>
              <w:ind w:rightChars="129" w:right="298"/>
              <w:jc w:val="center"/>
              <w:rPr>
                <w:rFonts w:ascii="宋体" w:eastAsia="宋体" w:hAnsi="宋体" w:cs="宋体"/>
                <w:b/>
                <w:bCs/>
                <w:sz w:val="52"/>
                <w:szCs w:val="52"/>
                <w:lang w:val="en-US"/>
              </w:rPr>
            </w:pPr>
            <w:r>
              <w:rPr>
                <w:rFonts w:ascii="宋体" w:eastAsia="宋体" w:hAnsi="宋体" w:cs="宋体"/>
                <w:b/>
                <w:sz w:val="52"/>
              </w:rPr>
              <w:t>2023</w:t>
            </w:r>
            <w:r>
              <w:rPr>
                <w:rFonts w:ascii="宋体" w:eastAsia="宋体" w:hAnsi="宋体" w:cs="宋体"/>
                <w:b/>
                <w:sz w:val="52"/>
              </w:rPr>
              <w:t>年度</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常州市市政工程管理中心</w:t>
            </w:r>
            <w:r>
              <w:rPr>
                <w:rFonts w:ascii="宋体" w:eastAsia="宋体" w:hAnsi="宋体" w:cs="宋体"/>
                <w:b/>
                <w:sz w:val="52"/>
              </w:rPr>
              <w:t xml:space="preserve"> </w:t>
            </w:r>
            <w:r>
              <w:rPr>
                <w:rFonts w:ascii="宋体" w:eastAsia="宋体" w:hAnsi="宋体" w:cs="宋体"/>
                <w:b/>
                <w:sz w:val="52"/>
              </w:rPr>
              <w:br/>
            </w:r>
            <w:r>
              <w:rPr>
                <w:rFonts w:ascii="宋体" w:eastAsia="宋体" w:hAnsi="宋体" w:cs="宋体"/>
                <w:b/>
                <w:sz w:val="52"/>
              </w:rPr>
              <w:t>单位决算公开</w:t>
            </w:r>
          </w:p>
        </w:tc>
      </w:tr>
    </w:tbl>
    <w:p w:rsidR="005C2FD0" w:rsidRDefault="005C2FD0">
      <w:pPr>
        <w:ind w:rightChars="129" w:right="298"/>
        <w:jc w:val="both"/>
        <w:rPr>
          <w:rFonts w:ascii="宋体" w:eastAsia="宋体" w:hAnsi="宋体" w:cs="宋体"/>
          <w:b/>
          <w:bCs/>
          <w:sz w:val="52"/>
          <w:szCs w:val="52"/>
        </w:rPr>
        <w:sectPr w:rsidR="005C2FD0">
          <w:headerReference w:type="default" r:id="rId7"/>
          <w:headerReference w:type="first" r:id="rId8"/>
          <w:pgSz w:w="11906" w:h="16838"/>
          <w:pgMar w:top="1580" w:right="700" w:bottom="770" w:left="1020" w:header="170" w:footer="280" w:gutter="0"/>
          <w:cols w:space="720"/>
          <w:formProt w:val="0"/>
          <w:titlePg/>
          <w:docGrid w:linePitch="100"/>
        </w:sectPr>
      </w:pPr>
    </w:p>
    <w:p w:rsidR="005C2FD0" w:rsidRDefault="005C2FD0">
      <w:pPr>
        <w:pStyle w:val="a4"/>
        <w:spacing w:before="4"/>
        <w:rPr>
          <w:rFonts w:ascii="华文仿宋" w:eastAsia="华文仿宋" w:hAnsi="华文仿宋" w:cs="仿宋"/>
          <w:sz w:val="10"/>
        </w:rPr>
      </w:pPr>
    </w:p>
    <w:p w:rsidR="005C2FD0" w:rsidRDefault="006026FB">
      <w:pPr>
        <w:pStyle w:val="2"/>
        <w:tabs>
          <w:tab w:val="left" w:pos="880"/>
        </w:tabs>
        <w:spacing w:line="718" w:lineRule="exact"/>
        <w:ind w:right="313"/>
        <w:rPr>
          <w:rFonts w:ascii="仿宋" w:eastAsia="仿宋" w:hAnsi="仿宋" w:cs="仿宋"/>
        </w:rPr>
      </w:pPr>
      <w:r>
        <w:rPr>
          <w:rFonts w:ascii="仿宋" w:eastAsia="仿宋" w:hAnsi="仿宋" w:cs="仿宋" w:hint="eastAsia"/>
          <w:b/>
          <w:bCs/>
        </w:rPr>
        <w:t>目</w:t>
      </w:r>
      <w:r>
        <w:rPr>
          <w:rFonts w:ascii="仿宋" w:eastAsia="仿宋" w:hAnsi="仿宋" w:cs="仿宋" w:hint="eastAsia"/>
          <w:b/>
          <w:bCs/>
        </w:rPr>
        <w:tab/>
      </w:r>
      <w:r>
        <w:rPr>
          <w:rFonts w:ascii="仿宋" w:eastAsia="仿宋" w:hAnsi="仿宋" w:cs="仿宋" w:hint="eastAsia"/>
          <w:b/>
          <w:bCs/>
        </w:rPr>
        <w:t>录</w:t>
      </w:r>
    </w:p>
    <w:p w:rsidR="005C2FD0" w:rsidRDefault="005C2FD0">
      <w:pPr>
        <w:pStyle w:val="a4"/>
        <w:spacing w:before="7"/>
        <w:rPr>
          <w:rFonts w:ascii="仿宋" w:eastAsia="仿宋" w:hAnsi="仿宋" w:cs="仿宋"/>
          <w:sz w:val="27"/>
        </w:rPr>
      </w:pPr>
    </w:p>
    <w:p w:rsidR="005C2FD0" w:rsidRDefault="006026FB">
      <w:pPr>
        <w:pStyle w:val="a4"/>
        <w:spacing w:line="360" w:lineRule="auto"/>
        <w:ind w:leftChars="300" w:left="704" w:hanging="11"/>
        <w:jc w:val="both"/>
        <w:outlineLvl w:val="0"/>
        <w:rPr>
          <w:rFonts w:ascii="黑体" w:eastAsia="黑体" w:hAnsi="黑体" w:cs="黑体"/>
        </w:rPr>
      </w:pPr>
      <w:r>
        <w:rPr>
          <w:rFonts w:ascii="黑体" w:eastAsia="黑体" w:hAnsi="黑体" w:cs="黑体" w:hint="eastAsia"/>
        </w:rPr>
        <w:t>第一部分</w:t>
      </w:r>
      <w:r>
        <w:rPr>
          <w:rFonts w:ascii="黑体" w:eastAsia="黑体" w:hAnsi="黑体" w:cs="黑体" w:hint="eastAsia"/>
        </w:rPr>
        <w:t xml:space="preserve"> </w:t>
      </w:r>
      <w:r>
        <w:rPr>
          <w:rFonts w:ascii="黑体" w:eastAsia="黑体" w:hAnsi="黑体" w:cs="黑体" w:hint="eastAsia"/>
          <w:lang w:val="en-US"/>
        </w:rPr>
        <w:t>单位</w:t>
      </w:r>
      <w:r>
        <w:rPr>
          <w:rFonts w:ascii="黑体" w:eastAsia="黑体" w:hAnsi="黑体" w:cs="黑体" w:hint="eastAsia"/>
        </w:rPr>
        <w:t>概况</w:t>
      </w:r>
    </w:p>
    <w:p w:rsidR="005C2FD0" w:rsidRDefault="006026FB">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一、主要职能</w:t>
      </w:r>
    </w:p>
    <w:p w:rsidR="005C2FD0" w:rsidRDefault="006026FB">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二、</w:t>
      </w:r>
      <w:r>
        <w:rPr>
          <w:rFonts w:ascii="仿宋" w:eastAsia="仿宋" w:hAnsi="仿宋" w:cs="仿宋" w:hint="eastAsia"/>
          <w:lang w:val="en-US"/>
        </w:rPr>
        <w:t>单位</w:t>
      </w:r>
      <w:r>
        <w:rPr>
          <w:rFonts w:ascii="仿宋" w:eastAsia="仿宋" w:hAnsi="仿宋" w:cs="仿宋" w:hint="eastAsia"/>
        </w:rPr>
        <w:t>机构设置及决算单位构成情况</w:t>
      </w:r>
    </w:p>
    <w:p w:rsidR="005C2FD0" w:rsidRDefault="006026FB">
      <w:pPr>
        <w:pStyle w:val="a4"/>
        <w:tabs>
          <w:tab w:val="left" w:pos="2249"/>
        </w:tabs>
        <w:spacing w:line="360" w:lineRule="auto"/>
        <w:ind w:leftChars="300" w:left="704" w:hanging="11"/>
        <w:jc w:val="both"/>
        <w:rPr>
          <w:rFonts w:ascii="仿宋" w:eastAsia="仿宋" w:hAnsi="仿宋" w:cs="仿宋"/>
        </w:rPr>
      </w:pPr>
      <w:r>
        <w:rPr>
          <w:rFonts w:ascii="仿宋" w:eastAsia="仿宋" w:hAnsi="仿宋" w:cs="仿宋" w:hint="eastAsia"/>
        </w:rPr>
        <w:t>三、</w:t>
      </w:r>
      <w:r>
        <w:rPr>
          <w:rFonts w:ascii="仿宋" w:eastAsia="仿宋" w:hAnsi="仿宋" w:cs="仿宋" w:hint="eastAsia"/>
        </w:rPr>
        <w:t>202</w:t>
      </w:r>
      <w:r>
        <w:rPr>
          <w:rFonts w:ascii="仿宋" w:eastAsia="仿宋" w:hAnsi="仿宋" w:cs="仿宋" w:hint="eastAsia"/>
          <w:lang w:val="en-US"/>
        </w:rPr>
        <w:t>3</w:t>
      </w:r>
      <w:r>
        <w:rPr>
          <w:rFonts w:ascii="仿宋" w:eastAsia="仿宋" w:hAnsi="仿宋" w:cs="仿宋" w:hint="eastAsia"/>
        </w:rPr>
        <w:t>年度主要工作完成情况</w:t>
      </w:r>
    </w:p>
    <w:p w:rsidR="005C2FD0" w:rsidRDefault="006026FB">
      <w:pPr>
        <w:pStyle w:val="a4"/>
        <w:spacing w:line="360" w:lineRule="auto"/>
        <w:ind w:leftChars="300" w:left="704" w:hanging="11"/>
        <w:jc w:val="both"/>
        <w:rPr>
          <w:rFonts w:ascii="黑体" w:eastAsia="黑体" w:hAnsi="黑体" w:cs="黑体"/>
        </w:rPr>
      </w:pPr>
      <w:r>
        <w:rPr>
          <w:rFonts w:ascii="黑体" w:eastAsia="黑体" w:hAnsi="黑体" w:cs="黑体" w:hint="eastAsia"/>
          <w:lang w:val="en-US"/>
        </w:rPr>
        <w:t>第二部分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单位决算表</w:t>
      </w:r>
    </w:p>
    <w:p w:rsidR="005C2FD0" w:rsidRDefault="006026FB">
      <w:pPr>
        <w:pStyle w:val="a4"/>
        <w:spacing w:line="360" w:lineRule="auto"/>
        <w:ind w:leftChars="300" w:left="704" w:right="5774" w:hanging="11"/>
        <w:jc w:val="both"/>
        <w:rPr>
          <w:rFonts w:ascii="仿宋" w:eastAsia="仿宋" w:hAnsi="仿宋" w:cs="仿宋"/>
        </w:rPr>
      </w:pPr>
      <w:r>
        <w:rPr>
          <w:rFonts w:ascii="仿宋" w:eastAsia="仿宋" w:hAnsi="仿宋" w:cs="仿宋" w:hint="eastAsia"/>
          <w:spacing w:val="-2"/>
        </w:rPr>
        <w:t>一、收入支出决算总表</w:t>
      </w:r>
    </w:p>
    <w:p w:rsidR="005C2FD0" w:rsidRDefault="006026FB">
      <w:pPr>
        <w:pStyle w:val="a4"/>
        <w:spacing w:line="360" w:lineRule="auto"/>
        <w:ind w:leftChars="300" w:left="704" w:right="5774" w:hanging="11"/>
        <w:jc w:val="both"/>
        <w:rPr>
          <w:rFonts w:ascii="仿宋" w:eastAsia="仿宋" w:hAnsi="仿宋" w:cs="仿宋"/>
        </w:rPr>
      </w:pPr>
      <w:r>
        <w:rPr>
          <w:rFonts w:ascii="仿宋" w:eastAsia="仿宋" w:hAnsi="仿宋" w:cs="仿宋" w:hint="eastAsia"/>
        </w:rPr>
        <w:t>二、收入决算表</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w w:val="95"/>
        </w:rPr>
        <w:t>三、支出决算表</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rPr>
        <w:t>四、财政拨款收入支出决算总表</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rPr>
        <w:t>五、财政拨款支出决算表（功能科目）</w:t>
      </w:r>
    </w:p>
    <w:p w:rsidR="005C2FD0" w:rsidRDefault="006026FB">
      <w:pPr>
        <w:pStyle w:val="a4"/>
        <w:spacing w:line="360" w:lineRule="auto"/>
        <w:ind w:leftChars="300" w:left="704" w:right="2894" w:hanging="11"/>
        <w:jc w:val="both"/>
        <w:rPr>
          <w:rFonts w:ascii="仿宋" w:eastAsia="仿宋" w:hAnsi="仿宋" w:cs="仿宋"/>
        </w:rPr>
      </w:pPr>
      <w:r>
        <w:rPr>
          <w:rFonts w:ascii="仿宋" w:eastAsia="仿宋" w:hAnsi="仿宋" w:cs="仿宋" w:hint="eastAsia"/>
        </w:rPr>
        <w:t>六、财政拨款基本支出决算表（经济科目）</w:t>
      </w:r>
      <w:r>
        <w:rPr>
          <w:rFonts w:ascii="仿宋" w:eastAsia="仿宋" w:hAnsi="仿宋" w:cs="仿宋" w:hint="eastAsia"/>
        </w:rPr>
        <w:t xml:space="preserve"> </w:t>
      </w:r>
      <w:r>
        <w:rPr>
          <w:rFonts w:ascii="仿宋" w:eastAsia="仿宋" w:hAnsi="仿宋" w:cs="仿宋" w:hint="eastAsia"/>
        </w:rPr>
        <w:t>七、一般公共预算支出决算表（功能科目）</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rPr>
        <w:t>八、一般公共预算基本支出决算表（经济科目）</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rPr>
        <w:t>九、</w:t>
      </w:r>
      <w:r>
        <w:rPr>
          <w:rFonts w:ascii="仿宋" w:eastAsia="仿宋" w:hAnsi="仿宋" w:cs="仿宋" w:hint="eastAsia"/>
          <w:lang w:val="en-US"/>
        </w:rPr>
        <w:t>财政拨款</w:t>
      </w:r>
      <w:r>
        <w:rPr>
          <w:rFonts w:ascii="仿宋" w:eastAsia="仿宋" w:hAnsi="仿宋" w:cs="仿宋" w:hint="eastAsia"/>
        </w:rPr>
        <w:t>“三公”经费、会议费、培训费支出决算表</w:t>
      </w:r>
    </w:p>
    <w:p w:rsidR="005C2FD0" w:rsidRDefault="006026FB">
      <w:pPr>
        <w:pStyle w:val="a4"/>
        <w:spacing w:line="360" w:lineRule="auto"/>
        <w:ind w:leftChars="300" w:left="704" w:hanging="11"/>
        <w:jc w:val="both"/>
        <w:rPr>
          <w:rFonts w:ascii="仿宋" w:eastAsia="仿宋" w:hAnsi="仿宋" w:cs="仿宋"/>
        </w:rPr>
      </w:pPr>
      <w:r>
        <w:rPr>
          <w:rFonts w:ascii="仿宋" w:eastAsia="仿宋" w:hAnsi="仿宋" w:cs="仿宋" w:hint="eastAsia"/>
        </w:rPr>
        <w:t>十、政府性基金预算支出决算表</w:t>
      </w:r>
    </w:p>
    <w:p w:rsidR="005C2FD0" w:rsidRDefault="006026FB">
      <w:pPr>
        <w:pStyle w:val="a4"/>
        <w:spacing w:line="360" w:lineRule="auto"/>
        <w:ind w:leftChars="300" w:left="704" w:right="2575" w:hanging="11"/>
        <w:jc w:val="both"/>
        <w:rPr>
          <w:rFonts w:ascii="仿宋" w:eastAsia="仿宋" w:hAnsi="仿宋" w:cs="仿宋"/>
          <w:lang w:val="en-US"/>
        </w:rPr>
      </w:pPr>
      <w:r>
        <w:rPr>
          <w:rFonts w:ascii="仿宋" w:eastAsia="仿宋" w:hAnsi="仿宋" w:cs="仿宋" w:hint="eastAsia"/>
        </w:rPr>
        <w:t>十一、</w:t>
      </w:r>
      <w:r>
        <w:rPr>
          <w:rFonts w:ascii="仿宋" w:eastAsia="仿宋" w:hAnsi="仿宋" w:cs="仿宋" w:hint="eastAsia"/>
          <w:lang w:val="en-US"/>
        </w:rPr>
        <w:t>国有资本经营预算支出决算表</w:t>
      </w:r>
    </w:p>
    <w:p w:rsidR="005C2FD0" w:rsidRDefault="006026FB">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二</w:t>
      </w:r>
      <w:r>
        <w:rPr>
          <w:rFonts w:ascii="仿宋" w:eastAsia="仿宋" w:hAnsi="仿宋" w:cs="仿宋" w:hint="eastAsia"/>
        </w:rPr>
        <w:t>、</w:t>
      </w:r>
      <w:r>
        <w:rPr>
          <w:rFonts w:ascii="仿宋" w:eastAsia="仿宋" w:hAnsi="仿宋" w:cs="仿宋" w:hint="eastAsia"/>
          <w:lang w:val="en-US"/>
        </w:rPr>
        <w:t>财政拨款</w:t>
      </w:r>
      <w:r>
        <w:rPr>
          <w:rFonts w:ascii="仿宋" w:eastAsia="仿宋" w:hAnsi="仿宋" w:cs="仿宋" w:hint="eastAsia"/>
        </w:rPr>
        <w:t>机关运行经费支出决算表</w:t>
      </w:r>
    </w:p>
    <w:p w:rsidR="005C2FD0" w:rsidRDefault="006026FB">
      <w:pPr>
        <w:pStyle w:val="a4"/>
        <w:spacing w:line="360" w:lineRule="auto"/>
        <w:ind w:leftChars="300" w:left="704" w:right="2575" w:hanging="11"/>
        <w:jc w:val="both"/>
        <w:rPr>
          <w:rFonts w:ascii="仿宋" w:eastAsia="仿宋" w:hAnsi="仿宋" w:cs="仿宋"/>
        </w:rPr>
      </w:pPr>
      <w:r>
        <w:rPr>
          <w:rFonts w:ascii="仿宋" w:eastAsia="仿宋" w:hAnsi="仿宋" w:cs="仿宋" w:hint="eastAsia"/>
        </w:rPr>
        <w:t>十</w:t>
      </w:r>
      <w:r>
        <w:rPr>
          <w:rFonts w:ascii="仿宋" w:eastAsia="仿宋" w:hAnsi="仿宋" w:cs="仿宋" w:hint="eastAsia"/>
          <w:lang w:val="en-US"/>
        </w:rPr>
        <w:t>三</w:t>
      </w:r>
      <w:r>
        <w:rPr>
          <w:rFonts w:ascii="仿宋" w:eastAsia="仿宋" w:hAnsi="仿宋" w:cs="仿宋" w:hint="eastAsia"/>
        </w:rPr>
        <w:t>、政府采购支出决算表</w:t>
      </w:r>
    </w:p>
    <w:p w:rsidR="005C2FD0" w:rsidRDefault="006026FB">
      <w:pPr>
        <w:pStyle w:val="a4"/>
        <w:spacing w:line="360" w:lineRule="auto"/>
        <w:ind w:leftChars="300" w:left="704" w:hanging="11"/>
        <w:jc w:val="both"/>
        <w:rPr>
          <w:rFonts w:ascii="黑体" w:eastAsia="黑体" w:hAnsi="黑体" w:cs="黑体"/>
          <w:lang w:val="en-US"/>
        </w:rPr>
      </w:pPr>
      <w:r>
        <w:rPr>
          <w:rFonts w:ascii="黑体" w:eastAsia="黑体" w:hAnsi="黑体" w:cs="黑体" w:hint="eastAsia"/>
          <w:lang w:val="en-US"/>
        </w:rPr>
        <w:t>第三部分</w:t>
      </w:r>
      <w:r>
        <w:rPr>
          <w:rFonts w:ascii="黑体" w:eastAsia="黑体" w:hAnsi="黑体" w:cs="黑体" w:hint="eastAsia"/>
          <w:lang w:val="en-US"/>
        </w:rPr>
        <w:t xml:space="preserve"> 2023</w:t>
      </w:r>
      <w:r>
        <w:rPr>
          <w:rFonts w:ascii="黑体" w:eastAsia="黑体" w:hAnsi="黑体" w:cs="黑体" w:hint="eastAsia"/>
          <w:lang w:val="en-US"/>
        </w:rPr>
        <w:t>年度</w:t>
      </w:r>
      <w:r>
        <w:rPr>
          <w:rFonts w:ascii="黑体" w:eastAsia="黑体" w:hAnsi="黑体" w:cs="黑体"/>
        </w:rPr>
        <w:t>单位决算情况说明</w:t>
      </w:r>
    </w:p>
    <w:p w:rsidR="005C2FD0" w:rsidRDefault="006026FB">
      <w:pPr>
        <w:pStyle w:val="a4"/>
        <w:spacing w:line="360" w:lineRule="auto"/>
        <w:ind w:leftChars="300" w:left="704" w:hanging="11"/>
        <w:jc w:val="both"/>
        <w:rPr>
          <w:rFonts w:ascii="仿宋" w:eastAsia="仿宋" w:hAnsi="仿宋" w:cs="仿宋"/>
          <w:b/>
          <w:bCs/>
          <w:color w:val="000000"/>
          <w:sz w:val="30"/>
          <w:szCs w:val="30"/>
          <w:lang w:val="en-US" w:bidi="ar"/>
        </w:rPr>
      </w:pPr>
      <w:r>
        <w:rPr>
          <w:rFonts w:ascii="黑体" w:eastAsia="黑体" w:hAnsi="黑体" w:cs="黑体" w:hint="eastAsia"/>
          <w:lang w:val="en-US"/>
        </w:rPr>
        <w:t>第四部分</w:t>
      </w:r>
      <w:r>
        <w:rPr>
          <w:rFonts w:ascii="黑体" w:eastAsia="黑体" w:hAnsi="黑体" w:cs="黑体" w:hint="eastAsia"/>
          <w:lang w:val="en-US"/>
        </w:rPr>
        <w:t xml:space="preserve"> </w:t>
      </w:r>
      <w:r>
        <w:rPr>
          <w:rFonts w:ascii="黑体" w:eastAsia="黑体" w:hAnsi="黑体" w:cs="黑体" w:hint="eastAsia"/>
          <w:lang w:val="en-US"/>
        </w:rPr>
        <w:t>名词解释</w:t>
      </w:r>
    </w:p>
    <w:p w:rsidR="005C2FD0" w:rsidRDefault="005C2FD0">
      <w:pPr>
        <w:pStyle w:val="a4"/>
        <w:spacing w:line="235" w:lineRule="auto"/>
        <w:ind w:leftChars="300" w:left="702" w:right="2414" w:hanging="9"/>
        <w:jc w:val="both"/>
        <w:rPr>
          <w:rFonts w:ascii="仿宋" w:eastAsia="仿宋" w:hAnsi="仿宋" w:cs="仿宋"/>
        </w:rPr>
        <w:sectPr w:rsidR="005C2FD0">
          <w:footerReference w:type="default" r:id="rId9"/>
          <w:pgSz w:w="11906" w:h="16838"/>
          <w:pgMar w:top="1580" w:right="700" w:bottom="770" w:left="1020" w:header="283" w:footer="280" w:gutter="0"/>
          <w:pgNumType w:fmt="numberInDash" w:start="1"/>
          <w:cols w:space="720"/>
          <w:formProt w:val="0"/>
          <w:docGrid w:linePitch="100"/>
        </w:sectPr>
      </w:pPr>
    </w:p>
    <w:p w:rsidR="005C2FD0" w:rsidRDefault="005C2FD0">
      <w:pPr>
        <w:pStyle w:val="a4"/>
        <w:spacing w:before="1"/>
        <w:rPr>
          <w:rFonts w:ascii="华文仿宋" w:eastAsia="华文仿宋" w:hAnsi="华文仿宋" w:cs="仿宋"/>
          <w:sz w:val="14"/>
        </w:rPr>
      </w:pPr>
    </w:p>
    <w:p w:rsidR="005C2FD0" w:rsidRDefault="006026FB">
      <w:pPr>
        <w:pStyle w:val="4"/>
        <w:tabs>
          <w:tab w:val="left" w:pos="4395"/>
        </w:tabs>
        <w:spacing w:line="606" w:lineRule="exact"/>
        <w:ind w:rightChars="229" w:right="529"/>
        <w:rPr>
          <w:rFonts w:ascii="宋体" w:eastAsia="宋体" w:hAnsi="宋体" w:cs="宋体"/>
          <w:b/>
          <w:bCs/>
        </w:rPr>
      </w:pPr>
      <w:r>
        <w:rPr>
          <w:rFonts w:ascii="宋体" w:eastAsia="宋体" w:hAnsi="宋体" w:cs="宋体" w:hint="eastAsia"/>
          <w:b/>
          <w:bCs/>
        </w:rPr>
        <w:t>第一部分</w:t>
      </w:r>
      <w:r>
        <w:rPr>
          <w:rFonts w:ascii="宋体" w:eastAsia="宋体" w:hAnsi="宋体" w:cs="宋体" w:hint="eastAsia"/>
          <w:b/>
          <w:bCs/>
          <w:lang w:val="en-US"/>
        </w:rPr>
        <w:t xml:space="preserve"> </w:t>
      </w:r>
      <w:r>
        <w:rPr>
          <w:rFonts w:ascii="宋体" w:eastAsia="宋体" w:hAnsi="宋体" w:cs="宋体" w:hint="eastAsia"/>
          <w:b/>
          <w:bCs/>
        </w:rPr>
        <w:t>单位概况</w:t>
      </w:r>
    </w:p>
    <w:p w:rsidR="005C2FD0" w:rsidRDefault="005C2FD0">
      <w:pPr>
        <w:ind w:rightChars="229" w:right="529"/>
        <w:jc w:val="both"/>
      </w:pPr>
    </w:p>
    <w:p w:rsidR="005C2FD0" w:rsidRDefault="006026FB">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一、主要职能</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常州市市市政工程管理中心组织实施城市高架道路等重大基础设施项目及相应的养护管理具体工作；承担天宁区、钟楼区的市政工程建设市场和质量安全的监督管理工作；承担天宁区、钟楼区、新北区的城市燃气管理工作。主要职责是：</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参与城市道路等重大城市基础设施建设规划和计划编制工作，组织实施城市高架道路等项目；参与拟订城市道路及其附属设施建设管理规定和日常养护标准；承担城市高架道路及其附属设施路政和养护管理工作，并对辖市（区）市政建设和养护管理进行业务指导。</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承担天宁区、钟楼区范围内市政工程（含住宅小区道路和雨污水管道工程，下同）质量安全、建筑材料、构配件使用的监督管理工作；参与市政企业、人员的信用考核评价和动态管理工作；参与市政工程创优、标准化施工创建和施工科技成果鉴定、评审、推广工作；受理、处理职责范围内的投诉举报、</w:t>
      </w:r>
      <w:r>
        <w:rPr>
          <w:rFonts w:ascii="仿宋" w:eastAsia="仿宋" w:hAnsi="仿宋" w:cs="仿宋"/>
        </w:rPr>
        <w:t>来信来访等；参与市政工程质量安全事故调查处理。</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参与城市燃气建设规划编制、对管道燃气经营企业特许经营日常管理和特许经营情况中期评估；承担天宁区、钟楼区和新北区范围内燃气经营企业经营许可、供应站点（含加气站）供应许可、燃气燃烧器具安装维修企业资质、燃气经营企业停气、更换气种和供应站点迁移的申请资料审核、现场勘查等工</w:t>
      </w:r>
      <w:r>
        <w:rPr>
          <w:rFonts w:ascii="仿宋" w:eastAsia="仿宋" w:hAnsi="仿宋" w:cs="仿宋"/>
        </w:rPr>
        <w:lastRenderedPageBreak/>
        <w:t>作；组织开展燃气行业法律法规和安全知识宣传教育和执行情况检查；对全市燃气行业从业人员开展岗位培训、考核和继续教育工作；承担全市燃气行业的综合统计工作，对辖市（区）城市燃气管理工作进行业务指导。</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（四）承办上级交办的其他任务。</w:t>
      </w:r>
    </w:p>
    <w:p w:rsidR="005C2FD0" w:rsidRDefault="006026FB">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二、</w:t>
      </w:r>
      <w:r>
        <w:rPr>
          <w:rFonts w:ascii="黑体" w:eastAsia="黑体" w:hAnsi="黑体" w:cs="黑体"/>
        </w:rPr>
        <w:t>单位</w:t>
      </w:r>
      <w:r>
        <w:rPr>
          <w:rFonts w:ascii="黑体" w:eastAsia="黑体" w:hAnsi="黑体" w:cs="黑体" w:hint="eastAsia"/>
        </w:rPr>
        <w:t>机构设置及决算单位构成情况</w:t>
      </w:r>
    </w:p>
    <w:p w:rsidR="005C2FD0" w:rsidRDefault="006026FB">
      <w:pPr>
        <w:pStyle w:val="a4"/>
        <w:spacing w:line="360" w:lineRule="auto"/>
        <w:ind w:leftChars="200" w:left="462" w:rightChars="229" w:right="529" w:firstLine="658"/>
        <w:jc w:val="both"/>
        <w:rPr>
          <w:rFonts w:ascii="仿宋" w:eastAsia="仿宋" w:hAnsi="仿宋" w:cs="仿宋"/>
        </w:rPr>
      </w:pPr>
      <w:r>
        <w:rPr>
          <w:rFonts w:ascii="仿宋" w:eastAsia="仿宋" w:hAnsi="仿宋" w:cs="仿宋" w:hint="eastAsia"/>
        </w:rPr>
        <w:t>根据</w:t>
      </w:r>
      <w:r>
        <w:rPr>
          <w:rFonts w:ascii="仿宋" w:eastAsia="仿宋" w:hAnsi="仿宋" w:cs="仿宋" w:hint="eastAsia"/>
          <w:lang w:val="en-US"/>
        </w:rPr>
        <w:t>单位</w:t>
      </w:r>
      <w:r>
        <w:rPr>
          <w:rFonts w:ascii="仿宋" w:eastAsia="仿宋" w:hAnsi="仿宋" w:cs="仿宋" w:hint="eastAsia"/>
        </w:rPr>
        <w:t>职责分工，</w:t>
      </w:r>
      <w:r>
        <w:rPr>
          <w:rFonts w:ascii="仿宋" w:eastAsia="仿宋" w:hAnsi="仿宋" w:cs="仿宋"/>
        </w:rPr>
        <w:t>本单位内设机构包括（一）综合科。（二）组宣科。（三）财务科。（四）总师办（审计科）。（五）前期服务科。（六）工程监督一科。（七）工程监督二科。（八）工程监督三科。（九）综合监督科（高架建设科）。（十）高架道路管理科。（十一）燃气管理一科。（十二）燃气管理二科。本单位无下属单位。</w:t>
      </w:r>
    </w:p>
    <w:p w:rsidR="005C2FD0" w:rsidRDefault="006026FB">
      <w:pPr>
        <w:pStyle w:val="a4"/>
        <w:spacing w:line="360" w:lineRule="auto"/>
        <w:ind w:leftChars="200" w:left="462" w:rightChars="229" w:right="529" w:firstLine="658"/>
        <w:jc w:val="both"/>
        <w:outlineLvl w:val="1"/>
        <w:rPr>
          <w:rFonts w:ascii="黑体" w:eastAsia="黑体" w:hAnsi="黑体" w:cs="黑体"/>
        </w:rPr>
      </w:pPr>
      <w:r>
        <w:rPr>
          <w:rFonts w:ascii="黑体" w:eastAsia="黑体" w:hAnsi="黑体" w:cs="黑体" w:hint="eastAsia"/>
        </w:rPr>
        <w:t>三、</w:t>
      </w:r>
      <w:r>
        <w:rPr>
          <w:rFonts w:ascii="黑体" w:eastAsia="黑体" w:hAnsi="黑体" w:cs="黑体" w:hint="eastAsia"/>
        </w:rPr>
        <w:t>202</w:t>
      </w:r>
      <w:r>
        <w:rPr>
          <w:rFonts w:ascii="黑体" w:eastAsia="黑体" w:hAnsi="黑体" w:cs="黑体" w:hint="eastAsia"/>
          <w:lang w:val="en-US"/>
        </w:rPr>
        <w:t>3</w:t>
      </w:r>
      <w:r>
        <w:rPr>
          <w:rFonts w:ascii="黑体" w:eastAsia="黑体" w:hAnsi="黑体" w:cs="黑体" w:hint="eastAsia"/>
        </w:rPr>
        <w:t>年度主要工作完成情况</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面对新形势新任务，中心坚持以习近平新时代中国特色社会主义思想为指导，深入贯彻落实习近平总书记视察江苏重要讲话指</w:t>
      </w:r>
      <w:r>
        <w:rPr>
          <w:rFonts w:ascii="仿宋" w:eastAsia="仿宋" w:hAnsi="仿宋" w:cs="仿宋"/>
        </w:rPr>
        <w:t>示精神和党的二十大精神，主动服务和融入我市</w:t>
      </w:r>
      <w:r>
        <w:rPr>
          <w:rFonts w:ascii="仿宋" w:eastAsia="仿宋" w:hAnsi="仿宋" w:cs="仿宋"/>
        </w:rPr>
        <w:t>“532”</w:t>
      </w:r>
      <w:r>
        <w:rPr>
          <w:rFonts w:ascii="仿宋" w:eastAsia="仿宋" w:hAnsi="仿宋" w:cs="仿宋"/>
        </w:rPr>
        <w:t>发展战略，围绕年度重点工作目标，统筹建筑、燃气行业高质量发展与安全生产，团结一心、迎难而上，踔厉奋发、勇毅前行，奋力推动城乡建设工程管理事业高质量发展，在</w:t>
      </w:r>
      <w:r>
        <w:rPr>
          <w:rFonts w:ascii="仿宋" w:eastAsia="仿宋" w:hAnsi="仿宋" w:cs="仿宋"/>
        </w:rPr>
        <w:t>“</w:t>
      </w:r>
      <w:r>
        <w:rPr>
          <w:rFonts w:ascii="仿宋" w:eastAsia="仿宋" w:hAnsi="仿宋" w:cs="仿宋"/>
        </w:rPr>
        <w:t>牢记嘱托、感恩奋进、走在前列</w:t>
      </w:r>
      <w:r>
        <w:rPr>
          <w:rFonts w:ascii="仿宋" w:eastAsia="仿宋" w:hAnsi="仿宋" w:cs="仿宋"/>
        </w:rPr>
        <w:t>”</w:t>
      </w:r>
      <w:r>
        <w:rPr>
          <w:rFonts w:ascii="仿宋" w:eastAsia="仿宋" w:hAnsi="仿宋" w:cs="仿宋"/>
        </w:rPr>
        <w:t>中扛起城建担当，展现更大作为。</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一、重点管控，确保市政工程质量过硬。</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紧盯道路水稳基层、沥青面层和桥梁结构部位，重点管控成型质量，突出芯样厚度、完整性、砼强度等关键指标，实行</w:t>
      </w:r>
      <w:r>
        <w:rPr>
          <w:rFonts w:ascii="仿宋" w:eastAsia="仿宋" w:hAnsi="仿宋" w:cs="仿宋"/>
        </w:rPr>
        <w:t>“</w:t>
      </w:r>
      <w:r>
        <w:rPr>
          <w:rFonts w:ascii="仿宋" w:eastAsia="仿宋" w:hAnsi="仿宋" w:cs="仿宋"/>
        </w:rPr>
        <w:t>一</w:t>
      </w:r>
      <w:r>
        <w:rPr>
          <w:rFonts w:ascii="仿宋" w:eastAsia="仿宋" w:hAnsi="仿宋" w:cs="仿宋"/>
        </w:rPr>
        <w:lastRenderedPageBreak/>
        <w:t>票否决</w:t>
      </w:r>
      <w:r>
        <w:rPr>
          <w:rFonts w:ascii="仿宋" w:eastAsia="仿宋" w:hAnsi="仿宋" w:cs="仿宋"/>
        </w:rPr>
        <w:t>”</w:t>
      </w:r>
      <w:r>
        <w:rPr>
          <w:rFonts w:ascii="仿宋" w:eastAsia="仿宋" w:hAnsi="仿宋" w:cs="仿宋"/>
        </w:rPr>
        <w:t>，严抓结构安全，杜绝质量隐患。大力推广《市政工程施工现场控制样板图集（</w:t>
      </w:r>
      <w:r>
        <w:rPr>
          <w:rFonts w:ascii="仿宋" w:eastAsia="仿宋" w:hAnsi="仿宋" w:cs="仿宋"/>
        </w:rPr>
        <w:t>2021</w:t>
      </w:r>
      <w:r>
        <w:rPr>
          <w:rFonts w:ascii="仿宋" w:eastAsia="仿宋" w:hAnsi="仿宋" w:cs="仿宋"/>
        </w:rPr>
        <w:t>版）》，稳</w:t>
      </w:r>
      <w:r>
        <w:rPr>
          <w:rFonts w:ascii="仿宋" w:eastAsia="仿宋" w:hAnsi="仿宋" w:cs="仿宋"/>
        </w:rPr>
        <w:t>固精细化标准，倡导微创微改、精益求精。通过重点检查灌注桩完整性及承载力检测，水稳或混凝土基层的弯沉及厚度等指标，管材强度指标、球墨铸铁管（污水用）三氧化二铝指标及污水管道闭水试验等，强化桥梁、道路、管线等重要结构部位工序，强化市政工程质量控制。</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二、创新发展，不断提高市政养护管理水平。</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完善机制，妥善管理市政设施。继续推进道路完好率巡查检查机制，及时编制检查评价报告，为后续道路养护和长效资金考核提供基础性数据。选择有资质、有经验的检测机构有序开展桥梁检测工作，为高架桥及地面桥梁安全、可靠运行提供了保障。顺利推进高架桥板式橡胶支座维修更换</w:t>
      </w:r>
      <w:r>
        <w:rPr>
          <w:rFonts w:ascii="仿宋" w:eastAsia="仿宋" w:hAnsi="仿宋" w:cs="仿宋"/>
        </w:rPr>
        <w:t>288</w:t>
      </w:r>
      <w:r>
        <w:rPr>
          <w:rFonts w:ascii="仿宋" w:eastAsia="仿宋" w:hAnsi="仿宋" w:cs="仿宋"/>
        </w:rPr>
        <w:t>个，及时妥善处置高架道路相关投诉信访</w:t>
      </w:r>
      <w:r>
        <w:rPr>
          <w:rFonts w:ascii="仿宋" w:eastAsia="仿宋" w:hAnsi="仿宋" w:cs="仿宋"/>
        </w:rPr>
        <w:t>81</w:t>
      </w:r>
      <w:r>
        <w:rPr>
          <w:rFonts w:ascii="仿宋" w:eastAsia="仿宋" w:hAnsi="仿宋" w:cs="仿宋"/>
        </w:rPr>
        <w:t>件。</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（二）突出成效，全力做好专项维修工作。顺利推进并完成青洋路地道西侧路面混凝土板块修复工程。积极开展桥梁钢结构栏杆油漆防腐处理，累计完成常林桥、金雀桥等</w:t>
      </w:r>
      <w:r>
        <w:rPr>
          <w:rFonts w:ascii="仿宋" w:eastAsia="仿宋" w:hAnsi="仿宋" w:cs="仿宋"/>
        </w:rPr>
        <w:t>9</w:t>
      </w:r>
      <w:r>
        <w:rPr>
          <w:rFonts w:ascii="仿宋" w:eastAsia="仿宋" w:hAnsi="仿宋" w:cs="仿宋"/>
        </w:rPr>
        <w:t>座桥梁栏杆油漆</w:t>
      </w:r>
      <w:r>
        <w:rPr>
          <w:rFonts w:ascii="仿宋" w:eastAsia="仿宋" w:hAnsi="仿宋" w:cs="仿宋"/>
        </w:rPr>
        <w:t>1332</w:t>
      </w:r>
      <w:r>
        <w:rPr>
          <w:rFonts w:ascii="仿宋" w:eastAsia="仿宋" w:hAnsi="仿宋" w:cs="仿宋"/>
        </w:rPr>
        <w:t>平方米。对高架桥面收水口内</w:t>
      </w:r>
      <w:r>
        <w:rPr>
          <w:rFonts w:ascii="仿宋" w:eastAsia="仿宋" w:hAnsi="仿宋" w:cs="仿宋"/>
        </w:rPr>
        <w:t>垃圾清理的同时，更换维修内置式落水管，努力确保高架排水通畅，增设落水管</w:t>
      </w:r>
      <w:r>
        <w:rPr>
          <w:rFonts w:ascii="仿宋" w:eastAsia="仿宋" w:hAnsi="仿宋" w:cs="仿宋"/>
        </w:rPr>
        <w:t>5828</w:t>
      </w:r>
      <w:r>
        <w:rPr>
          <w:rFonts w:ascii="仿宋" w:eastAsia="仿宋" w:hAnsi="仿宋" w:cs="仿宋"/>
        </w:rPr>
        <w:t>米。实施龙城大道通江路交叉口、龙城大道青洋路交叉口非机动车和行人驻足区改造，开展道路养护维修，累计完成车行道沥青维修</w:t>
      </w:r>
      <w:r>
        <w:rPr>
          <w:rFonts w:ascii="仿宋" w:eastAsia="仿宋" w:hAnsi="仿宋" w:cs="仿宋"/>
        </w:rPr>
        <w:t>1.15</w:t>
      </w:r>
      <w:r>
        <w:rPr>
          <w:rFonts w:ascii="仿宋" w:eastAsia="仿宋" w:hAnsi="仿宋" w:cs="仿宋"/>
        </w:rPr>
        <w:t>万平方米，灌缝</w:t>
      </w:r>
      <w:r>
        <w:rPr>
          <w:rFonts w:ascii="仿宋" w:eastAsia="仿宋" w:hAnsi="仿宋" w:cs="仿宋"/>
        </w:rPr>
        <w:t>23</w:t>
      </w:r>
      <w:r>
        <w:rPr>
          <w:rFonts w:ascii="仿宋" w:eastAsia="仿宋" w:hAnsi="仿宋" w:cs="仿宋"/>
        </w:rPr>
        <w:t>千米，窨井维修</w:t>
      </w:r>
      <w:r>
        <w:rPr>
          <w:rFonts w:ascii="仿宋" w:eastAsia="仿宋" w:hAnsi="仿宋" w:cs="仿宋"/>
        </w:rPr>
        <w:t>81</w:t>
      </w:r>
      <w:r>
        <w:rPr>
          <w:rFonts w:ascii="仿宋" w:eastAsia="仿宋" w:hAnsi="仿宋" w:cs="仿宋"/>
        </w:rPr>
        <w:t>座，人行道维修</w:t>
      </w:r>
      <w:r>
        <w:rPr>
          <w:rFonts w:ascii="仿宋" w:eastAsia="仿宋" w:hAnsi="仿宋" w:cs="仿宋"/>
        </w:rPr>
        <w:t>2560</w:t>
      </w:r>
      <w:r>
        <w:rPr>
          <w:rFonts w:ascii="仿宋" w:eastAsia="仿宋" w:hAnsi="仿宋" w:cs="仿宋"/>
        </w:rPr>
        <w:t>平方米，侧平石更换</w:t>
      </w:r>
      <w:r>
        <w:rPr>
          <w:rFonts w:ascii="仿宋" w:eastAsia="仿宋" w:hAnsi="仿宋" w:cs="仿宋"/>
        </w:rPr>
        <w:t>2.08</w:t>
      </w:r>
      <w:r>
        <w:rPr>
          <w:rFonts w:ascii="仿宋" w:eastAsia="仿宋" w:hAnsi="仿宋" w:cs="仿宋"/>
        </w:rPr>
        <w:t>千米。</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（三）智慧监管，全面推进数字高架建设和应用。数字高架</w:t>
      </w:r>
      <w:r>
        <w:rPr>
          <w:rFonts w:ascii="仿宋" w:eastAsia="仿宋" w:hAnsi="仿宋" w:cs="仿宋"/>
        </w:rPr>
        <w:lastRenderedPageBreak/>
        <w:t>全面进入使用阶段，管养范围设施情况和所有巡检修情况可通过</w:t>
      </w:r>
      <w:r>
        <w:rPr>
          <w:rFonts w:ascii="仿宋" w:eastAsia="仿宋" w:hAnsi="仿宋" w:cs="仿宋"/>
        </w:rPr>
        <w:t>“</w:t>
      </w:r>
      <w:r>
        <w:rPr>
          <w:rFonts w:ascii="仿宋" w:eastAsia="仿宋" w:hAnsi="仿宋" w:cs="仿宋"/>
        </w:rPr>
        <w:t>一张图</w:t>
      </w:r>
      <w:r>
        <w:rPr>
          <w:rFonts w:ascii="仿宋" w:eastAsia="仿宋" w:hAnsi="仿宋" w:cs="仿宋"/>
        </w:rPr>
        <w:t>”</w:t>
      </w:r>
      <w:r>
        <w:rPr>
          <w:rFonts w:ascii="仿宋" w:eastAsia="仿宋" w:hAnsi="仿宋" w:cs="仿宋"/>
        </w:rPr>
        <w:t>实现精准查询、精确统计和实时展示。依靠物联网、数字孪生、移动通信等技术，数字高架的三维空间化得以实现</w:t>
      </w:r>
      <w:r>
        <w:rPr>
          <w:rFonts w:ascii="仿宋" w:eastAsia="仿宋" w:hAnsi="仿宋" w:cs="仿宋"/>
        </w:rPr>
        <w:t>，五星大桥的健康监测、智能头盔调度指挥功能基本具备。截至目前，已录入巡检修信息</w:t>
      </w:r>
      <w:r>
        <w:rPr>
          <w:rFonts w:ascii="仿宋" w:eastAsia="仿宋" w:hAnsi="仿宋" w:cs="仿宋"/>
        </w:rPr>
        <w:t>1762</w:t>
      </w:r>
      <w:r>
        <w:rPr>
          <w:rFonts w:ascii="仿宋" w:eastAsia="仿宋" w:hAnsi="仿宋" w:cs="仿宋"/>
        </w:rPr>
        <w:t>条，五星大桥健康监测已在线运行</w:t>
      </w:r>
      <w:r>
        <w:rPr>
          <w:rFonts w:ascii="仿宋" w:eastAsia="仿宋" w:hAnsi="仿宋" w:cs="仿宋"/>
        </w:rPr>
        <w:t>254</w:t>
      </w:r>
      <w:r>
        <w:rPr>
          <w:rFonts w:ascii="仿宋" w:eastAsia="仿宋" w:hAnsi="仿宋" w:cs="仿宋"/>
        </w:rPr>
        <w:t>天。</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三、严格监管，确保燃气行业安全稳定。</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（一）强化监管，着力企业主体责任落实。出台《关于启用瓶装液化石油气运输车辆实时抓拍系统的通知》等多项燃气行业管理制度，扎实推进瓶装液化气行业市场整合，组织开展燃气场站设施安全检查，今年对</w:t>
      </w:r>
      <w:r>
        <w:rPr>
          <w:rFonts w:ascii="仿宋" w:eastAsia="仿宋" w:hAnsi="仿宋" w:cs="仿宋"/>
        </w:rPr>
        <w:t>19</w:t>
      </w:r>
      <w:r>
        <w:rPr>
          <w:rFonts w:ascii="仿宋" w:eastAsia="仿宋" w:hAnsi="仿宋" w:cs="仿宋"/>
        </w:rPr>
        <w:t>家燃气企业、</w:t>
      </w:r>
      <w:r>
        <w:rPr>
          <w:rFonts w:ascii="仿宋" w:eastAsia="仿宋" w:hAnsi="仿宋" w:cs="仿宋"/>
        </w:rPr>
        <w:t>80</w:t>
      </w:r>
      <w:r>
        <w:rPr>
          <w:rFonts w:ascii="仿宋" w:eastAsia="仿宋" w:hAnsi="仿宋" w:cs="仿宋"/>
        </w:rPr>
        <w:t>座天然气场站、</w:t>
      </w:r>
      <w:r>
        <w:rPr>
          <w:rFonts w:ascii="仿宋" w:eastAsia="仿宋" w:hAnsi="仿宋" w:cs="仿宋"/>
        </w:rPr>
        <w:t>22</w:t>
      </w:r>
      <w:r>
        <w:rPr>
          <w:rFonts w:ascii="仿宋" w:eastAsia="仿宋" w:hAnsi="仿宋" w:cs="仿宋"/>
        </w:rPr>
        <w:t>座加气站、</w:t>
      </w:r>
      <w:r>
        <w:rPr>
          <w:rFonts w:ascii="仿宋" w:eastAsia="仿宋" w:hAnsi="仿宋" w:cs="仿宋"/>
        </w:rPr>
        <w:t>4</w:t>
      </w:r>
      <w:r>
        <w:rPr>
          <w:rFonts w:ascii="仿宋" w:eastAsia="仿宋" w:hAnsi="仿宋" w:cs="仿宋"/>
        </w:rPr>
        <w:t>座液化石油气储配站、</w:t>
      </w:r>
      <w:r>
        <w:rPr>
          <w:rFonts w:ascii="仿宋" w:eastAsia="仿宋" w:hAnsi="仿宋" w:cs="仿宋"/>
        </w:rPr>
        <w:t>78</w:t>
      </w:r>
      <w:r>
        <w:rPr>
          <w:rFonts w:ascii="仿宋" w:eastAsia="仿宋" w:hAnsi="仿宋" w:cs="仿宋"/>
        </w:rPr>
        <w:t>座瓶装液化石油气供应站开展了四轮检查，发现并整改闭环</w:t>
      </w:r>
      <w:r>
        <w:rPr>
          <w:rFonts w:ascii="仿宋" w:eastAsia="仿宋" w:hAnsi="仿宋" w:cs="仿宋"/>
        </w:rPr>
        <w:t>184</w:t>
      </w:r>
      <w:r>
        <w:rPr>
          <w:rFonts w:ascii="仿宋" w:eastAsia="仿宋" w:hAnsi="仿宋" w:cs="仿宋"/>
        </w:rPr>
        <w:t>条安全隐患。对主城区</w:t>
      </w:r>
      <w:r>
        <w:rPr>
          <w:rFonts w:ascii="仿宋" w:eastAsia="仿宋" w:hAnsi="仿宋" w:cs="仿宋"/>
        </w:rPr>
        <w:t>15</w:t>
      </w:r>
      <w:r>
        <w:rPr>
          <w:rFonts w:ascii="仿宋" w:eastAsia="仿宋" w:hAnsi="仿宋" w:cs="仿宋"/>
        </w:rPr>
        <w:t>家燃</w:t>
      </w:r>
      <w:r>
        <w:rPr>
          <w:rFonts w:ascii="仿宋" w:eastAsia="仿宋" w:hAnsi="仿宋" w:cs="仿宋"/>
        </w:rPr>
        <w:t>气燃烧器具安装维修企业开展经营许可动态核查，发放书面整改通知书</w:t>
      </w:r>
      <w:r>
        <w:rPr>
          <w:rFonts w:ascii="仿宋" w:eastAsia="仿宋" w:hAnsi="仿宋" w:cs="仿宋"/>
        </w:rPr>
        <w:t>15</w:t>
      </w:r>
      <w:r>
        <w:rPr>
          <w:rFonts w:ascii="仿宋" w:eastAsia="仿宋" w:hAnsi="仿宋" w:cs="仿宋"/>
        </w:rPr>
        <w:t>份。对液化气企业所属</w:t>
      </w:r>
      <w:r>
        <w:rPr>
          <w:rFonts w:ascii="仿宋" w:eastAsia="仿宋" w:hAnsi="仿宋" w:cs="仿宋"/>
        </w:rPr>
        <w:t>7</w:t>
      </w:r>
      <w:r>
        <w:rPr>
          <w:rFonts w:ascii="仿宋" w:eastAsia="仿宋" w:hAnsi="仿宋" w:cs="仿宋"/>
        </w:rPr>
        <w:t>座场站、</w:t>
      </w:r>
      <w:r>
        <w:rPr>
          <w:rFonts w:ascii="仿宋" w:eastAsia="仿宋" w:hAnsi="仿宋" w:cs="仿宋"/>
        </w:rPr>
        <w:t>10</w:t>
      </w:r>
      <w:r>
        <w:rPr>
          <w:rFonts w:ascii="仿宋" w:eastAsia="仿宋" w:hAnsi="仿宋" w:cs="仿宋"/>
        </w:rPr>
        <w:t>家供应站开展了综合安全评价。</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（二）深化整治，聚焦餐饮领域保安全。扎实开展燃气安全专项整治，对</w:t>
      </w:r>
      <w:bookmarkStart w:id="0" w:name="_GoBack"/>
      <w:bookmarkEnd w:id="0"/>
      <w:r>
        <w:rPr>
          <w:rFonts w:ascii="仿宋" w:eastAsia="仿宋" w:hAnsi="仿宋" w:cs="仿宋"/>
        </w:rPr>
        <w:t>辖市区</w:t>
      </w:r>
      <w:r>
        <w:rPr>
          <w:rFonts w:ascii="仿宋" w:eastAsia="仿宋" w:hAnsi="仿宋" w:cs="仿宋"/>
        </w:rPr>
        <w:t>105</w:t>
      </w:r>
      <w:r>
        <w:rPr>
          <w:rFonts w:ascii="仿宋" w:eastAsia="仿宋" w:hAnsi="仿宋" w:cs="仿宋"/>
        </w:rPr>
        <w:t>个餐饮场所开展用气安全专项督查，督促主城区瓶装液化气企业对</w:t>
      </w:r>
      <w:r>
        <w:rPr>
          <w:rFonts w:ascii="仿宋" w:eastAsia="仿宋" w:hAnsi="仿宋" w:cs="仿宋"/>
        </w:rPr>
        <w:t>1.1</w:t>
      </w:r>
      <w:r>
        <w:rPr>
          <w:rFonts w:ascii="仿宋" w:eastAsia="仿宋" w:hAnsi="仿宋" w:cs="仿宋"/>
        </w:rPr>
        <w:t>万家餐饮用户开展全覆盖式的入户安全检查，督促整改安全隐患</w:t>
      </w:r>
      <w:r>
        <w:rPr>
          <w:rFonts w:ascii="仿宋" w:eastAsia="仿宋" w:hAnsi="仿宋" w:cs="仿宋"/>
        </w:rPr>
        <w:t>23</w:t>
      </w:r>
      <w:r>
        <w:rPr>
          <w:rFonts w:ascii="仿宋" w:eastAsia="仿宋" w:hAnsi="仿宋" w:cs="仿宋"/>
        </w:rPr>
        <w:t>处。扎实开展燃气安全生产</w:t>
      </w:r>
      <w:r>
        <w:rPr>
          <w:rFonts w:ascii="仿宋" w:eastAsia="仿宋" w:hAnsi="仿宋" w:cs="仿宋"/>
        </w:rPr>
        <w:t>“</w:t>
      </w:r>
      <w:r>
        <w:rPr>
          <w:rFonts w:ascii="仿宋" w:eastAsia="仿宋" w:hAnsi="仿宋" w:cs="仿宋"/>
        </w:rPr>
        <w:t>春雷</w:t>
      </w:r>
      <w:r>
        <w:rPr>
          <w:rFonts w:ascii="仿宋" w:eastAsia="仿宋" w:hAnsi="仿宋" w:cs="仿宋"/>
        </w:rPr>
        <w:t>”</w:t>
      </w:r>
      <w:r>
        <w:rPr>
          <w:rFonts w:ascii="仿宋" w:eastAsia="仿宋" w:hAnsi="仿宋" w:cs="仿宋"/>
        </w:rPr>
        <w:t>行动，抽查餐饮单位</w:t>
      </w:r>
      <w:r>
        <w:rPr>
          <w:rFonts w:ascii="仿宋" w:eastAsia="仿宋" w:hAnsi="仿宋" w:cs="仿宋"/>
        </w:rPr>
        <w:t>10</w:t>
      </w:r>
      <w:r>
        <w:rPr>
          <w:rFonts w:ascii="仿宋" w:eastAsia="仿宋" w:hAnsi="仿宋" w:cs="仿宋"/>
        </w:rPr>
        <w:t>家，整改隐患</w:t>
      </w:r>
      <w:r>
        <w:rPr>
          <w:rFonts w:ascii="仿宋" w:eastAsia="仿宋" w:hAnsi="仿宋" w:cs="仿宋"/>
        </w:rPr>
        <w:t>12</w:t>
      </w:r>
      <w:r>
        <w:rPr>
          <w:rFonts w:ascii="仿宋" w:eastAsia="仿宋" w:hAnsi="仿宋" w:cs="仿宋"/>
        </w:rPr>
        <w:t>条。开展燃气领域联合执法</w:t>
      </w:r>
      <w:r>
        <w:rPr>
          <w:rFonts w:ascii="仿宋" w:eastAsia="仿宋" w:hAnsi="仿宋" w:cs="仿宋"/>
        </w:rPr>
        <w:t>16</w:t>
      </w:r>
      <w:r>
        <w:rPr>
          <w:rFonts w:ascii="仿宋" w:eastAsia="仿宋" w:hAnsi="仿宋" w:cs="仿宋"/>
        </w:rPr>
        <w:t>次，移交立案处罚</w:t>
      </w:r>
      <w:r>
        <w:rPr>
          <w:rFonts w:ascii="仿宋" w:eastAsia="仿宋" w:hAnsi="仿宋" w:cs="仿宋"/>
        </w:rPr>
        <w:t>6</w:t>
      </w:r>
      <w:r>
        <w:rPr>
          <w:rFonts w:ascii="仿宋" w:eastAsia="仿宋" w:hAnsi="仿宋" w:cs="仿宋"/>
        </w:rPr>
        <w:t>起。圆满完成国务院安委会考核、省专班检查等任务，检查考核中发现并交办的</w:t>
      </w:r>
      <w:r>
        <w:rPr>
          <w:rFonts w:ascii="仿宋" w:eastAsia="仿宋" w:hAnsi="仿宋" w:cs="仿宋"/>
        </w:rPr>
        <w:t>19</w:t>
      </w:r>
      <w:r>
        <w:rPr>
          <w:rFonts w:ascii="仿宋" w:eastAsia="仿宋" w:hAnsi="仿宋" w:cs="仿宋"/>
        </w:rPr>
        <w:t>个问题均</w:t>
      </w:r>
      <w:r>
        <w:rPr>
          <w:rFonts w:ascii="仿宋" w:eastAsia="仿宋" w:hAnsi="仿宋" w:cs="仿宋"/>
        </w:rPr>
        <w:lastRenderedPageBreak/>
        <w:t>已完成整改。</w:t>
      </w:r>
    </w:p>
    <w:p w:rsidR="005C2FD0" w:rsidRDefault="006026FB">
      <w:pPr>
        <w:pStyle w:val="a4"/>
        <w:spacing w:line="360" w:lineRule="auto"/>
        <w:ind w:leftChars="200" w:left="462" w:rightChars="229" w:right="529" w:firstLine="658"/>
        <w:jc w:val="both"/>
        <w:rPr>
          <w:rFonts w:ascii="仿宋" w:eastAsia="仿宋" w:hAnsi="仿宋" w:cs="仿宋"/>
          <w:lang w:val="en-US"/>
        </w:rPr>
      </w:pPr>
      <w:r>
        <w:rPr>
          <w:rFonts w:ascii="仿宋" w:eastAsia="仿宋" w:hAnsi="仿宋" w:cs="仿宋"/>
        </w:rPr>
        <w:t>（三）营造环境，加大宣传、培训和服务力度。进社区、进学校、进广场开展燃气安全宣传，大力营造安全的</w:t>
      </w:r>
      <w:r>
        <w:rPr>
          <w:rFonts w:ascii="仿宋" w:eastAsia="仿宋" w:hAnsi="仿宋" w:cs="仿宋"/>
        </w:rPr>
        <w:t>用气环境，专题开展燃气安全宣传</w:t>
      </w:r>
      <w:r>
        <w:rPr>
          <w:rFonts w:ascii="仿宋" w:eastAsia="仿宋" w:hAnsi="仿宋" w:cs="仿宋"/>
        </w:rPr>
        <w:t>6</w:t>
      </w:r>
      <w:r>
        <w:rPr>
          <w:rFonts w:ascii="仿宋" w:eastAsia="仿宋" w:hAnsi="仿宋" w:cs="仿宋"/>
        </w:rPr>
        <w:t>次，发送燃气安全宣传</w:t>
      </w:r>
      <w:r>
        <w:rPr>
          <w:rFonts w:ascii="仿宋" w:eastAsia="仿宋" w:hAnsi="仿宋" w:cs="仿宋"/>
        </w:rPr>
        <w:t>20</w:t>
      </w:r>
      <w:r>
        <w:rPr>
          <w:rFonts w:ascii="仿宋" w:eastAsia="仿宋" w:hAnsi="仿宋" w:cs="仿宋"/>
        </w:rPr>
        <w:t>万条（瓶装液化气），组织燃气事故应急处置演练</w:t>
      </w:r>
      <w:r>
        <w:rPr>
          <w:rFonts w:ascii="仿宋" w:eastAsia="仿宋" w:hAnsi="仿宋" w:cs="仿宋"/>
        </w:rPr>
        <w:t>16</w:t>
      </w:r>
      <w:r>
        <w:rPr>
          <w:rFonts w:ascii="仿宋" w:eastAsia="仿宋" w:hAnsi="仿宋" w:cs="仿宋"/>
        </w:rPr>
        <w:t>次。升级智慧燃气监管系统，创新智慧监管，提升工作质效。加强燃气行业从业人员教育、培训、考核，完成资质培训考核</w:t>
      </w:r>
      <w:r>
        <w:rPr>
          <w:rFonts w:ascii="仿宋" w:eastAsia="仿宋" w:hAnsi="仿宋" w:cs="仿宋"/>
        </w:rPr>
        <w:t>913</w:t>
      </w:r>
      <w:r>
        <w:rPr>
          <w:rFonts w:ascii="仿宋" w:eastAsia="仿宋" w:hAnsi="仿宋" w:cs="仿宋"/>
        </w:rPr>
        <w:t>人次，安全教育</w:t>
      </w:r>
      <w:r>
        <w:rPr>
          <w:rFonts w:ascii="仿宋" w:eastAsia="仿宋" w:hAnsi="仿宋" w:cs="仿宋"/>
        </w:rPr>
        <w:t>231</w:t>
      </w:r>
      <w:r>
        <w:rPr>
          <w:rFonts w:ascii="仿宋" w:eastAsia="仿宋" w:hAnsi="仿宋" w:cs="仿宋"/>
        </w:rPr>
        <w:t>人次。依法严格燃气行业行政许可，全年完成审核</w:t>
      </w:r>
      <w:r>
        <w:rPr>
          <w:rFonts w:ascii="仿宋" w:eastAsia="仿宋" w:hAnsi="仿宋" w:cs="仿宋"/>
        </w:rPr>
        <w:t>32</w:t>
      </w:r>
      <w:r>
        <w:rPr>
          <w:rFonts w:ascii="仿宋" w:eastAsia="仿宋" w:hAnsi="仿宋" w:cs="仿宋"/>
        </w:rPr>
        <w:t>件。</w:t>
      </w:r>
    </w:p>
    <w:p w:rsidR="005C2FD0" w:rsidRDefault="005C2FD0">
      <w:pPr>
        <w:pStyle w:val="a4"/>
        <w:spacing w:line="235" w:lineRule="auto"/>
        <w:ind w:leftChars="300" w:left="702" w:right="2414" w:hanging="9"/>
        <w:jc w:val="both"/>
        <w:rPr>
          <w:rFonts w:ascii="仿宋" w:eastAsia="仿宋" w:hAnsi="仿宋" w:cs="仿宋"/>
        </w:rPr>
        <w:sectPr w:rsidR="005C2FD0">
          <w:footerReference w:type="default" r:id="rId10"/>
          <w:pgSz w:w="11906" w:h="16838"/>
          <w:pgMar w:top="1580" w:right="700" w:bottom="770" w:left="1020" w:header="283" w:footer="280" w:gutter="0"/>
          <w:pgNumType w:fmt="numberInDash"/>
          <w:cols w:space="720"/>
          <w:formProt w:val="0"/>
          <w:docGrid w:linePitch="100"/>
        </w:sectPr>
      </w:pPr>
    </w:p>
    <w:p w:rsidR="005C2FD0" w:rsidRDefault="005C2FD0">
      <w:pPr>
        <w:pStyle w:val="a4"/>
        <w:spacing w:line="360" w:lineRule="auto"/>
        <w:ind w:leftChars="200" w:left="462" w:rightChars="229" w:right="529" w:firstLine="658"/>
        <w:jc w:val="both"/>
        <w:rPr>
          <w:rFonts w:ascii="仿宋" w:eastAsia="仿宋" w:hAnsi="仿宋" w:cs="仿宋"/>
          <w:lang w:val="en-US"/>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5C2FD0">
      <w:pPr>
        <w:pStyle w:val="10"/>
        <w:tabs>
          <w:tab w:val="left" w:pos="1609"/>
        </w:tabs>
        <w:spacing w:before="12" w:line="300" w:lineRule="auto"/>
        <w:ind w:left="340" w:right="567" w:firstLine="0"/>
        <w:jc w:val="center"/>
        <w:rPr>
          <w:rFonts w:ascii="仿宋" w:eastAsia="仿宋" w:hAnsi="仿宋" w:cs="仿宋"/>
          <w:b/>
          <w:bCs/>
          <w:sz w:val="44"/>
          <w:szCs w:val="44"/>
        </w:rPr>
      </w:pPr>
    </w:p>
    <w:p w:rsidR="005C2FD0" w:rsidRDefault="006026FB">
      <w:pPr>
        <w:pStyle w:val="10"/>
        <w:tabs>
          <w:tab w:val="left" w:pos="1609"/>
        </w:tabs>
        <w:spacing w:before="12" w:line="300" w:lineRule="auto"/>
        <w:ind w:left="340" w:right="567" w:firstLine="0"/>
        <w:jc w:val="center"/>
        <w:outlineLvl w:val="0"/>
        <w:rPr>
          <w:rFonts w:ascii="宋体" w:eastAsia="宋体" w:hAnsi="宋体" w:cs="宋体"/>
          <w:b/>
          <w:bCs/>
          <w:sz w:val="36"/>
          <w:szCs w:val="36"/>
          <w:lang w:val="en-US"/>
        </w:rPr>
      </w:pPr>
      <w:r>
        <w:rPr>
          <w:rFonts w:ascii="宋体" w:eastAsia="宋体" w:hAnsi="宋体" w:cs="宋体" w:hint="eastAsia"/>
          <w:b/>
          <w:bCs/>
          <w:sz w:val="36"/>
          <w:szCs w:val="36"/>
        </w:rPr>
        <w:t>第二部分</w:t>
      </w:r>
    </w:p>
    <w:p w:rsidR="005C2FD0" w:rsidRDefault="006026FB">
      <w:pPr>
        <w:pStyle w:val="10"/>
        <w:tabs>
          <w:tab w:val="left" w:pos="1609"/>
        </w:tabs>
        <w:spacing w:before="12" w:line="300" w:lineRule="auto"/>
        <w:ind w:left="340" w:right="567" w:firstLine="0"/>
        <w:jc w:val="center"/>
        <w:rPr>
          <w:rFonts w:ascii="宋体" w:eastAsia="宋体" w:hAnsi="宋体" w:cs="宋体"/>
          <w:b/>
          <w:bCs/>
          <w:sz w:val="36"/>
          <w:szCs w:val="36"/>
        </w:rPr>
      </w:pPr>
      <w:r>
        <w:rPr>
          <w:rFonts w:ascii="宋体" w:eastAsia="宋体" w:hAnsi="宋体" w:cs="宋体" w:hint="eastAsia"/>
          <w:b/>
          <w:bCs/>
          <w:sz w:val="36"/>
          <w:szCs w:val="36"/>
        </w:rPr>
        <w:t>常州市市政工程管理中心</w:t>
      </w:r>
    </w:p>
    <w:p w:rsidR="005C2FD0" w:rsidRDefault="006026FB">
      <w:pPr>
        <w:pStyle w:val="10"/>
        <w:tabs>
          <w:tab w:val="left" w:pos="1609"/>
        </w:tabs>
        <w:spacing w:before="12" w:line="300" w:lineRule="auto"/>
        <w:ind w:left="340" w:right="567" w:firstLine="0"/>
        <w:jc w:val="center"/>
        <w:outlineLvl w:val="1"/>
        <w:rPr>
          <w:rFonts w:ascii="宋体" w:eastAsia="宋体" w:hAnsi="宋体" w:cs="宋体"/>
          <w:b/>
          <w:bCs/>
          <w:sz w:val="36"/>
          <w:szCs w:val="36"/>
        </w:rPr>
      </w:pPr>
      <w:r>
        <w:rPr>
          <w:rFonts w:ascii="宋体" w:eastAsia="宋体" w:hAnsi="宋体" w:cs="宋体" w:hint="eastAsia"/>
          <w:b/>
          <w:bCs/>
          <w:sz w:val="36"/>
          <w:szCs w:val="36"/>
        </w:rPr>
        <w:t>202</w:t>
      </w:r>
      <w:r>
        <w:rPr>
          <w:rFonts w:ascii="宋体" w:eastAsia="宋体" w:hAnsi="宋体" w:cs="宋体" w:hint="eastAsia"/>
          <w:b/>
          <w:bCs/>
          <w:sz w:val="36"/>
          <w:szCs w:val="36"/>
          <w:lang w:val="en-US"/>
        </w:rPr>
        <w:t>3</w:t>
      </w:r>
      <w:r>
        <w:rPr>
          <w:rFonts w:ascii="宋体" w:eastAsia="宋体" w:hAnsi="宋体" w:cs="宋体" w:hint="eastAsia"/>
          <w:b/>
          <w:bCs/>
          <w:sz w:val="36"/>
          <w:szCs w:val="36"/>
        </w:rPr>
        <w:t>年度</w:t>
      </w:r>
      <w:r>
        <w:rPr>
          <w:rFonts w:ascii="宋体" w:eastAsia="宋体" w:hAnsi="宋体" w:cs="宋体" w:hint="eastAsia"/>
          <w:b/>
          <w:bCs/>
          <w:sz w:val="36"/>
          <w:szCs w:val="36"/>
          <w:lang w:val="en-US"/>
        </w:rPr>
        <w:t>单位</w:t>
      </w:r>
      <w:r>
        <w:rPr>
          <w:rFonts w:ascii="宋体" w:eastAsia="宋体" w:hAnsi="宋体" w:cs="宋体"/>
          <w:b/>
          <w:sz w:val="36"/>
        </w:rPr>
        <w:t>决算表</w:t>
      </w:r>
    </w:p>
    <w:tbl>
      <w:tblPr>
        <w:tblW w:w="10447" w:type="dxa"/>
        <w:jc w:val="center"/>
        <w:tblLayout w:type="fixed"/>
        <w:tblLook w:val="04A0" w:firstRow="1" w:lastRow="0" w:firstColumn="1" w:lastColumn="0" w:noHBand="0" w:noVBand="1"/>
      </w:tblPr>
      <w:tblGrid>
        <w:gridCol w:w="3468"/>
        <w:gridCol w:w="1777"/>
        <w:gridCol w:w="2035"/>
        <w:gridCol w:w="1341"/>
        <w:gridCol w:w="1826"/>
      </w:tblGrid>
      <w:tr w:rsidR="005C2FD0">
        <w:trPr>
          <w:trHeight w:val="544"/>
          <w:jc w:val="center"/>
        </w:trPr>
        <w:tc>
          <w:tcPr>
            <w:tcW w:w="10447" w:type="dxa"/>
            <w:gridSpan w:val="5"/>
          </w:tcPr>
          <w:p w:rsidR="005C2FD0" w:rsidRDefault="006026FB">
            <w:pPr>
              <w:pageBreakBefore/>
              <w:jc w:val="center"/>
              <w:rPr>
                <w:rFonts w:ascii="仿宋" w:eastAsia="仿宋" w:hAnsi="仿宋" w:cs="仿宋"/>
                <w:b/>
                <w:bCs/>
                <w:color w:val="000000"/>
              </w:rPr>
            </w:pPr>
            <w:r>
              <w:rPr>
                <w:rFonts w:ascii="宋体" w:eastAsia="宋体" w:hAnsi="宋体" w:cs="宋体" w:hint="eastAsia"/>
                <w:b/>
                <w:bCs/>
                <w:color w:val="000000"/>
                <w:sz w:val="36"/>
                <w:szCs w:val="36"/>
                <w:lang w:eastAsia="ar-SA"/>
              </w:rPr>
              <w:lastRenderedPageBreak/>
              <w:t>收入支出决算总表</w:t>
            </w:r>
          </w:p>
        </w:tc>
      </w:tr>
      <w:tr w:rsidR="005C2FD0">
        <w:trPr>
          <w:trHeight w:val="348"/>
          <w:jc w:val="center"/>
        </w:trPr>
        <w:tc>
          <w:tcPr>
            <w:tcW w:w="3468" w:type="dxa"/>
          </w:tcPr>
          <w:p w:rsidR="005C2FD0" w:rsidRDefault="005C2FD0">
            <w:pPr>
              <w:rPr>
                <w:rFonts w:ascii="仿宋" w:eastAsia="仿宋" w:hAnsi="仿宋" w:cs="仿宋"/>
                <w:color w:val="000000"/>
                <w:sz w:val="20"/>
              </w:rPr>
            </w:pPr>
          </w:p>
        </w:tc>
        <w:tc>
          <w:tcPr>
            <w:tcW w:w="1777" w:type="dxa"/>
          </w:tcPr>
          <w:p w:rsidR="005C2FD0" w:rsidRDefault="005C2FD0">
            <w:pPr>
              <w:rPr>
                <w:rFonts w:ascii="仿宋" w:eastAsia="仿宋" w:hAnsi="仿宋" w:cs="仿宋"/>
                <w:color w:val="000000"/>
                <w:sz w:val="20"/>
              </w:rPr>
            </w:pPr>
          </w:p>
        </w:tc>
        <w:tc>
          <w:tcPr>
            <w:tcW w:w="5202" w:type="dxa"/>
            <w:gridSpan w:val="3"/>
          </w:tcPr>
          <w:p w:rsidR="005C2FD0" w:rsidRDefault="006026FB">
            <w:pPr>
              <w:jc w:val="right"/>
              <w:rPr>
                <w:rFonts w:ascii="仿宋" w:eastAsia="仿宋" w:hAnsi="仿宋" w:cs="仿宋"/>
                <w:color w:val="000000"/>
              </w:rPr>
            </w:pPr>
            <w:r>
              <w:rPr>
                <w:rFonts w:ascii="仿宋" w:eastAsia="仿宋" w:hAnsi="仿宋" w:cs="仿宋" w:hint="eastAsia"/>
                <w:color w:val="000000"/>
                <w:lang w:eastAsia="ar-SA"/>
              </w:rPr>
              <w:t>公开</w:t>
            </w:r>
            <w:r>
              <w:rPr>
                <w:rFonts w:ascii="仿宋" w:eastAsia="仿宋" w:hAnsi="仿宋" w:cs="仿宋" w:hint="eastAsia"/>
                <w:color w:val="000000"/>
                <w:lang w:eastAsia="ar-SA"/>
              </w:rPr>
              <w:t>01</w:t>
            </w:r>
            <w:r>
              <w:rPr>
                <w:rFonts w:ascii="仿宋" w:eastAsia="仿宋" w:hAnsi="仿宋" w:cs="仿宋" w:hint="eastAsia"/>
                <w:color w:val="000000"/>
                <w:lang w:eastAsia="ar-SA"/>
              </w:rPr>
              <w:t>表</w:t>
            </w:r>
          </w:p>
        </w:tc>
      </w:tr>
      <w:tr w:rsidR="005C2FD0">
        <w:trPr>
          <w:trHeight w:val="333"/>
          <w:jc w:val="center"/>
        </w:trPr>
        <w:tc>
          <w:tcPr>
            <w:tcW w:w="7280" w:type="dxa"/>
            <w:gridSpan w:val="3"/>
            <w:tcBorders>
              <w:bottom w:val="single" w:sz="4" w:space="0" w:color="000000"/>
            </w:tcBorders>
            <w:vAlign w:val="center"/>
          </w:tcPr>
          <w:p w:rsidR="005C2FD0" w:rsidRDefault="006026FB">
            <w:pPr>
              <w:rPr>
                <w:rFonts w:ascii="仿宋" w:eastAsia="仿宋" w:hAnsi="仿宋" w:cs="仿宋"/>
                <w:color w:val="00000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color w:val="000000"/>
                <w:lang w:eastAsia="ar-SA"/>
              </w:rPr>
              <w:t>常州市市政工程管理中心</w:t>
            </w:r>
          </w:p>
        </w:tc>
        <w:tc>
          <w:tcPr>
            <w:tcW w:w="3167" w:type="dxa"/>
            <w:gridSpan w:val="2"/>
            <w:tcBorders>
              <w:bottom w:val="single" w:sz="4" w:space="0" w:color="000000"/>
            </w:tcBorders>
            <w:vAlign w:val="center"/>
          </w:tcPr>
          <w:p w:rsidR="005C2FD0" w:rsidRDefault="006026FB">
            <w:pPr>
              <w:jc w:val="right"/>
              <w:rPr>
                <w:rFonts w:ascii="仿宋" w:eastAsia="仿宋" w:hAnsi="仿宋" w:cs="仿宋"/>
                <w:color w:val="000000"/>
              </w:rPr>
            </w:pPr>
            <w:r>
              <w:rPr>
                <w:rFonts w:ascii="仿宋" w:eastAsia="仿宋" w:hAnsi="仿宋" w:cs="仿宋" w:hint="eastAsia"/>
                <w:color w:val="000000"/>
              </w:rPr>
              <w:t>金额单位：万元</w:t>
            </w:r>
          </w:p>
        </w:tc>
      </w:tr>
      <w:tr w:rsidR="005C2FD0">
        <w:trPr>
          <w:trHeight w:val="450"/>
          <w:jc w:val="center"/>
        </w:trPr>
        <w:tc>
          <w:tcPr>
            <w:tcW w:w="524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color w:val="000000"/>
                <w:lang w:eastAsia="ar-SA"/>
              </w:rPr>
              <w:t>收入</w:t>
            </w:r>
          </w:p>
        </w:tc>
        <w:tc>
          <w:tcPr>
            <w:tcW w:w="5202"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color w:val="000000"/>
                <w:lang w:eastAsia="ar-SA"/>
              </w:rPr>
              <w:t>支出</w:t>
            </w:r>
          </w:p>
        </w:tc>
      </w:tr>
      <w:tr w:rsidR="005C2FD0">
        <w:trPr>
          <w:trHeight w:val="39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color w:val="000000"/>
              </w:rPr>
              <w:t>项目</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color w:val="000000"/>
                <w:lang w:eastAsia="ar-SA"/>
              </w:rPr>
              <w:t>决算数</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color w:val="000000"/>
                <w:lang w:eastAsia="ar-SA"/>
              </w:rPr>
              <w:t>按功能分类</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color w:val="000000"/>
                <w:lang w:eastAsia="ar-SA"/>
              </w:rPr>
              <w:t>决算数</w:t>
            </w: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一、一般公共预算财政拨款收入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4,767.28</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一、一般公共服务支出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二、政府性基金预算财政拨款收入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533.52</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二、外交支出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三、国有资本经营预算财政拨款收入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三、国防支出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四、上级补助收入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四、公共安全支出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五、事业收入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五、教育支出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六、经营收入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六、科学技术支出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七、附属单位上缴收入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七、文化旅游体育与传媒支出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rPr>
                <w:rFonts w:ascii="仿宋" w:eastAsia="仿宋" w:hAnsi="仿宋" w:cs="仿宋"/>
              </w:rPr>
            </w:pPr>
            <w:r>
              <w:rPr>
                <w:rFonts w:ascii="仿宋" w:eastAsia="仿宋" w:hAnsi="仿宋" w:cs="仿宋" w:hint="eastAsia"/>
                <w:sz w:val="20"/>
                <w:lang w:eastAsia="ar-SA"/>
              </w:rPr>
              <w:t>八、其他收入</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八、社会保障和就业支出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2.13</w:t>
            </w: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九、卫生健康支出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31.62</w:t>
            </w: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十、节能环保支出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十一、城乡社区支出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4,755.19</w:t>
            </w: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十二、农林水支出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十三、交通运输支出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十四、资源勘探工业信息等支出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十五、商业服务业等支出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十六、金融支出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十七、援助其他地区支出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十八、自然资源海洋气象等支出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十九、住房保障支出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jc w:val="right"/>
              <w:rPr>
                <w:rFonts w:ascii="仿宋" w:eastAsia="仿宋" w:hAnsi="仿宋" w:cs="仿宋"/>
                <w:color w:val="000000"/>
                <w:lang w:eastAsia="ar-SA"/>
              </w:rPr>
            </w:pPr>
            <w:r>
              <w:rPr>
                <w:rFonts w:ascii="仿宋" w:eastAsia="仿宋" w:hAnsi="仿宋" w:cs="仿宋" w:hint="eastAsia"/>
                <w:color w:val="000000"/>
                <w:lang w:eastAsia="ar-SA"/>
              </w:rPr>
              <w:t>511.87</w:t>
            </w: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二十、粮油物资储备支出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二十一、国有资本经营预算支出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二十二、灾害防治及应急管理支出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二十三、其他支出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二十四、债务还本支出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二十五、债务付息支出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val="345"/>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5C2FD0">
            <w:pPr>
              <w:rPr>
                <w:rFonts w:ascii="仿宋" w:eastAsia="仿宋" w:hAnsi="仿宋" w:cs="仿宋"/>
              </w:rPr>
            </w:pP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keepNext/>
              <w:keepLines/>
              <w:rPr>
                <w:rFonts w:ascii="仿宋" w:eastAsia="仿宋" w:hAnsi="仿宋" w:cs="仿宋"/>
                <w:color w:val="000000"/>
              </w:rPr>
            </w:pPr>
            <w:r>
              <w:rPr>
                <w:rFonts w:ascii="仿宋" w:eastAsia="仿宋" w:hAnsi="仿宋" w:cs="仿宋" w:hint="eastAsia"/>
                <w:color w:val="000000"/>
                <w:lang w:eastAsia="ar-SA"/>
              </w:rPr>
              <w:t>二十六、抗疫特别国债安排的支出</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keepNext/>
              <w:keepLines/>
              <w:jc w:val="right"/>
              <w:rPr>
                <w:rFonts w:ascii="仿宋" w:eastAsia="仿宋" w:hAnsi="仿宋" w:cs="仿宋"/>
                <w:color w:val="000000"/>
                <w:lang w:eastAsia="ar-SA"/>
              </w:rPr>
            </w:pPr>
          </w:p>
        </w:tc>
      </w:tr>
      <w:tr w:rsidR="005C2FD0">
        <w:trPr>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b/>
                <w:bCs/>
                <w:color w:val="000000"/>
                <w:lang w:eastAsia="ar-SA"/>
              </w:rPr>
              <w:t>本年收入合计</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color w:val="000000"/>
              </w:rPr>
            </w:pPr>
            <w:r>
              <w:rPr>
                <w:rFonts w:ascii="仿宋" w:eastAsia="仿宋" w:hAnsi="仿宋" w:cs="仿宋" w:hint="eastAsia"/>
                <w:color w:val="000000"/>
                <w:lang w:eastAsia="ar-SA"/>
              </w:rPr>
              <w:t>5,300.81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b/>
                <w:bCs/>
                <w:color w:val="000000"/>
              </w:rPr>
            </w:pPr>
            <w:r>
              <w:rPr>
                <w:rFonts w:ascii="仿宋" w:eastAsia="仿宋" w:hAnsi="仿宋" w:cs="仿宋" w:hint="eastAsia"/>
                <w:b/>
                <w:bCs/>
                <w:color w:val="000000"/>
                <w:lang w:eastAsia="ar-SA"/>
              </w:rPr>
              <w:t>本年支出合计</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color w:val="000000"/>
              </w:rPr>
            </w:pPr>
            <w:r>
              <w:rPr>
                <w:rFonts w:ascii="仿宋" w:eastAsia="仿宋" w:hAnsi="仿宋" w:cs="仿宋" w:hint="eastAsia"/>
                <w:color w:val="000000"/>
                <w:lang w:eastAsia="ar-SA"/>
              </w:rPr>
              <w:t>5,300.81</w:t>
            </w:r>
          </w:p>
        </w:tc>
      </w:tr>
      <w:tr w:rsidR="005C2FD0">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ind w:firstLineChars="100" w:firstLine="220"/>
              <w:rPr>
                <w:rFonts w:ascii="仿宋" w:eastAsia="仿宋" w:hAnsi="仿宋" w:cs="仿宋"/>
                <w:color w:val="000000"/>
              </w:rPr>
            </w:pPr>
            <w:r>
              <w:rPr>
                <w:rFonts w:ascii="仿宋" w:eastAsia="仿宋" w:hAnsi="仿宋" w:cs="仿宋" w:hint="eastAsia"/>
                <w:color w:val="000000"/>
                <w:lang w:eastAsia="ar-SA"/>
              </w:rPr>
              <w:t>使用非财政拨款结余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ind w:firstLineChars="100" w:firstLine="220"/>
              <w:rPr>
                <w:rFonts w:ascii="仿宋" w:eastAsia="仿宋" w:hAnsi="仿宋" w:cs="仿宋"/>
                <w:color w:val="000000"/>
              </w:rPr>
            </w:pPr>
            <w:r>
              <w:rPr>
                <w:rFonts w:ascii="仿宋" w:eastAsia="仿宋" w:hAnsi="仿宋" w:cs="仿宋" w:hint="eastAsia"/>
                <w:color w:val="000000"/>
                <w:lang w:eastAsia="ar-SA"/>
              </w:rPr>
              <w:t>结余分配</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color w:val="000000"/>
              </w:rPr>
            </w:pPr>
          </w:p>
        </w:tc>
      </w:tr>
      <w:tr w:rsidR="005C2FD0">
        <w:trPr>
          <w:trHeight w:val="413"/>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ind w:firstLineChars="100" w:firstLine="220"/>
              <w:rPr>
                <w:rFonts w:ascii="仿宋" w:eastAsia="仿宋" w:hAnsi="仿宋" w:cs="仿宋"/>
                <w:color w:val="000000"/>
              </w:rPr>
            </w:pPr>
            <w:r>
              <w:rPr>
                <w:rFonts w:ascii="仿宋" w:eastAsia="仿宋" w:hAnsi="仿宋" w:cs="仿宋" w:hint="eastAsia"/>
                <w:color w:val="000000"/>
                <w:lang w:eastAsia="ar-SA"/>
              </w:rPr>
              <w:t>年初结转和结余</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color w:val="000000"/>
                <w:lang w:eastAsia="ar-SA"/>
              </w:rPr>
            </w:pP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ind w:firstLineChars="100" w:firstLine="220"/>
              <w:rPr>
                <w:rFonts w:ascii="仿宋" w:eastAsia="仿宋" w:hAnsi="仿宋" w:cs="仿宋"/>
                <w:color w:val="000000"/>
              </w:rPr>
            </w:pPr>
            <w:r>
              <w:rPr>
                <w:rFonts w:ascii="仿宋" w:eastAsia="仿宋" w:hAnsi="仿宋" w:cs="仿宋" w:hint="eastAsia"/>
                <w:color w:val="000000"/>
                <w:lang w:eastAsia="ar-SA"/>
              </w:rPr>
              <w:t>年末结转和结余</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color w:val="000000"/>
              </w:rPr>
            </w:pPr>
          </w:p>
        </w:tc>
      </w:tr>
      <w:tr w:rsidR="005C2FD0">
        <w:trPr>
          <w:trHeight w:val="383"/>
          <w:jc w:val="center"/>
        </w:trPr>
        <w:tc>
          <w:tcPr>
            <w:tcW w:w="3468" w:type="dxa"/>
            <w:tcBorders>
              <w:top w:val="single" w:sz="4" w:space="0" w:color="000000"/>
              <w:left w:val="single" w:sz="4" w:space="0" w:color="000000"/>
              <w:bottom w:val="single" w:sz="4" w:space="0" w:color="000000"/>
              <w:right w:val="single" w:sz="4" w:space="0" w:color="000000"/>
            </w:tcBorders>
          </w:tcPr>
          <w:p w:rsidR="005C2FD0" w:rsidRDefault="005C2FD0">
            <w:pPr>
              <w:rPr>
                <w:rFonts w:ascii="仿宋" w:eastAsia="仿宋" w:hAnsi="仿宋" w:cs="仿宋"/>
                <w:color w:val="000000"/>
              </w:rPr>
            </w:pPr>
          </w:p>
        </w:tc>
        <w:tc>
          <w:tcPr>
            <w:tcW w:w="1777" w:type="dxa"/>
            <w:tcBorders>
              <w:top w:val="single" w:sz="4" w:space="0" w:color="000000"/>
              <w:left w:val="single" w:sz="4" w:space="0" w:color="000000"/>
              <w:bottom w:val="single" w:sz="4" w:space="0" w:color="000000"/>
              <w:right w:val="single" w:sz="4" w:space="0" w:color="000000"/>
            </w:tcBorders>
          </w:tcPr>
          <w:p w:rsidR="005C2FD0" w:rsidRDefault="005C2FD0">
            <w:pPr>
              <w:rPr>
                <w:rFonts w:ascii="仿宋" w:eastAsia="仿宋" w:hAnsi="仿宋" w:cs="仿宋"/>
                <w:color w:val="000000"/>
              </w:rPr>
            </w:pPr>
          </w:p>
        </w:tc>
        <w:tc>
          <w:tcPr>
            <w:tcW w:w="3376" w:type="dxa"/>
            <w:gridSpan w:val="2"/>
            <w:tcBorders>
              <w:top w:val="single" w:sz="4" w:space="0" w:color="000000"/>
              <w:left w:val="single" w:sz="4" w:space="0" w:color="000000"/>
              <w:bottom w:val="single" w:sz="4" w:space="0" w:color="000000"/>
              <w:right w:val="single" w:sz="4" w:space="0" w:color="000000"/>
            </w:tcBorders>
          </w:tcPr>
          <w:p w:rsidR="005C2FD0" w:rsidRDefault="005C2FD0">
            <w:pPr>
              <w:rPr>
                <w:rFonts w:ascii="仿宋" w:eastAsia="仿宋" w:hAnsi="仿宋" w:cs="仿宋"/>
                <w:color w:val="000000"/>
              </w:rPr>
            </w:pPr>
          </w:p>
        </w:tc>
        <w:tc>
          <w:tcPr>
            <w:tcW w:w="1826" w:type="dxa"/>
            <w:tcBorders>
              <w:top w:val="single" w:sz="4" w:space="0" w:color="000000"/>
              <w:left w:val="single" w:sz="4" w:space="0" w:color="000000"/>
              <w:bottom w:val="single" w:sz="4" w:space="0" w:color="000000"/>
              <w:right w:val="single" w:sz="4" w:space="0" w:color="000000"/>
            </w:tcBorders>
          </w:tcPr>
          <w:p w:rsidR="005C2FD0" w:rsidRDefault="005C2FD0">
            <w:pPr>
              <w:rPr>
                <w:rFonts w:ascii="仿宋" w:eastAsia="仿宋" w:hAnsi="仿宋" w:cs="仿宋"/>
                <w:color w:val="000000"/>
              </w:rPr>
            </w:pPr>
          </w:p>
        </w:tc>
      </w:tr>
      <w:tr w:rsidR="005C2FD0">
        <w:trPr>
          <w:cantSplit/>
          <w:trHeight w:hRule="exact" w:val="454"/>
          <w:jc w:val="center"/>
        </w:trPr>
        <w:tc>
          <w:tcPr>
            <w:tcW w:w="346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777"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color w:val="000000"/>
              </w:rPr>
            </w:pPr>
            <w:r>
              <w:rPr>
                <w:rFonts w:ascii="仿宋" w:eastAsia="仿宋" w:hAnsi="仿宋" w:cs="仿宋" w:hint="eastAsia"/>
                <w:color w:val="000000"/>
                <w:lang w:eastAsia="ar-SA"/>
              </w:rPr>
              <w:t>5,300.81</w:t>
            </w:r>
          </w:p>
        </w:tc>
        <w:tc>
          <w:tcPr>
            <w:tcW w:w="3376"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color w:val="000000"/>
              </w:rPr>
            </w:pPr>
            <w:r>
              <w:rPr>
                <w:rFonts w:ascii="仿宋" w:eastAsia="仿宋" w:hAnsi="仿宋" w:cs="仿宋" w:hint="eastAsia"/>
                <w:b/>
                <w:color w:val="000000"/>
                <w:lang w:eastAsia="ar-SA"/>
              </w:rPr>
              <w:t>总计</w:t>
            </w:r>
          </w:p>
        </w:tc>
        <w:tc>
          <w:tcPr>
            <w:tcW w:w="1826"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color w:val="000000"/>
              </w:rPr>
            </w:pPr>
            <w:r>
              <w:rPr>
                <w:rFonts w:ascii="仿宋" w:eastAsia="仿宋" w:hAnsi="仿宋" w:cs="仿宋" w:hint="eastAsia"/>
                <w:color w:val="000000"/>
                <w:lang w:eastAsia="ar-SA"/>
              </w:rPr>
              <w:t>5,300.81</w:t>
            </w:r>
          </w:p>
        </w:tc>
      </w:tr>
    </w:tbl>
    <w:p w:rsidR="005C2FD0" w:rsidRDefault="006026FB">
      <w:pPr>
        <w:spacing w:before="66"/>
        <w:jc w:val="both"/>
        <w:rPr>
          <w:rFonts w:ascii="仿宋" w:eastAsia="仿宋" w:hAnsi="仿宋" w:cs="仿宋"/>
          <w:color w:val="000000"/>
          <w:lang w:val="en-US"/>
        </w:rPr>
      </w:pPr>
      <w:r>
        <w:rPr>
          <w:rFonts w:ascii="仿宋" w:eastAsia="仿宋" w:hAnsi="仿宋" w:cs="仿宋" w:hint="eastAsia"/>
          <w:color w:val="000000"/>
          <w:lang w:val="en-US"/>
        </w:rPr>
        <w:t>注：本表反映本年度的总收支和年末结转结余情况。本表金额单位转换时可能存在尾数误差。</w:t>
      </w:r>
    </w:p>
    <w:p w:rsidR="005C2FD0" w:rsidRDefault="005C2FD0">
      <w:pPr>
        <w:spacing w:before="66"/>
        <w:jc w:val="both"/>
        <w:rPr>
          <w:rFonts w:ascii="仿宋" w:eastAsia="仿宋" w:hAnsi="仿宋" w:cs="仿宋"/>
          <w:color w:val="000000"/>
        </w:rPr>
        <w:sectPr w:rsidR="005C2FD0">
          <w:footerReference w:type="default" r:id="rId11"/>
          <w:pgSz w:w="11906" w:h="16838"/>
          <w:pgMar w:top="720" w:right="720" w:bottom="720" w:left="720" w:header="170" w:footer="280" w:gutter="0"/>
          <w:pgNumType w:fmt="numberInDash"/>
          <w:cols w:space="720"/>
          <w:formProt w:val="0"/>
          <w:docGrid w:linePitch="100"/>
        </w:sectPr>
      </w:pPr>
    </w:p>
    <w:tbl>
      <w:tblPr>
        <w:tblW w:w="16660" w:type="dxa"/>
        <w:jc w:val="center"/>
        <w:tblLayout w:type="fixed"/>
        <w:tblLook w:val="04A0" w:firstRow="1" w:lastRow="0" w:firstColumn="1" w:lastColumn="0" w:noHBand="0" w:noVBand="1"/>
      </w:tblPr>
      <w:tblGrid>
        <w:gridCol w:w="1201"/>
        <w:gridCol w:w="3156"/>
        <w:gridCol w:w="1716"/>
        <w:gridCol w:w="1728"/>
        <w:gridCol w:w="1686"/>
        <w:gridCol w:w="1503"/>
        <w:gridCol w:w="1704"/>
        <w:gridCol w:w="1263"/>
        <w:gridCol w:w="1375"/>
        <w:gridCol w:w="1328"/>
      </w:tblGrid>
      <w:tr w:rsidR="005C2FD0">
        <w:trPr>
          <w:trHeight w:val="403"/>
          <w:jc w:val="center"/>
        </w:trPr>
        <w:tc>
          <w:tcPr>
            <w:tcW w:w="16660" w:type="dxa"/>
            <w:gridSpan w:val="10"/>
            <w:vAlign w:val="center"/>
          </w:tcPr>
          <w:p w:rsidR="005C2FD0" w:rsidRDefault="006026FB">
            <w:pPr>
              <w:pStyle w:val="4"/>
              <w:rPr>
                <w:rFonts w:ascii="仿宋" w:eastAsia="仿宋" w:hAnsi="仿宋" w:cs="仿宋"/>
                <w:b/>
                <w:bCs/>
                <w:sz w:val="44"/>
                <w:szCs w:val="44"/>
                <w:lang w:val="en-US"/>
              </w:rPr>
            </w:pPr>
            <w:r>
              <w:rPr>
                <w:rFonts w:ascii="宋体" w:eastAsia="宋体" w:hAnsi="宋体" w:cs="宋体" w:hint="eastAsia"/>
                <w:b/>
                <w:bCs/>
                <w:color w:val="000000"/>
                <w:lang w:eastAsia="ar-SA"/>
              </w:rPr>
              <w:lastRenderedPageBreak/>
              <w:t>收入决算表</w:t>
            </w:r>
          </w:p>
        </w:tc>
      </w:tr>
      <w:tr w:rsidR="005C2FD0">
        <w:trPr>
          <w:trHeight w:val="247"/>
          <w:jc w:val="center"/>
        </w:trPr>
        <w:tc>
          <w:tcPr>
            <w:tcW w:w="4357" w:type="dxa"/>
            <w:gridSpan w:val="2"/>
            <w:vAlign w:val="center"/>
          </w:tcPr>
          <w:p w:rsidR="005C2FD0" w:rsidRDefault="005C2FD0">
            <w:pPr>
              <w:pStyle w:val="TableParagraph"/>
              <w:jc w:val="center"/>
              <w:rPr>
                <w:rFonts w:ascii="仿宋" w:eastAsia="仿宋" w:hAnsi="仿宋" w:cs="仿宋"/>
              </w:rPr>
            </w:pPr>
          </w:p>
        </w:tc>
        <w:tc>
          <w:tcPr>
            <w:tcW w:w="1716" w:type="dxa"/>
            <w:vAlign w:val="center"/>
          </w:tcPr>
          <w:p w:rsidR="005C2FD0" w:rsidRDefault="005C2FD0">
            <w:pPr>
              <w:pStyle w:val="TableParagraph"/>
              <w:jc w:val="center"/>
              <w:rPr>
                <w:rFonts w:ascii="仿宋" w:eastAsia="仿宋" w:hAnsi="仿宋" w:cs="仿宋"/>
              </w:rPr>
            </w:pPr>
          </w:p>
        </w:tc>
        <w:tc>
          <w:tcPr>
            <w:tcW w:w="1728" w:type="dxa"/>
            <w:vAlign w:val="center"/>
          </w:tcPr>
          <w:p w:rsidR="005C2FD0" w:rsidRDefault="005C2FD0">
            <w:pPr>
              <w:pStyle w:val="TableParagraph"/>
              <w:jc w:val="center"/>
              <w:rPr>
                <w:rFonts w:ascii="仿宋" w:eastAsia="仿宋" w:hAnsi="仿宋" w:cs="仿宋"/>
              </w:rPr>
            </w:pPr>
          </w:p>
        </w:tc>
        <w:tc>
          <w:tcPr>
            <w:tcW w:w="1686" w:type="dxa"/>
            <w:vAlign w:val="center"/>
          </w:tcPr>
          <w:p w:rsidR="005C2FD0" w:rsidRDefault="005C2FD0">
            <w:pPr>
              <w:pStyle w:val="TableParagraph"/>
              <w:jc w:val="center"/>
              <w:rPr>
                <w:rFonts w:ascii="仿宋" w:eastAsia="仿宋" w:hAnsi="仿宋" w:cs="仿宋"/>
              </w:rPr>
            </w:pPr>
          </w:p>
        </w:tc>
        <w:tc>
          <w:tcPr>
            <w:tcW w:w="3207" w:type="dxa"/>
            <w:gridSpan w:val="2"/>
            <w:vAlign w:val="center"/>
          </w:tcPr>
          <w:p w:rsidR="005C2FD0" w:rsidRDefault="005C2FD0">
            <w:pPr>
              <w:pStyle w:val="TableParagraph"/>
              <w:jc w:val="center"/>
              <w:rPr>
                <w:rFonts w:ascii="仿宋" w:eastAsia="仿宋" w:hAnsi="仿宋" w:cs="仿宋"/>
              </w:rPr>
            </w:pPr>
          </w:p>
        </w:tc>
        <w:tc>
          <w:tcPr>
            <w:tcW w:w="1263" w:type="dxa"/>
            <w:vAlign w:val="center"/>
          </w:tcPr>
          <w:p w:rsidR="005C2FD0" w:rsidRDefault="005C2FD0">
            <w:pPr>
              <w:pStyle w:val="TableParagraph"/>
              <w:jc w:val="center"/>
              <w:rPr>
                <w:rFonts w:ascii="仿宋" w:eastAsia="仿宋" w:hAnsi="仿宋" w:cs="仿宋"/>
              </w:rPr>
            </w:pPr>
          </w:p>
        </w:tc>
        <w:tc>
          <w:tcPr>
            <w:tcW w:w="2703" w:type="dxa"/>
            <w:gridSpan w:val="2"/>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02</w:t>
            </w:r>
            <w:r>
              <w:rPr>
                <w:rFonts w:ascii="仿宋" w:eastAsia="仿宋" w:hAnsi="仿宋" w:cs="仿宋" w:hint="eastAsia"/>
              </w:rPr>
              <w:t>表</w:t>
            </w:r>
          </w:p>
        </w:tc>
      </w:tr>
      <w:tr w:rsidR="005C2FD0">
        <w:trPr>
          <w:trHeight w:val="247"/>
          <w:jc w:val="center"/>
        </w:trPr>
        <w:tc>
          <w:tcPr>
            <w:tcW w:w="13957" w:type="dxa"/>
            <w:gridSpan w:val="8"/>
            <w:vAlign w:val="center"/>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2703" w:type="dxa"/>
            <w:gridSpan w:val="2"/>
            <w:vAlign w:val="center"/>
          </w:tcPr>
          <w:p w:rsidR="005C2FD0" w:rsidRDefault="006026FB">
            <w:pPr>
              <w:pStyle w:val="TableParagraph"/>
              <w:jc w:val="right"/>
              <w:rPr>
                <w:rFonts w:ascii="仿宋" w:eastAsia="仿宋" w:hAnsi="仿宋" w:cs="仿宋"/>
              </w:rPr>
            </w:pPr>
            <w:r>
              <w:rPr>
                <w:rFonts w:ascii="仿宋" w:eastAsia="仿宋" w:hAnsi="仿宋" w:cs="仿宋" w:hint="eastAsia"/>
              </w:rPr>
              <w:t>金额单位：万元</w:t>
            </w:r>
          </w:p>
        </w:tc>
      </w:tr>
      <w:tr w:rsidR="005C2FD0">
        <w:trPr>
          <w:cantSplit/>
          <w:trHeight w:val="255"/>
          <w:jc w:val="center"/>
        </w:trPr>
        <w:tc>
          <w:tcPr>
            <w:tcW w:w="4357"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w:t>
            </w:r>
          </w:p>
        </w:tc>
        <w:tc>
          <w:tcPr>
            <w:tcW w:w="1716"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本年收入合计</w:t>
            </w:r>
          </w:p>
        </w:tc>
        <w:tc>
          <w:tcPr>
            <w:tcW w:w="1728"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财政拨款收入</w:t>
            </w:r>
          </w:p>
        </w:tc>
        <w:tc>
          <w:tcPr>
            <w:tcW w:w="1686"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上级补助收入</w:t>
            </w:r>
          </w:p>
        </w:tc>
        <w:tc>
          <w:tcPr>
            <w:tcW w:w="1503"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财政专户管理教育收费</w:t>
            </w:r>
          </w:p>
        </w:tc>
        <w:tc>
          <w:tcPr>
            <w:tcW w:w="1704"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事业收入（不含专户管理教育收费）</w:t>
            </w:r>
          </w:p>
        </w:tc>
        <w:tc>
          <w:tcPr>
            <w:tcW w:w="1263"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经营收入</w:t>
            </w:r>
          </w:p>
        </w:tc>
        <w:tc>
          <w:tcPr>
            <w:tcW w:w="1375"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附属单位上缴收入</w:t>
            </w:r>
          </w:p>
        </w:tc>
        <w:tc>
          <w:tcPr>
            <w:tcW w:w="1328" w:type="dxa"/>
            <w:vMerge w:val="restart"/>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其他收入</w:t>
            </w:r>
          </w:p>
        </w:tc>
      </w:tr>
      <w:tr w:rsidR="005C2FD0">
        <w:trPr>
          <w:cantSplit/>
          <w:trHeight w:val="502"/>
          <w:jc w:val="center"/>
        </w:trPr>
        <w:tc>
          <w:tcPr>
            <w:tcW w:w="1201"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w:t>
            </w:r>
          </w:p>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3156"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1716" w:type="dxa"/>
            <w:vMerge/>
            <w:tcBorders>
              <w:left w:val="single" w:sz="4" w:space="0" w:color="000000"/>
              <w:bottom w:val="single" w:sz="4" w:space="0" w:color="000000"/>
            </w:tcBorders>
          </w:tcPr>
          <w:p w:rsidR="005C2FD0" w:rsidRDefault="005C2FD0">
            <w:pPr>
              <w:rPr>
                <w:rFonts w:ascii="仿宋" w:eastAsia="仿宋" w:hAnsi="仿宋" w:cs="仿宋"/>
              </w:rPr>
            </w:pPr>
          </w:p>
        </w:tc>
        <w:tc>
          <w:tcPr>
            <w:tcW w:w="1728" w:type="dxa"/>
            <w:vMerge/>
            <w:tcBorders>
              <w:left w:val="single" w:sz="4" w:space="0" w:color="000000"/>
              <w:bottom w:val="single" w:sz="4" w:space="0" w:color="000000"/>
            </w:tcBorders>
          </w:tcPr>
          <w:p w:rsidR="005C2FD0" w:rsidRDefault="005C2FD0">
            <w:pPr>
              <w:rPr>
                <w:rFonts w:ascii="仿宋" w:eastAsia="仿宋" w:hAnsi="仿宋" w:cs="仿宋"/>
              </w:rPr>
            </w:pPr>
          </w:p>
        </w:tc>
        <w:tc>
          <w:tcPr>
            <w:tcW w:w="1686" w:type="dxa"/>
            <w:vMerge/>
            <w:tcBorders>
              <w:left w:val="single" w:sz="4" w:space="0" w:color="000000"/>
              <w:bottom w:val="single" w:sz="4" w:space="0" w:color="000000"/>
            </w:tcBorders>
          </w:tcPr>
          <w:p w:rsidR="005C2FD0" w:rsidRDefault="005C2FD0">
            <w:pPr>
              <w:rPr>
                <w:rFonts w:ascii="仿宋" w:eastAsia="仿宋" w:hAnsi="仿宋" w:cs="仿宋"/>
              </w:rPr>
            </w:pPr>
          </w:p>
        </w:tc>
        <w:tc>
          <w:tcPr>
            <w:tcW w:w="1503" w:type="dxa"/>
            <w:vMerge/>
            <w:tcBorders>
              <w:left w:val="single" w:sz="4" w:space="0" w:color="000000"/>
              <w:bottom w:val="single" w:sz="4" w:space="0" w:color="000000"/>
            </w:tcBorders>
            <w:vAlign w:val="center"/>
          </w:tcPr>
          <w:p w:rsidR="005C2FD0" w:rsidRDefault="005C2FD0">
            <w:pPr>
              <w:pStyle w:val="TableParagraph"/>
              <w:jc w:val="center"/>
              <w:rPr>
                <w:rFonts w:ascii="仿宋" w:eastAsia="仿宋" w:hAnsi="仿宋" w:cs="仿宋"/>
              </w:rPr>
            </w:pPr>
          </w:p>
        </w:tc>
        <w:tc>
          <w:tcPr>
            <w:tcW w:w="1704" w:type="dxa"/>
            <w:vMerge/>
            <w:tcBorders>
              <w:left w:val="single" w:sz="4" w:space="0" w:color="000000"/>
              <w:bottom w:val="single" w:sz="4" w:space="0" w:color="000000"/>
            </w:tcBorders>
            <w:vAlign w:val="center"/>
          </w:tcPr>
          <w:p w:rsidR="005C2FD0" w:rsidRDefault="005C2FD0">
            <w:pPr>
              <w:pStyle w:val="TableParagraph"/>
              <w:jc w:val="center"/>
              <w:rPr>
                <w:rFonts w:ascii="仿宋" w:eastAsia="仿宋" w:hAnsi="仿宋" w:cs="仿宋"/>
              </w:rPr>
            </w:pPr>
          </w:p>
        </w:tc>
        <w:tc>
          <w:tcPr>
            <w:tcW w:w="1263" w:type="dxa"/>
            <w:vMerge/>
            <w:tcBorders>
              <w:left w:val="single" w:sz="4" w:space="0" w:color="000000"/>
              <w:bottom w:val="single" w:sz="4" w:space="0" w:color="000000"/>
            </w:tcBorders>
          </w:tcPr>
          <w:p w:rsidR="005C2FD0" w:rsidRDefault="005C2FD0">
            <w:pPr>
              <w:rPr>
                <w:rFonts w:ascii="仿宋" w:eastAsia="仿宋" w:hAnsi="仿宋" w:cs="仿宋"/>
              </w:rPr>
            </w:pPr>
          </w:p>
        </w:tc>
        <w:tc>
          <w:tcPr>
            <w:tcW w:w="1375" w:type="dxa"/>
            <w:vMerge/>
            <w:tcBorders>
              <w:left w:val="single" w:sz="4" w:space="0" w:color="000000"/>
              <w:bottom w:val="single" w:sz="4" w:space="0" w:color="000000"/>
            </w:tcBorders>
          </w:tcPr>
          <w:p w:rsidR="005C2FD0" w:rsidRDefault="005C2FD0">
            <w:pPr>
              <w:rPr>
                <w:rFonts w:ascii="仿宋" w:eastAsia="仿宋" w:hAnsi="仿宋" w:cs="仿宋"/>
              </w:rPr>
            </w:pPr>
          </w:p>
        </w:tc>
        <w:tc>
          <w:tcPr>
            <w:tcW w:w="1328"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rPr>
            </w:pPr>
          </w:p>
        </w:tc>
      </w:tr>
      <w:tr w:rsidR="005C2FD0">
        <w:trPr>
          <w:cantSplit/>
          <w:trHeight w:hRule="exact" w:val="267"/>
          <w:jc w:val="center"/>
        </w:trPr>
        <w:tc>
          <w:tcPr>
            <w:tcW w:w="4357"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rPr>
              <w:t>合计</w:t>
            </w:r>
          </w:p>
        </w:tc>
        <w:tc>
          <w:tcPr>
            <w:tcW w:w="1716" w:type="dxa"/>
            <w:tcBorders>
              <w:left w:val="single" w:sz="4" w:space="0" w:color="000000"/>
              <w:bottom w:val="single" w:sz="4" w:space="0" w:color="000000"/>
            </w:tcBorders>
            <w:vAlign w:val="center"/>
          </w:tcPr>
          <w:p w:rsidR="005C2FD0" w:rsidRDefault="006026FB">
            <w:pPr>
              <w:jc w:val="right"/>
              <w:rPr>
                <w:rFonts w:ascii="仿宋" w:eastAsia="仿宋" w:hAnsi="仿宋" w:cs="仿宋"/>
                <w:sz w:val="20"/>
                <w:szCs w:val="20"/>
              </w:rPr>
            </w:pPr>
            <w:r>
              <w:rPr>
                <w:rFonts w:ascii="仿宋" w:eastAsia="仿宋" w:hAnsi="仿宋" w:cs="仿宋" w:hint="eastAsia"/>
                <w:sz w:val="20"/>
                <w:szCs w:val="20"/>
              </w:rPr>
              <w:t>5,300.81</w:t>
            </w:r>
          </w:p>
        </w:tc>
        <w:tc>
          <w:tcPr>
            <w:tcW w:w="1728" w:type="dxa"/>
            <w:tcBorders>
              <w:left w:val="single" w:sz="4" w:space="0" w:color="000000"/>
              <w:bottom w:val="single" w:sz="4" w:space="0" w:color="000000"/>
            </w:tcBorders>
            <w:vAlign w:val="center"/>
          </w:tcPr>
          <w:p w:rsidR="005C2FD0" w:rsidRDefault="006026FB">
            <w:pPr>
              <w:jc w:val="right"/>
              <w:rPr>
                <w:rFonts w:ascii="仿宋" w:eastAsia="仿宋" w:hAnsi="仿宋" w:cs="仿宋"/>
                <w:sz w:val="20"/>
                <w:szCs w:val="20"/>
              </w:rPr>
            </w:pPr>
            <w:r>
              <w:rPr>
                <w:rFonts w:ascii="仿宋" w:eastAsia="仿宋" w:hAnsi="仿宋" w:cs="仿宋" w:hint="eastAsia"/>
                <w:sz w:val="20"/>
                <w:szCs w:val="20"/>
              </w:rPr>
              <w:t>5,300.81</w:t>
            </w:r>
          </w:p>
        </w:tc>
        <w:tc>
          <w:tcPr>
            <w:tcW w:w="1686" w:type="dxa"/>
            <w:tcBorders>
              <w:left w:val="single" w:sz="4" w:space="0" w:color="000000"/>
              <w:bottom w:val="single" w:sz="4" w:space="0" w:color="000000"/>
            </w:tcBorders>
            <w:vAlign w:val="center"/>
          </w:tcPr>
          <w:p w:rsidR="005C2FD0" w:rsidRDefault="005C2FD0">
            <w:pPr>
              <w:jc w:val="right"/>
              <w:rPr>
                <w:rFonts w:ascii="仿宋" w:eastAsia="仿宋" w:hAnsi="仿宋" w:cs="仿宋"/>
                <w:sz w:val="20"/>
                <w:szCs w:val="20"/>
              </w:rPr>
            </w:pPr>
          </w:p>
        </w:tc>
        <w:tc>
          <w:tcPr>
            <w:tcW w:w="1503" w:type="dxa"/>
            <w:tcBorders>
              <w:left w:val="single" w:sz="4" w:space="0" w:color="000000"/>
              <w:bottom w:val="single" w:sz="4" w:space="0" w:color="000000"/>
            </w:tcBorders>
            <w:vAlign w:val="center"/>
          </w:tcPr>
          <w:p w:rsidR="005C2FD0" w:rsidRDefault="005C2FD0">
            <w:pPr>
              <w:jc w:val="right"/>
              <w:rPr>
                <w:rFonts w:ascii="仿宋" w:eastAsia="仿宋" w:hAnsi="仿宋" w:cs="仿宋"/>
                <w:sz w:val="20"/>
                <w:szCs w:val="20"/>
              </w:rPr>
            </w:pPr>
          </w:p>
        </w:tc>
        <w:tc>
          <w:tcPr>
            <w:tcW w:w="1704" w:type="dxa"/>
            <w:tcBorders>
              <w:left w:val="single" w:sz="4" w:space="0" w:color="000000"/>
              <w:bottom w:val="single" w:sz="4" w:space="0" w:color="000000"/>
            </w:tcBorders>
            <w:vAlign w:val="center"/>
          </w:tcPr>
          <w:p w:rsidR="005C2FD0" w:rsidRDefault="005C2FD0">
            <w:pPr>
              <w:jc w:val="right"/>
              <w:rPr>
                <w:rFonts w:ascii="仿宋" w:eastAsia="仿宋" w:hAnsi="仿宋" w:cs="仿宋"/>
                <w:sz w:val="20"/>
                <w:szCs w:val="20"/>
              </w:rPr>
            </w:pPr>
          </w:p>
        </w:tc>
        <w:tc>
          <w:tcPr>
            <w:tcW w:w="1263" w:type="dxa"/>
            <w:tcBorders>
              <w:left w:val="single" w:sz="4" w:space="0" w:color="000000"/>
              <w:bottom w:val="single" w:sz="4" w:space="0" w:color="000000"/>
            </w:tcBorders>
            <w:vAlign w:val="center"/>
          </w:tcPr>
          <w:p w:rsidR="005C2FD0" w:rsidRDefault="005C2FD0">
            <w:pPr>
              <w:jc w:val="right"/>
              <w:rPr>
                <w:rFonts w:ascii="仿宋" w:eastAsia="仿宋" w:hAnsi="仿宋" w:cs="仿宋"/>
                <w:sz w:val="20"/>
                <w:szCs w:val="20"/>
              </w:rPr>
            </w:pPr>
          </w:p>
        </w:tc>
        <w:tc>
          <w:tcPr>
            <w:tcW w:w="1375" w:type="dxa"/>
            <w:tcBorders>
              <w:left w:val="single" w:sz="4" w:space="0" w:color="000000"/>
              <w:bottom w:val="single" w:sz="4" w:space="0" w:color="000000"/>
            </w:tcBorders>
            <w:vAlign w:val="center"/>
          </w:tcPr>
          <w:p w:rsidR="005C2FD0" w:rsidRDefault="005C2FD0">
            <w:pPr>
              <w:jc w:val="right"/>
              <w:rPr>
                <w:rFonts w:ascii="仿宋" w:eastAsia="仿宋" w:hAnsi="仿宋" w:cs="仿宋"/>
                <w:sz w:val="20"/>
                <w:szCs w:val="20"/>
              </w:rPr>
            </w:pPr>
          </w:p>
        </w:tc>
        <w:tc>
          <w:tcPr>
            <w:tcW w:w="1328" w:type="dxa"/>
            <w:tcBorders>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社会保障和就业支出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2080502</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2.13</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卫生健康支出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2101103</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31.62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4,755.19</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4,755.19</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131.52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131.52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2120102</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122.98</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122.98</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2120199</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8.54</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8.54</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533.52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533.52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2121399</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533.52</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533.52</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4,090.14</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4,090.14</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2129999</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4,090.14</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4,090.14</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住房保障支出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511.87</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511.87</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511.87</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511.87</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2210201</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130.77</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130.77</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2210202</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285.95</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285.95</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r w:rsidR="005C2FD0">
        <w:trPr>
          <w:cantSplit/>
          <w:trHeight w:val="323"/>
          <w:jc w:val="center"/>
        </w:trPr>
        <w:tc>
          <w:tcPr>
            <w:tcW w:w="120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2210203</w:t>
            </w:r>
          </w:p>
        </w:tc>
        <w:tc>
          <w:tcPr>
            <w:tcW w:w="315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71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95.15</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20"/>
                <w:szCs w:val="20"/>
              </w:rPr>
            </w:pPr>
            <w:r>
              <w:rPr>
                <w:rFonts w:ascii="仿宋" w:eastAsia="仿宋" w:hAnsi="仿宋" w:cs="仿宋" w:hint="eastAsia"/>
                <w:sz w:val="20"/>
                <w:szCs w:val="20"/>
              </w:rPr>
              <w:t>95.15</w:t>
            </w:r>
          </w:p>
        </w:tc>
        <w:tc>
          <w:tcPr>
            <w:tcW w:w="168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50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704"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263"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7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c>
          <w:tcPr>
            <w:tcW w:w="13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sz w:val="20"/>
                <w:szCs w:val="20"/>
              </w:rPr>
            </w:pPr>
          </w:p>
        </w:tc>
      </w:tr>
    </w:tbl>
    <w:p w:rsidR="005C2FD0" w:rsidRDefault="006026FB">
      <w:pPr>
        <w:spacing w:before="66"/>
        <w:jc w:val="both"/>
        <w:rPr>
          <w:rFonts w:ascii="仿宋" w:eastAsia="仿宋" w:hAnsi="仿宋" w:cs="仿宋"/>
        </w:rPr>
      </w:pPr>
      <w:r>
        <w:rPr>
          <w:rFonts w:ascii="仿宋" w:eastAsia="仿宋" w:hAnsi="仿宋" w:cs="仿宋" w:hint="eastAsia"/>
          <w:color w:val="000000"/>
        </w:rPr>
        <w:t>注：</w:t>
      </w:r>
      <w:r>
        <w:rPr>
          <w:rFonts w:ascii="仿宋" w:eastAsia="仿宋" w:hAnsi="仿宋" w:cs="仿宋" w:hint="eastAsia"/>
        </w:rPr>
        <w:t>本表反映本年度取得的各项收入情况。本表金额单位转换时可能存在尾数误差。</w:t>
      </w:r>
    </w:p>
    <w:p w:rsidR="005C2FD0" w:rsidRDefault="005C2FD0">
      <w:pPr>
        <w:spacing w:before="66"/>
        <w:ind w:left="57" w:firstLineChars="100" w:firstLine="220"/>
        <w:jc w:val="both"/>
        <w:rPr>
          <w:rFonts w:ascii="仿宋" w:eastAsia="仿宋" w:hAnsi="仿宋" w:cs="仿宋"/>
        </w:rPr>
        <w:sectPr w:rsidR="005C2FD0">
          <w:footerReference w:type="default" r:id="rId12"/>
          <w:pgSz w:w="16838" w:h="11906" w:orient="landscape"/>
          <w:pgMar w:top="720" w:right="113" w:bottom="720" w:left="113" w:header="170" w:footer="280" w:gutter="0"/>
          <w:pgNumType w:fmt="numberInDash"/>
          <w:cols w:space="720"/>
          <w:formProt w:val="0"/>
          <w:docGrid w:linePitch="100"/>
        </w:sectPr>
      </w:pPr>
    </w:p>
    <w:tbl>
      <w:tblPr>
        <w:tblW w:w="15689" w:type="dxa"/>
        <w:tblInd w:w="63" w:type="dxa"/>
        <w:tblLayout w:type="fixed"/>
        <w:tblCellMar>
          <w:top w:w="55" w:type="dxa"/>
          <w:left w:w="55" w:type="dxa"/>
          <w:bottom w:w="55" w:type="dxa"/>
          <w:right w:w="55" w:type="dxa"/>
        </w:tblCellMar>
        <w:tblLook w:val="04A0" w:firstRow="1" w:lastRow="0" w:firstColumn="1" w:lastColumn="0" w:noHBand="0" w:noVBand="1"/>
      </w:tblPr>
      <w:tblGrid>
        <w:gridCol w:w="1188"/>
        <w:gridCol w:w="3927"/>
        <w:gridCol w:w="2164"/>
        <w:gridCol w:w="1897"/>
        <w:gridCol w:w="1739"/>
        <w:gridCol w:w="1715"/>
        <w:gridCol w:w="1633"/>
        <w:gridCol w:w="1426"/>
      </w:tblGrid>
      <w:tr w:rsidR="005C2FD0">
        <w:trPr>
          <w:trHeight w:val="532"/>
        </w:trPr>
        <w:tc>
          <w:tcPr>
            <w:tcW w:w="15689" w:type="dxa"/>
            <w:gridSpan w:val="8"/>
            <w:vAlign w:val="center"/>
          </w:tcPr>
          <w:p w:rsidR="005C2FD0" w:rsidRDefault="006026FB">
            <w:pPr>
              <w:pStyle w:val="4"/>
              <w:rPr>
                <w:rFonts w:ascii="仿宋" w:eastAsia="仿宋" w:hAnsi="仿宋" w:cs="仿宋"/>
                <w:b/>
                <w:bCs/>
                <w:sz w:val="44"/>
                <w:szCs w:val="44"/>
              </w:rPr>
            </w:pPr>
            <w:r>
              <w:rPr>
                <w:rFonts w:ascii="宋体" w:eastAsia="宋体" w:hAnsi="宋体" w:cs="宋体" w:hint="eastAsia"/>
                <w:b/>
                <w:bCs/>
                <w:color w:val="000000"/>
                <w:lang w:eastAsia="ar-SA"/>
              </w:rPr>
              <w:lastRenderedPageBreak/>
              <w:t>支出决算表</w:t>
            </w:r>
          </w:p>
        </w:tc>
      </w:tr>
      <w:tr w:rsidR="005C2FD0">
        <w:trPr>
          <w:trHeight w:val="227"/>
        </w:trPr>
        <w:tc>
          <w:tcPr>
            <w:tcW w:w="5115" w:type="dxa"/>
            <w:gridSpan w:val="2"/>
            <w:vAlign w:val="center"/>
          </w:tcPr>
          <w:p w:rsidR="005C2FD0" w:rsidRDefault="005C2FD0">
            <w:pPr>
              <w:pStyle w:val="TableParagraph"/>
              <w:jc w:val="center"/>
              <w:rPr>
                <w:rFonts w:ascii="仿宋" w:eastAsia="仿宋" w:hAnsi="仿宋" w:cs="仿宋"/>
              </w:rPr>
            </w:pPr>
          </w:p>
        </w:tc>
        <w:tc>
          <w:tcPr>
            <w:tcW w:w="2164" w:type="dxa"/>
            <w:vAlign w:val="center"/>
          </w:tcPr>
          <w:p w:rsidR="005C2FD0" w:rsidRDefault="005C2FD0">
            <w:pPr>
              <w:pStyle w:val="TableParagraph"/>
              <w:jc w:val="center"/>
              <w:rPr>
                <w:rFonts w:ascii="仿宋" w:eastAsia="仿宋" w:hAnsi="仿宋" w:cs="仿宋"/>
                <w:sz w:val="20"/>
              </w:rPr>
            </w:pPr>
          </w:p>
        </w:tc>
        <w:tc>
          <w:tcPr>
            <w:tcW w:w="1897" w:type="dxa"/>
            <w:vAlign w:val="center"/>
          </w:tcPr>
          <w:p w:rsidR="005C2FD0" w:rsidRDefault="005C2FD0">
            <w:pPr>
              <w:pStyle w:val="TableParagraph"/>
              <w:jc w:val="center"/>
              <w:rPr>
                <w:rFonts w:ascii="仿宋" w:eastAsia="仿宋" w:hAnsi="仿宋" w:cs="仿宋"/>
                <w:sz w:val="20"/>
              </w:rPr>
            </w:pPr>
          </w:p>
        </w:tc>
        <w:tc>
          <w:tcPr>
            <w:tcW w:w="1739" w:type="dxa"/>
            <w:vAlign w:val="center"/>
          </w:tcPr>
          <w:p w:rsidR="005C2FD0" w:rsidRDefault="005C2FD0">
            <w:pPr>
              <w:pStyle w:val="TableParagraph"/>
              <w:jc w:val="center"/>
              <w:rPr>
                <w:rFonts w:ascii="仿宋" w:eastAsia="仿宋" w:hAnsi="仿宋" w:cs="仿宋"/>
                <w:sz w:val="20"/>
              </w:rPr>
            </w:pPr>
          </w:p>
        </w:tc>
        <w:tc>
          <w:tcPr>
            <w:tcW w:w="1715" w:type="dxa"/>
            <w:vAlign w:val="center"/>
          </w:tcPr>
          <w:p w:rsidR="005C2FD0" w:rsidRDefault="005C2FD0">
            <w:pPr>
              <w:pStyle w:val="TableParagraph"/>
              <w:jc w:val="center"/>
              <w:rPr>
                <w:rFonts w:ascii="仿宋" w:eastAsia="仿宋" w:hAnsi="仿宋" w:cs="仿宋"/>
                <w:sz w:val="20"/>
              </w:rPr>
            </w:pPr>
          </w:p>
        </w:tc>
        <w:tc>
          <w:tcPr>
            <w:tcW w:w="3059" w:type="dxa"/>
            <w:gridSpan w:val="2"/>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03</w:t>
            </w:r>
            <w:r>
              <w:rPr>
                <w:rFonts w:ascii="仿宋" w:eastAsia="仿宋" w:hAnsi="仿宋" w:cs="仿宋" w:hint="eastAsia"/>
              </w:rPr>
              <w:t>表</w:t>
            </w:r>
          </w:p>
        </w:tc>
      </w:tr>
      <w:tr w:rsidR="005C2FD0">
        <w:trPr>
          <w:trHeight w:val="90"/>
        </w:trPr>
        <w:tc>
          <w:tcPr>
            <w:tcW w:w="12630" w:type="dxa"/>
            <w:gridSpan w:val="6"/>
            <w:vAlign w:val="center"/>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059" w:type="dxa"/>
            <w:gridSpan w:val="2"/>
            <w:vAlign w:val="center"/>
          </w:tcPr>
          <w:p w:rsidR="005C2FD0" w:rsidRDefault="006026FB">
            <w:pPr>
              <w:pStyle w:val="TableParagraph"/>
              <w:jc w:val="right"/>
              <w:rPr>
                <w:rFonts w:ascii="仿宋" w:eastAsia="仿宋" w:hAnsi="仿宋" w:cs="仿宋"/>
              </w:rPr>
            </w:pPr>
            <w:r>
              <w:rPr>
                <w:rFonts w:ascii="仿宋" w:eastAsia="仿宋" w:hAnsi="仿宋" w:cs="仿宋" w:hint="eastAsia"/>
              </w:rPr>
              <w:t>金额单位：万元</w:t>
            </w:r>
          </w:p>
        </w:tc>
      </w:tr>
      <w:tr w:rsidR="005C2FD0">
        <w:trPr>
          <w:trHeight w:val="90"/>
        </w:trPr>
        <w:tc>
          <w:tcPr>
            <w:tcW w:w="5115"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w:t>
            </w:r>
          </w:p>
        </w:tc>
        <w:tc>
          <w:tcPr>
            <w:tcW w:w="2164"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本年支出合计</w:t>
            </w:r>
          </w:p>
        </w:tc>
        <w:tc>
          <w:tcPr>
            <w:tcW w:w="1897"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基本支出</w:t>
            </w:r>
          </w:p>
        </w:tc>
        <w:tc>
          <w:tcPr>
            <w:tcW w:w="1739"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项目支出</w:t>
            </w:r>
          </w:p>
        </w:tc>
        <w:tc>
          <w:tcPr>
            <w:tcW w:w="1715"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上缴上级支出</w:t>
            </w:r>
          </w:p>
        </w:tc>
        <w:tc>
          <w:tcPr>
            <w:tcW w:w="1633" w:type="dxa"/>
            <w:vMerge w:val="restart"/>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经营支出</w:t>
            </w:r>
          </w:p>
        </w:tc>
        <w:tc>
          <w:tcPr>
            <w:tcW w:w="1426" w:type="dxa"/>
            <w:vMerge w:val="restart"/>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对附属单位补助支出</w:t>
            </w:r>
          </w:p>
        </w:tc>
      </w:tr>
      <w:tr w:rsidR="005C2FD0">
        <w:trPr>
          <w:trHeight w:val="176"/>
        </w:trPr>
        <w:tc>
          <w:tcPr>
            <w:tcW w:w="1188"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w:t>
            </w:r>
          </w:p>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3927"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2164" w:type="dxa"/>
            <w:vMerge/>
            <w:tcBorders>
              <w:left w:val="single" w:sz="4" w:space="0" w:color="000000"/>
              <w:bottom w:val="single" w:sz="4" w:space="0" w:color="000000"/>
            </w:tcBorders>
          </w:tcPr>
          <w:p w:rsidR="005C2FD0" w:rsidRDefault="005C2FD0">
            <w:pPr>
              <w:rPr>
                <w:rFonts w:ascii="仿宋" w:eastAsia="仿宋" w:hAnsi="仿宋" w:cs="仿宋"/>
              </w:rPr>
            </w:pPr>
          </w:p>
        </w:tc>
        <w:tc>
          <w:tcPr>
            <w:tcW w:w="1897" w:type="dxa"/>
            <w:vMerge/>
            <w:tcBorders>
              <w:left w:val="single" w:sz="4" w:space="0" w:color="000000"/>
              <w:bottom w:val="single" w:sz="4" w:space="0" w:color="000000"/>
            </w:tcBorders>
          </w:tcPr>
          <w:p w:rsidR="005C2FD0" w:rsidRDefault="005C2FD0">
            <w:pPr>
              <w:rPr>
                <w:rFonts w:ascii="仿宋" w:eastAsia="仿宋" w:hAnsi="仿宋" w:cs="仿宋"/>
              </w:rPr>
            </w:pPr>
          </w:p>
        </w:tc>
        <w:tc>
          <w:tcPr>
            <w:tcW w:w="1739" w:type="dxa"/>
            <w:vMerge/>
            <w:tcBorders>
              <w:left w:val="single" w:sz="4" w:space="0" w:color="000000"/>
              <w:bottom w:val="single" w:sz="4" w:space="0" w:color="000000"/>
            </w:tcBorders>
          </w:tcPr>
          <w:p w:rsidR="005C2FD0" w:rsidRDefault="005C2FD0">
            <w:pPr>
              <w:rPr>
                <w:rFonts w:ascii="仿宋" w:eastAsia="仿宋" w:hAnsi="仿宋" w:cs="仿宋"/>
              </w:rPr>
            </w:pPr>
          </w:p>
        </w:tc>
        <w:tc>
          <w:tcPr>
            <w:tcW w:w="1715" w:type="dxa"/>
            <w:vMerge/>
            <w:tcBorders>
              <w:left w:val="single" w:sz="4" w:space="0" w:color="000000"/>
              <w:bottom w:val="single" w:sz="4" w:space="0" w:color="000000"/>
            </w:tcBorders>
          </w:tcPr>
          <w:p w:rsidR="005C2FD0" w:rsidRDefault="005C2FD0">
            <w:pPr>
              <w:rPr>
                <w:rFonts w:ascii="仿宋" w:eastAsia="仿宋" w:hAnsi="仿宋" w:cs="仿宋"/>
              </w:rPr>
            </w:pPr>
          </w:p>
        </w:tc>
        <w:tc>
          <w:tcPr>
            <w:tcW w:w="1633" w:type="dxa"/>
            <w:vMerge/>
            <w:tcBorders>
              <w:left w:val="single" w:sz="4" w:space="0" w:color="000000"/>
              <w:bottom w:val="single" w:sz="4" w:space="0" w:color="000000"/>
            </w:tcBorders>
          </w:tcPr>
          <w:p w:rsidR="005C2FD0" w:rsidRDefault="005C2FD0">
            <w:pPr>
              <w:rPr>
                <w:rFonts w:ascii="仿宋" w:eastAsia="仿宋" w:hAnsi="仿宋" w:cs="仿宋"/>
              </w:rPr>
            </w:pPr>
          </w:p>
        </w:tc>
        <w:tc>
          <w:tcPr>
            <w:tcW w:w="1426"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rPr>
            </w:pPr>
          </w:p>
        </w:tc>
      </w:tr>
      <w:tr w:rsidR="005C2FD0">
        <w:trPr>
          <w:trHeight w:hRule="exact" w:val="382"/>
        </w:trPr>
        <w:tc>
          <w:tcPr>
            <w:tcW w:w="5115"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rPr>
              <w:t>合计</w:t>
            </w:r>
          </w:p>
        </w:tc>
        <w:tc>
          <w:tcPr>
            <w:tcW w:w="2164"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5,300.81</w:t>
            </w:r>
          </w:p>
        </w:tc>
        <w:tc>
          <w:tcPr>
            <w:tcW w:w="1897"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2,498.57</w:t>
            </w:r>
          </w:p>
        </w:tc>
        <w:tc>
          <w:tcPr>
            <w:tcW w:w="1739"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2,802.24</w:t>
            </w:r>
          </w:p>
        </w:tc>
        <w:tc>
          <w:tcPr>
            <w:tcW w:w="1715" w:type="dxa"/>
            <w:tcBorders>
              <w:left w:val="single" w:sz="4" w:space="0" w:color="000000"/>
              <w:bottom w:val="single" w:sz="4" w:space="0" w:color="000000"/>
            </w:tcBorders>
            <w:vAlign w:val="center"/>
          </w:tcPr>
          <w:p w:rsidR="005C2FD0" w:rsidRDefault="005C2FD0">
            <w:pPr>
              <w:jc w:val="right"/>
              <w:rPr>
                <w:rFonts w:ascii="仿宋" w:eastAsia="仿宋" w:hAnsi="仿宋" w:cs="仿宋"/>
              </w:rPr>
            </w:pPr>
          </w:p>
        </w:tc>
        <w:tc>
          <w:tcPr>
            <w:tcW w:w="1633" w:type="dxa"/>
            <w:tcBorders>
              <w:left w:val="single" w:sz="4" w:space="0" w:color="000000"/>
              <w:bottom w:val="single" w:sz="4" w:space="0" w:color="000000"/>
            </w:tcBorders>
            <w:vAlign w:val="center"/>
          </w:tcPr>
          <w:p w:rsidR="005C2FD0" w:rsidRDefault="005C2FD0">
            <w:pPr>
              <w:jc w:val="right"/>
              <w:rPr>
                <w:rFonts w:ascii="仿宋" w:eastAsia="仿宋" w:hAnsi="仿宋" w:cs="仿宋"/>
              </w:rPr>
            </w:pPr>
          </w:p>
        </w:tc>
        <w:tc>
          <w:tcPr>
            <w:tcW w:w="1426" w:type="dxa"/>
            <w:tcBorders>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208</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社会保障和就业支出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20805</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2080502</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210</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卫生健康支出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21011</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2101103</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31.62</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城乡社区支出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4,755.19</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1,952.95</w:t>
            </w: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2,802.24</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21201</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131.52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131.52</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2120102</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122.98</w:t>
            </w:r>
          </w:p>
        </w:tc>
        <w:tc>
          <w:tcPr>
            <w:tcW w:w="1897"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122.98</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2120199</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8.54</w:t>
            </w:r>
          </w:p>
        </w:tc>
        <w:tc>
          <w:tcPr>
            <w:tcW w:w="1897"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8.54</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21213</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533.52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533.52</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2121399</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533.52</w:t>
            </w:r>
          </w:p>
        </w:tc>
        <w:tc>
          <w:tcPr>
            <w:tcW w:w="1897"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533.52</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21299</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4,090.14</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1,952.95</w:t>
            </w: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2,137.19</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2129999</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4,090.14</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1,952.95</w:t>
            </w:r>
          </w:p>
        </w:tc>
        <w:tc>
          <w:tcPr>
            <w:tcW w:w="1739"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2,137.19</w:t>
            </w: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221</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住房保障支出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511.87</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511.87</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lastRenderedPageBreak/>
              <w:t>22102</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511.87</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511.87</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2210201</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130.77</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130.77</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2210202</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285.95</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285.95</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r w:rsidR="005C2FD0">
        <w:trPr>
          <w:cantSplit/>
          <w:trHeight w:val="348"/>
        </w:trPr>
        <w:tc>
          <w:tcPr>
            <w:tcW w:w="1188"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2210203</w:t>
            </w:r>
          </w:p>
        </w:tc>
        <w:tc>
          <w:tcPr>
            <w:tcW w:w="392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2164"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95.15</w:t>
            </w:r>
          </w:p>
        </w:tc>
        <w:tc>
          <w:tcPr>
            <w:tcW w:w="1897" w:type="dxa"/>
            <w:tcBorders>
              <w:top w:val="single" w:sz="4" w:space="0" w:color="000000"/>
              <w:left w:val="single" w:sz="4" w:space="0" w:color="000000"/>
              <w:bottom w:val="single" w:sz="4" w:space="0" w:color="000000"/>
              <w:right w:val="single" w:sz="4" w:space="0" w:color="000000"/>
            </w:tcBorders>
          </w:tcPr>
          <w:p w:rsidR="005C2FD0" w:rsidRDefault="006026FB">
            <w:pPr>
              <w:pStyle w:val="TableParagraph"/>
              <w:spacing w:before="30"/>
              <w:ind w:left="107"/>
              <w:jc w:val="right"/>
              <w:rPr>
                <w:rFonts w:ascii="仿宋" w:eastAsia="仿宋" w:hAnsi="仿宋" w:cs="仿宋"/>
              </w:rPr>
            </w:pPr>
            <w:r>
              <w:rPr>
                <w:rFonts w:ascii="仿宋" w:eastAsia="仿宋" w:hAnsi="仿宋" w:cs="仿宋" w:hint="eastAsia"/>
              </w:rPr>
              <w:t>95.15</w:t>
            </w:r>
          </w:p>
        </w:tc>
        <w:tc>
          <w:tcPr>
            <w:tcW w:w="1739"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715"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633"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c>
          <w:tcPr>
            <w:tcW w:w="1426" w:type="dxa"/>
            <w:tcBorders>
              <w:top w:val="single" w:sz="4" w:space="0" w:color="000000"/>
              <w:left w:val="single" w:sz="4" w:space="0" w:color="000000"/>
              <w:bottom w:val="single" w:sz="4" w:space="0" w:color="000000"/>
              <w:right w:val="single" w:sz="4" w:space="0" w:color="000000"/>
            </w:tcBorders>
          </w:tcPr>
          <w:p w:rsidR="005C2FD0" w:rsidRDefault="005C2FD0">
            <w:pPr>
              <w:pStyle w:val="TableParagraph"/>
              <w:spacing w:before="30"/>
              <w:ind w:left="107"/>
              <w:jc w:val="right"/>
              <w:rPr>
                <w:rFonts w:ascii="仿宋" w:eastAsia="仿宋" w:hAnsi="仿宋" w:cs="仿宋"/>
              </w:rPr>
            </w:pPr>
          </w:p>
        </w:tc>
      </w:tr>
    </w:tbl>
    <w:p w:rsidR="005C2FD0" w:rsidRDefault="006026FB">
      <w:pPr>
        <w:spacing w:before="59"/>
        <w:rPr>
          <w:rFonts w:ascii="仿宋" w:eastAsia="仿宋" w:hAnsi="仿宋" w:cs="仿宋"/>
        </w:rPr>
      </w:pPr>
      <w:r>
        <w:rPr>
          <w:rFonts w:ascii="仿宋" w:eastAsia="仿宋" w:hAnsi="仿宋" w:cs="仿宋" w:hint="eastAsia"/>
        </w:rPr>
        <w:t>注：本表反映本年度各项支出情况。本表金额单位转换时可能存在尾数误差。</w:t>
      </w:r>
    </w:p>
    <w:p w:rsidR="005C2FD0" w:rsidRDefault="005C2FD0">
      <w:pPr>
        <w:spacing w:before="59"/>
        <w:ind w:left="57"/>
        <w:rPr>
          <w:rFonts w:ascii="仿宋" w:eastAsia="仿宋" w:hAnsi="仿宋" w:cs="仿宋"/>
        </w:rPr>
        <w:sectPr w:rsidR="005C2FD0">
          <w:footerReference w:type="default" r:id="rId13"/>
          <w:pgSz w:w="16838" w:h="11906" w:orient="landscape"/>
          <w:pgMar w:top="720" w:right="567" w:bottom="720" w:left="567" w:header="170" w:footer="280" w:gutter="0"/>
          <w:pgNumType w:fmt="numberInDash"/>
          <w:cols w:space="720"/>
          <w:formProt w:val="0"/>
          <w:docGrid w:linePitch="100"/>
        </w:sectPr>
      </w:pPr>
    </w:p>
    <w:tbl>
      <w:tblPr>
        <w:tblW w:w="15372" w:type="dxa"/>
        <w:tblInd w:w="75" w:type="dxa"/>
        <w:tblLayout w:type="fixed"/>
        <w:tblCellMar>
          <w:top w:w="55" w:type="dxa"/>
          <w:left w:w="55" w:type="dxa"/>
          <w:bottom w:w="55" w:type="dxa"/>
          <w:right w:w="55" w:type="dxa"/>
        </w:tblCellMar>
        <w:tblLook w:val="04A0" w:firstRow="1" w:lastRow="0" w:firstColumn="1" w:lastColumn="0" w:noHBand="0" w:noVBand="1"/>
      </w:tblPr>
      <w:tblGrid>
        <w:gridCol w:w="3725"/>
        <w:gridCol w:w="1837"/>
        <w:gridCol w:w="847"/>
        <w:gridCol w:w="1913"/>
        <w:gridCol w:w="907"/>
        <w:gridCol w:w="1728"/>
        <w:gridCol w:w="1194"/>
        <w:gridCol w:w="221"/>
        <w:gridCol w:w="1500"/>
        <w:gridCol w:w="1500"/>
      </w:tblGrid>
      <w:tr w:rsidR="005C2FD0">
        <w:trPr>
          <w:trHeight w:val="319"/>
        </w:trPr>
        <w:tc>
          <w:tcPr>
            <w:tcW w:w="15372" w:type="dxa"/>
            <w:gridSpan w:val="10"/>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财政拨款收入支出决算总表</w:t>
            </w:r>
          </w:p>
        </w:tc>
      </w:tr>
      <w:tr w:rsidR="005C2FD0">
        <w:trPr>
          <w:trHeight w:val="319"/>
        </w:trPr>
        <w:tc>
          <w:tcPr>
            <w:tcW w:w="5562" w:type="dxa"/>
            <w:gridSpan w:val="2"/>
          </w:tcPr>
          <w:p w:rsidR="005C2FD0" w:rsidRDefault="005C2FD0">
            <w:pPr>
              <w:pStyle w:val="TableParagraph"/>
              <w:rPr>
                <w:rFonts w:ascii="仿宋" w:eastAsia="仿宋" w:hAnsi="仿宋" w:cs="仿宋"/>
                <w:sz w:val="20"/>
              </w:rPr>
            </w:pPr>
          </w:p>
        </w:tc>
        <w:tc>
          <w:tcPr>
            <w:tcW w:w="847" w:type="dxa"/>
          </w:tcPr>
          <w:p w:rsidR="005C2FD0" w:rsidRDefault="005C2FD0">
            <w:pPr>
              <w:pStyle w:val="TableParagraph"/>
              <w:rPr>
                <w:rFonts w:ascii="仿宋" w:eastAsia="仿宋" w:hAnsi="仿宋" w:cs="仿宋"/>
                <w:sz w:val="20"/>
              </w:rPr>
            </w:pPr>
          </w:p>
        </w:tc>
        <w:tc>
          <w:tcPr>
            <w:tcW w:w="1913" w:type="dxa"/>
          </w:tcPr>
          <w:p w:rsidR="005C2FD0" w:rsidRDefault="005C2FD0">
            <w:pPr>
              <w:pStyle w:val="TableParagraph"/>
              <w:rPr>
                <w:rFonts w:ascii="仿宋" w:eastAsia="仿宋" w:hAnsi="仿宋" w:cs="仿宋"/>
                <w:sz w:val="20"/>
              </w:rPr>
            </w:pPr>
          </w:p>
        </w:tc>
        <w:tc>
          <w:tcPr>
            <w:tcW w:w="2635" w:type="dxa"/>
            <w:gridSpan w:val="2"/>
          </w:tcPr>
          <w:p w:rsidR="005C2FD0" w:rsidRDefault="005C2FD0">
            <w:pPr>
              <w:pStyle w:val="TableParagraph"/>
              <w:rPr>
                <w:rFonts w:ascii="仿宋" w:eastAsia="仿宋" w:hAnsi="仿宋" w:cs="仿宋"/>
                <w:sz w:val="20"/>
              </w:rPr>
            </w:pPr>
          </w:p>
        </w:tc>
        <w:tc>
          <w:tcPr>
            <w:tcW w:w="1194" w:type="dxa"/>
          </w:tcPr>
          <w:p w:rsidR="005C2FD0" w:rsidRDefault="005C2FD0">
            <w:pPr>
              <w:pStyle w:val="TableParagraph"/>
              <w:rPr>
                <w:rFonts w:ascii="仿宋" w:eastAsia="仿宋" w:hAnsi="仿宋" w:cs="仿宋"/>
                <w:sz w:val="20"/>
              </w:rPr>
            </w:pPr>
          </w:p>
        </w:tc>
        <w:tc>
          <w:tcPr>
            <w:tcW w:w="3221" w:type="dxa"/>
            <w:gridSpan w:val="3"/>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04</w:t>
            </w:r>
            <w:r>
              <w:rPr>
                <w:rFonts w:ascii="仿宋" w:eastAsia="仿宋" w:hAnsi="仿宋" w:cs="仿宋" w:hint="eastAsia"/>
              </w:rPr>
              <w:t>表</w:t>
            </w:r>
          </w:p>
        </w:tc>
      </w:tr>
      <w:tr w:rsidR="005C2FD0">
        <w:trPr>
          <w:trHeight w:val="319"/>
        </w:trPr>
        <w:tc>
          <w:tcPr>
            <w:tcW w:w="12151" w:type="dxa"/>
            <w:gridSpan w:val="7"/>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221" w:type="dxa"/>
            <w:gridSpan w:val="3"/>
            <w:vAlign w:val="center"/>
          </w:tcPr>
          <w:p w:rsidR="005C2FD0" w:rsidRDefault="006026FB">
            <w:pPr>
              <w:pStyle w:val="TableParagraph"/>
              <w:jc w:val="right"/>
              <w:rPr>
                <w:rFonts w:ascii="仿宋" w:eastAsia="仿宋" w:hAnsi="仿宋" w:cs="仿宋"/>
              </w:rPr>
            </w:pPr>
            <w:r>
              <w:rPr>
                <w:rFonts w:ascii="仿宋" w:eastAsia="仿宋" w:hAnsi="仿宋" w:cs="仿宋" w:hint="eastAsia"/>
              </w:rPr>
              <w:t>金额单位：万元</w:t>
            </w:r>
          </w:p>
        </w:tc>
      </w:tr>
      <w:tr w:rsidR="005C2FD0">
        <w:trPr>
          <w:trHeight w:val="162"/>
        </w:trPr>
        <w:tc>
          <w:tcPr>
            <w:tcW w:w="5562" w:type="dxa"/>
            <w:gridSpan w:val="2"/>
            <w:tcBorders>
              <w:top w:val="single" w:sz="4" w:space="0" w:color="000000"/>
              <w:left w:val="single" w:sz="4" w:space="0" w:color="000000"/>
              <w:bottom w:val="single" w:sz="4" w:space="0" w:color="000000"/>
            </w:tcBorders>
          </w:tcPr>
          <w:p w:rsidR="005C2FD0" w:rsidRDefault="006026FB">
            <w:pPr>
              <w:pStyle w:val="TableParagraph"/>
              <w:jc w:val="center"/>
              <w:rPr>
                <w:rFonts w:ascii="仿宋" w:eastAsia="仿宋" w:hAnsi="仿宋" w:cs="仿宋"/>
              </w:rPr>
            </w:pPr>
            <w:r>
              <w:rPr>
                <w:rFonts w:ascii="仿宋" w:eastAsia="仿宋" w:hAnsi="仿宋" w:cs="仿宋" w:hint="eastAsia"/>
              </w:rPr>
              <w:t>收</w:t>
            </w:r>
            <w:r>
              <w:rPr>
                <w:rFonts w:ascii="仿宋" w:eastAsia="仿宋" w:hAnsi="仿宋" w:cs="仿宋" w:hint="eastAsia"/>
              </w:rPr>
              <w:tab/>
            </w:r>
            <w:r>
              <w:rPr>
                <w:rFonts w:ascii="仿宋" w:eastAsia="仿宋" w:hAnsi="仿宋" w:cs="仿宋" w:hint="eastAsia"/>
              </w:rPr>
              <w:t>入</w:t>
            </w:r>
          </w:p>
        </w:tc>
        <w:tc>
          <w:tcPr>
            <w:tcW w:w="9810" w:type="dxa"/>
            <w:gridSpan w:val="8"/>
            <w:tcBorders>
              <w:top w:val="single" w:sz="4" w:space="0" w:color="000000"/>
              <w:left w:val="single" w:sz="4" w:space="0" w:color="000000"/>
              <w:bottom w:val="single" w:sz="4" w:space="0" w:color="000000"/>
              <w:right w:val="single" w:sz="4" w:space="0" w:color="000000"/>
            </w:tcBorders>
          </w:tcPr>
          <w:p w:rsidR="005C2FD0" w:rsidRDefault="006026FB">
            <w:pPr>
              <w:pStyle w:val="TableParagraph"/>
              <w:jc w:val="center"/>
              <w:rPr>
                <w:rFonts w:ascii="仿宋" w:eastAsia="仿宋" w:hAnsi="仿宋" w:cs="仿宋"/>
              </w:rPr>
            </w:pPr>
            <w:r>
              <w:rPr>
                <w:rFonts w:ascii="仿宋" w:eastAsia="仿宋" w:hAnsi="仿宋" w:cs="仿宋" w:hint="eastAsia"/>
              </w:rPr>
              <w:t>支</w:t>
            </w:r>
            <w:r>
              <w:rPr>
                <w:rFonts w:ascii="仿宋" w:eastAsia="仿宋" w:hAnsi="仿宋" w:cs="仿宋" w:hint="eastAsia"/>
              </w:rPr>
              <w:tab/>
            </w:r>
            <w:r>
              <w:rPr>
                <w:rFonts w:ascii="仿宋" w:eastAsia="仿宋" w:hAnsi="仿宋" w:cs="仿宋" w:hint="eastAsia"/>
              </w:rPr>
              <w:t>出</w:t>
            </w:r>
          </w:p>
        </w:tc>
      </w:tr>
      <w:tr w:rsidR="005C2FD0">
        <w:trPr>
          <w:trHeight w:val="199"/>
        </w:trPr>
        <w:tc>
          <w:tcPr>
            <w:tcW w:w="3725" w:type="dxa"/>
            <w:vMerge w:val="restart"/>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837" w:type="dxa"/>
            <w:vMerge w:val="restart"/>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决算数</w:t>
            </w:r>
          </w:p>
        </w:tc>
        <w:tc>
          <w:tcPr>
            <w:tcW w:w="3667" w:type="dxa"/>
            <w:gridSpan w:val="3"/>
            <w:vMerge w:val="restart"/>
            <w:tcBorders>
              <w:left w:val="single" w:sz="4" w:space="0" w:color="000000"/>
              <w:bottom w:val="single" w:sz="4" w:space="0" w:color="000000"/>
            </w:tcBorders>
            <w:vAlign w:val="center"/>
          </w:tcPr>
          <w:p w:rsidR="005C2FD0" w:rsidRDefault="006026FB">
            <w:pPr>
              <w:jc w:val="center"/>
              <w:rPr>
                <w:rFonts w:ascii="仿宋" w:eastAsia="仿宋" w:hAnsi="仿宋" w:cs="仿宋"/>
              </w:rPr>
            </w:pPr>
            <w:r>
              <w:rPr>
                <w:rFonts w:ascii="仿宋" w:eastAsia="仿宋" w:hAnsi="仿宋" w:cs="仿宋" w:hint="eastAsia"/>
              </w:rPr>
              <w:t>按功能分类</w:t>
            </w:r>
          </w:p>
        </w:tc>
        <w:tc>
          <w:tcPr>
            <w:tcW w:w="6143" w:type="dxa"/>
            <w:gridSpan w:val="5"/>
            <w:tcBorders>
              <w:left w:val="single" w:sz="4" w:space="0" w:color="000000"/>
              <w:bottom w:val="single" w:sz="4" w:space="0" w:color="000000"/>
              <w:right w:val="single" w:sz="4" w:space="0" w:color="000000"/>
            </w:tcBorders>
            <w:vAlign w:val="center"/>
          </w:tcPr>
          <w:p w:rsidR="005C2FD0" w:rsidRDefault="006026FB">
            <w:pPr>
              <w:jc w:val="center"/>
              <w:rPr>
                <w:rFonts w:ascii="仿宋" w:eastAsia="仿宋" w:hAnsi="仿宋" w:cs="仿宋"/>
              </w:rPr>
            </w:pPr>
            <w:r>
              <w:rPr>
                <w:rFonts w:ascii="仿宋" w:eastAsia="仿宋" w:hAnsi="仿宋" w:cs="仿宋" w:hint="eastAsia"/>
              </w:rPr>
              <w:t>决算数</w:t>
            </w:r>
          </w:p>
        </w:tc>
      </w:tr>
      <w:tr w:rsidR="005C2FD0">
        <w:trPr>
          <w:trHeight w:val="578"/>
        </w:trPr>
        <w:tc>
          <w:tcPr>
            <w:tcW w:w="3725" w:type="dxa"/>
            <w:vMerge/>
            <w:tcBorders>
              <w:left w:val="single" w:sz="4" w:space="0" w:color="000000"/>
              <w:bottom w:val="single" w:sz="4" w:space="0" w:color="000000"/>
            </w:tcBorders>
          </w:tcPr>
          <w:p w:rsidR="005C2FD0" w:rsidRDefault="005C2FD0">
            <w:pPr>
              <w:pStyle w:val="TableParagraph"/>
              <w:rPr>
                <w:rFonts w:ascii="仿宋" w:eastAsia="仿宋" w:hAnsi="仿宋" w:cs="仿宋"/>
              </w:rPr>
            </w:pPr>
          </w:p>
        </w:tc>
        <w:tc>
          <w:tcPr>
            <w:tcW w:w="1837" w:type="dxa"/>
            <w:vMerge/>
            <w:tcBorders>
              <w:left w:val="single" w:sz="4" w:space="0" w:color="000000"/>
              <w:bottom w:val="single" w:sz="4" w:space="0" w:color="000000"/>
            </w:tcBorders>
          </w:tcPr>
          <w:p w:rsidR="005C2FD0" w:rsidRDefault="005C2FD0">
            <w:pPr>
              <w:pStyle w:val="TableParagraph"/>
              <w:rPr>
                <w:rFonts w:ascii="仿宋" w:eastAsia="仿宋" w:hAnsi="仿宋" w:cs="仿宋"/>
              </w:rPr>
            </w:pPr>
          </w:p>
        </w:tc>
        <w:tc>
          <w:tcPr>
            <w:tcW w:w="3667" w:type="dxa"/>
            <w:gridSpan w:val="3"/>
            <w:vMerge/>
            <w:tcBorders>
              <w:left w:val="single" w:sz="4" w:space="0" w:color="000000"/>
              <w:bottom w:val="single" w:sz="4" w:space="0" w:color="000000"/>
            </w:tcBorders>
          </w:tcPr>
          <w:p w:rsidR="005C2FD0" w:rsidRDefault="005C2FD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rPr>
              <w:t>小计</w:t>
            </w:r>
          </w:p>
        </w:tc>
        <w:tc>
          <w:tcPr>
            <w:tcW w:w="1415"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一般公共预算财政拨款</w:t>
            </w:r>
          </w:p>
        </w:tc>
        <w:tc>
          <w:tcPr>
            <w:tcW w:w="150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政府性基金预算财政拨款</w:t>
            </w:r>
          </w:p>
        </w:tc>
        <w:tc>
          <w:tcPr>
            <w:tcW w:w="1500"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国有资本经营预算财政拨款</w:t>
            </w: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一、一般公共预算财政拨款收入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4,767.28</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一、一般公共服务支出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二、政府性基金预算财政拨款收入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二、外交支出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三、国有资本经营预算财政拨款收入</w:t>
            </w: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三、国防支出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四、公共安全支出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五、教育支出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六、科学技术支出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七、文化旅游体育与传媒支出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八、社会保障和就业支出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九、卫生健康支出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十、节能环保支出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十一、城乡社区支出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4,755.19</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4,221.66</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十二、农林水支出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十三、交通运输支出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十四、资源勘探工业信息等支出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十五、商业服务业等支出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十六、金融支出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十七、援助其他地区支出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十八、自然资源海洋气象等支出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十九、住房保障支出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二十、粮油物资储备支出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二十一、国有资本经营预算支出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二十二、灾害防治及应急管理支出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二十三、其他支出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二十四、债务还本支出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二十五、债务付息支出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50"/>
        </w:trPr>
        <w:tc>
          <w:tcPr>
            <w:tcW w:w="3725"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183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二十六、抗疫特别国债安排的支出</w:t>
            </w:r>
          </w:p>
        </w:tc>
        <w:tc>
          <w:tcPr>
            <w:tcW w:w="172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hRule="exact" w:val="359"/>
        </w:trPr>
        <w:tc>
          <w:tcPr>
            <w:tcW w:w="3725" w:type="dxa"/>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b/>
                <w:bCs/>
              </w:rPr>
              <w:t>本年收入合计</w:t>
            </w:r>
          </w:p>
        </w:tc>
        <w:tc>
          <w:tcPr>
            <w:tcW w:w="1837" w:type="dxa"/>
            <w:tcBorders>
              <w:top w:val="single" w:sz="4" w:space="0" w:color="000000"/>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5,300.81</w:t>
            </w:r>
          </w:p>
        </w:tc>
        <w:tc>
          <w:tcPr>
            <w:tcW w:w="3667" w:type="dxa"/>
            <w:gridSpan w:val="3"/>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b/>
                <w:bCs/>
              </w:rPr>
              <w:t>本年支出合计</w:t>
            </w:r>
          </w:p>
        </w:tc>
        <w:tc>
          <w:tcPr>
            <w:tcW w:w="1728" w:type="dxa"/>
            <w:tcBorders>
              <w:top w:val="single" w:sz="4" w:space="0" w:color="000000"/>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5,300.81</w:t>
            </w:r>
          </w:p>
        </w:tc>
        <w:tc>
          <w:tcPr>
            <w:tcW w:w="1415" w:type="dxa"/>
            <w:gridSpan w:val="2"/>
            <w:tcBorders>
              <w:top w:val="single" w:sz="4" w:space="0" w:color="000000"/>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4,767.28</w:t>
            </w:r>
          </w:p>
        </w:tc>
        <w:tc>
          <w:tcPr>
            <w:tcW w:w="1500" w:type="dxa"/>
            <w:tcBorders>
              <w:top w:val="single" w:sz="4" w:space="0" w:color="000000"/>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c>
          <w:tcPr>
            <w:tcW w:w="1500"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trHeight w:val="242"/>
        </w:trPr>
        <w:tc>
          <w:tcPr>
            <w:tcW w:w="3725"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年初财政拨款结转和结余</w:t>
            </w:r>
          </w:p>
        </w:tc>
        <w:tc>
          <w:tcPr>
            <w:tcW w:w="1837"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年末财政拨款结转和结余</w:t>
            </w:r>
          </w:p>
        </w:tc>
        <w:tc>
          <w:tcPr>
            <w:tcW w:w="1728"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42"/>
        </w:trPr>
        <w:tc>
          <w:tcPr>
            <w:tcW w:w="3725"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一、一般公共预算财政拨款</w:t>
            </w:r>
          </w:p>
        </w:tc>
        <w:tc>
          <w:tcPr>
            <w:tcW w:w="1837"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5C2FD0" w:rsidRDefault="005C2FD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42"/>
        </w:trPr>
        <w:tc>
          <w:tcPr>
            <w:tcW w:w="3725"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二、政府性基金预算财政拨款</w:t>
            </w:r>
          </w:p>
        </w:tc>
        <w:tc>
          <w:tcPr>
            <w:tcW w:w="1837"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5C2FD0" w:rsidRDefault="005C2FD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trHeight w:val="242"/>
        </w:trPr>
        <w:tc>
          <w:tcPr>
            <w:tcW w:w="3725"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三、国有资本经营预算财政拨款</w:t>
            </w:r>
          </w:p>
        </w:tc>
        <w:tc>
          <w:tcPr>
            <w:tcW w:w="1837"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3667" w:type="dxa"/>
            <w:gridSpan w:val="3"/>
            <w:tcBorders>
              <w:left w:val="single" w:sz="4" w:space="0" w:color="000000"/>
              <w:bottom w:val="single" w:sz="4" w:space="0" w:color="000000"/>
            </w:tcBorders>
            <w:vAlign w:val="center"/>
          </w:tcPr>
          <w:p w:rsidR="005C2FD0" w:rsidRDefault="005C2FD0">
            <w:pPr>
              <w:pStyle w:val="TableParagraph"/>
              <w:rPr>
                <w:rFonts w:ascii="仿宋" w:eastAsia="仿宋" w:hAnsi="仿宋" w:cs="仿宋"/>
              </w:rPr>
            </w:pPr>
          </w:p>
        </w:tc>
        <w:tc>
          <w:tcPr>
            <w:tcW w:w="1728"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415" w:type="dxa"/>
            <w:gridSpan w:val="2"/>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500"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hRule="exact" w:val="322"/>
        </w:trPr>
        <w:tc>
          <w:tcPr>
            <w:tcW w:w="3725"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b/>
                <w:bCs/>
              </w:rPr>
              <w:t>总计</w:t>
            </w:r>
          </w:p>
        </w:tc>
        <w:tc>
          <w:tcPr>
            <w:tcW w:w="1837"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5,300.81</w:t>
            </w:r>
          </w:p>
        </w:tc>
        <w:tc>
          <w:tcPr>
            <w:tcW w:w="3667" w:type="dxa"/>
            <w:gridSpan w:val="3"/>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b/>
                <w:bCs/>
              </w:rPr>
              <w:t>总计</w:t>
            </w:r>
          </w:p>
        </w:tc>
        <w:tc>
          <w:tcPr>
            <w:tcW w:w="1728"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5,300.81</w:t>
            </w:r>
          </w:p>
        </w:tc>
        <w:tc>
          <w:tcPr>
            <w:tcW w:w="1415" w:type="dxa"/>
            <w:gridSpan w:val="2"/>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4,767.28</w:t>
            </w:r>
          </w:p>
        </w:tc>
        <w:tc>
          <w:tcPr>
            <w:tcW w:w="1500" w:type="dxa"/>
            <w:tcBorders>
              <w:left w:val="single" w:sz="4" w:space="0" w:color="000000"/>
              <w:bottom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c>
          <w:tcPr>
            <w:tcW w:w="1500" w:type="dxa"/>
            <w:tcBorders>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bl>
    <w:p w:rsidR="005C2FD0" w:rsidRDefault="006026FB">
      <w:pPr>
        <w:jc w:val="both"/>
        <w:rPr>
          <w:rFonts w:ascii="仿宋" w:eastAsia="仿宋" w:hAnsi="仿宋" w:cs="仿宋"/>
        </w:rPr>
      </w:pPr>
      <w:r>
        <w:rPr>
          <w:rFonts w:ascii="仿宋" w:eastAsia="仿宋" w:hAnsi="仿宋" w:cs="仿宋" w:hint="eastAsia"/>
          <w:lang w:val="en-US"/>
        </w:rPr>
        <w:t>注：</w:t>
      </w:r>
      <w:r>
        <w:rPr>
          <w:rFonts w:ascii="仿宋" w:eastAsia="仿宋" w:hAnsi="仿宋" w:cs="仿宋" w:hint="eastAsia"/>
        </w:rPr>
        <w:t>本表反映本年度一般公共预算财政拨款、政府性基金预算财政拨款和国有资本经营预算财政拨款的总收支和年末结转结余情况。本表金额单位转换时可能存在尾数误差。</w:t>
      </w:r>
    </w:p>
    <w:p w:rsidR="005C2FD0" w:rsidRDefault="005C2FD0">
      <w:pPr>
        <w:jc w:val="both"/>
        <w:rPr>
          <w:rFonts w:ascii="仿宋" w:eastAsia="仿宋" w:hAnsi="仿宋" w:cs="仿宋"/>
        </w:rPr>
        <w:sectPr w:rsidR="005C2FD0">
          <w:footerReference w:type="default" r:id="rId14"/>
          <w:pgSz w:w="16838" w:h="11906" w:orient="landscape"/>
          <w:pgMar w:top="720" w:right="720" w:bottom="720" w:left="720" w:header="170" w:footer="280" w:gutter="0"/>
          <w:pgNumType w:fmt="numberInDash"/>
          <w:cols w:space="720"/>
          <w:formProt w:val="0"/>
          <w:docGrid w:linePitch="100"/>
        </w:sectPr>
      </w:pPr>
    </w:p>
    <w:tbl>
      <w:tblPr>
        <w:tblW w:w="15417" w:type="dxa"/>
        <w:tblInd w:w="44" w:type="dxa"/>
        <w:tblLayout w:type="fixed"/>
        <w:tblCellMar>
          <w:top w:w="55" w:type="dxa"/>
          <w:left w:w="55" w:type="dxa"/>
          <w:bottom w:w="55" w:type="dxa"/>
          <w:right w:w="55" w:type="dxa"/>
        </w:tblCellMar>
        <w:tblLook w:val="04A0" w:firstRow="1" w:lastRow="0" w:firstColumn="1" w:lastColumn="0" w:noHBand="0" w:noVBand="1"/>
      </w:tblPr>
      <w:tblGrid>
        <w:gridCol w:w="1278"/>
        <w:gridCol w:w="5022"/>
        <w:gridCol w:w="3184"/>
        <w:gridCol w:w="2778"/>
        <w:gridCol w:w="3155"/>
      </w:tblGrid>
      <w:tr w:rsidR="005C2FD0">
        <w:trPr>
          <w:trHeight w:val="321"/>
        </w:trPr>
        <w:tc>
          <w:tcPr>
            <w:tcW w:w="15417" w:type="dxa"/>
            <w:gridSpan w:val="5"/>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财政拨款支出决算表（功能科目）</w:t>
            </w:r>
          </w:p>
        </w:tc>
      </w:tr>
      <w:tr w:rsidR="005C2FD0">
        <w:trPr>
          <w:trHeight w:val="321"/>
        </w:trPr>
        <w:tc>
          <w:tcPr>
            <w:tcW w:w="6300" w:type="dxa"/>
            <w:gridSpan w:val="2"/>
          </w:tcPr>
          <w:p w:rsidR="005C2FD0" w:rsidRDefault="005C2FD0">
            <w:pPr>
              <w:pStyle w:val="TableParagraph"/>
              <w:rPr>
                <w:rFonts w:ascii="仿宋" w:eastAsia="仿宋" w:hAnsi="仿宋" w:cs="仿宋"/>
                <w:sz w:val="20"/>
              </w:rPr>
            </w:pPr>
          </w:p>
        </w:tc>
        <w:tc>
          <w:tcPr>
            <w:tcW w:w="3184" w:type="dxa"/>
          </w:tcPr>
          <w:p w:rsidR="005C2FD0" w:rsidRDefault="005C2FD0">
            <w:pPr>
              <w:pStyle w:val="TableParagraph"/>
              <w:rPr>
                <w:rFonts w:ascii="仿宋" w:eastAsia="仿宋" w:hAnsi="仿宋" w:cs="仿宋"/>
                <w:sz w:val="27"/>
              </w:rPr>
            </w:pPr>
          </w:p>
        </w:tc>
        <w:tc>
          <w:tcPr>
            <w:tcW w:w="5933" w:type="dxa"/>
            <w:gridSpan w:val="2"/>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05</w:t>
            </w:r>
            <w:r>
              <w:rPr>
                <w:rFonts w:ascii="仿宋" w:eastAsia="仿宋" w:hAnsi="仿宋" w:cs="仿宋" w:hint="eastAsia"/>
              </w:rPr>
              <w:t>表</w:t>
            </w:r>
          </w:p>
        </w:tc>
      </w:tr>
      <w:tr w:rsidR="005C2FD0">
        <w:trPr>
          <w:trHeight w:val="288"/>
        </w:trPr>
        <w:tc>
          <w:tcPr>
            <w:tcW w:w="6300" w:type="dxa"/>
            <w:gridSpan w:val="2"/>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184" w:type="dxa"/>
          </w:tcPr>
          <w:p w:rsidR="005C2FD0" w:rsidRDefault="005C2FD0">
            <w:pPr>
              <w:pStyle w:val="TableParagraph"/>
              <w:rPr>
                <w:rFonts w:ascii="仿宋" w:eastAsia="仿宋" w:hAnsi="仿宋" w:cs="仿宋"/>
                <w:sz w:val="27"/>
              </w:rPr>
            </w:pPr>
          </w:p>
        </w:tc>
        <w:tc>
          <w:tcPr>
            <w:tcW w:w="2778" w:type="dxa"/>
            <w:vAlign w:val="center"/>
          </w:tcPr>
          <w:p w:rsidR="005C2FD0" w:rsidRDefault="005C2FD0">
            <w:pPr>
              <w:pStyle w:val="TableParagraph"/>
              <w:jc w:val="right"/>
              <w:rPr>
                <w:rFonts w:ascii="仿宋" w:eastAsia="仿宋" w:hAnsi="仿宋" w:cs="仿宋"/>
                <w:sz w:val="27"/>
              </w:rPr>
            </w:pPr>
          </w:p>
        </w:tc>
        <w:tc>
          <w:tcPr>
            <w:tcW w:w="3155"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金额单位：万元</w:t>
            </w:r>
          </w:p>
        </w:tc>
      </w:tr>
      <w:tr w:rsidR="005C2FD0">
        <w:trPr>
          <w:trHeight w:val="319"/>
        </w:trPr>
        <w:tc>
          <w:tcPr>
            <w:tcW w:w="6300" w:type="dxa"/>
            <w:gridSpan w:val="2"/>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184" w:type="dxa"/>
            <w:vMerge w:val="restart"/>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本年支出合计</w:t>
            </w:r>
          </w:p>
        </w:tc>
        <w:tc>
          <w:tcPr>
            <w:tcW w:w="2778" w:type="dxa"/>
            <w:vMerge w:val="restart"/>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基本支出</w:t>
            </w:r>
          </w:p>
        </w:tc>
        <w:tc>
          <w:tcPr>
            <w:tcW w:w="3155" w:type="dxa"/>
            <w:vMerge w:val="restart"/>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项目支出</w:t>
            </w:r>
          </w:p>
        </w:tc>
      </w:tr>
      <w:tr w:rsidR="005C2FD0">
        <w:trPr>
          <w:trHeight w:val="341"/>
        </w:trPr>
        <w:tc>
          <w:tcPr>
            <w:tcW w:w="1278"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w:t>
            </w:r>
          </w:p>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5022"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3184" w:type="dxa"/>
            <w:vMerge/>
            <w:tcBorders>
              <w:left w:val="single" w:sz="6" w:space="0" w:color="000000"/>
              <w:bottom w:val="single" w:sz="6" w:space="0" w:color="000000"/>
            </w:tcBorders>
          </w:tcPr>
          <w:p w:rsidR="005C2FD0" w:rsidRDefault="005C2FD0">
            <w:pPr>
              <w:rPr>
                <w:rFonts w:ascii="仿宋" w:eastAsia="仿宋" w:hAnsi="仿宋" w:cs="仿宋"/>
              </w:rPr>
            </w:pPr>
          </w:p>
        </w:tc>
        <w:tc>
          <w:tcPr>
            <w:tcW w:w="2778" w:type="dxa"/>
            <w:vMerge/>
            <w:tcBorders>
              <w:left w:val="single" w:sz="6" w:space="0" w:color="000000"/>
              <w:bottom w:val="single" w:sz="6" w:space="0" w:color="000000"/>
            </w:tcBorders>
          </w:tcPr>
          <w:p w:rsidR="005C2FD0" w:rsidRDefault="005C2FD0">
            <w:pPr>
              <w:rPr>
                <w:rFonts w:ascii="仿宋" w:eastAsia="仿宋" w:hAnsi="仿宋" w:cs="仿宋"/>
              </w:rPr>
            </w:pPr>
          </w:p>
        </w:tc>
        <w:tc>
          <w:tcPr>
            <w:tcW w:w="3155" w:type="dxa"/>
            <w:vMerge/>
            <w:tcBorders>
              <w:left w:val="single" w:sz="6" w:space="0" w:color="000000"/>
              <w:bottom w:val="single" w:sz="6" w:space="0" w:color="000000"/>
              <w:right w:val="single" w:sz="6" w:space="0" w:color="000000"/>
            </w:tcBorders>
          </w:tcPr>
          <w:p w:rsidR="005C2FD0" w:rsidRDefault="005C2FD0">
            <w:pPr>
              <w:rPr>
                <w:rFonts w:ascii="仿宋" w:eastAsia="仿宋" w:hAnsi="仿宋" w:cs="仿宋"/>
              </w:rPr>
            </w:pPr>
          </w:p>
        </w:tc>
      </w:tr>
      <w:tr w:rsidR="005C2FD0">
        <w:trPr>
          <w:trHeight w:val="275"/>
        </w:trPr>
        <w:tc>
          <w:tcPr>
            <w:tcW w:w="6300" w:type="dxa"/>
            <w:gridSpan w:val="2"/>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栏次</w:t>
            </w:r>
          </w:p>
        </w:tc>
        <w:tc>
          <w:tcPr>
            <w:tcW w:w="3184"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w:t>
            </w:r>
          </w:p>
        </w:tc>
        <w:tc>
          <w:tcPr>
            <w:tcW w:w="2778"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2</w:t>
            </w:r>
          </w:p>
        </w:tc>
        <w:tc>
          <w:tcPr>
            <w:tcW w:w="3155" w:type="dxa"/>
            <w:tcBorders>
              <w:left w:val="single" w:sz="6" w:space="0" w:color="000000"/>
              <w:bottom w:val="single" w:sz="6" w:space="0" w:color="000000"/>
              <w:right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3</w:t>
            </w:r>
          </w:p>
        </w:tc>
      </w:tr>
      <w:tr w:rsidR="005C2FD0">
        <w:trPr>
          <w:trHeight w:hRule="exact" w:val="374"/>
        </w:trPr>
        <w:tc>
          <w:tcPr>
            <w:tcW w:w="6300" w:type="dxa"/>
            <w:gridSpan w:val="2"/>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3184" w:type="dxa"/>
            <w:tcBorders>
              <w:left w:val="single" w:sz="6" w:space="0" w:color="000000"/>
              <w:bottom w:val="single" w:sz="6" w:space="0" w:color="000000"/>
            </w:tcBorders>
          </w:tcPr>
          <w:p w:rsidR="005C2FD0" w:rsidRDefault="006026FB">
            <w:pPr>
              <w:pStyle w:val="TableParagraph"/>
              <w:jc w:val="right"/>
              <w:rPr>
                <w:rFonts w:ascii="仿宋" w:eastAsia="仿宋" w:hAnsi="仿宋" w:cs="仿宋"/>
              </w:rPr>
            </w:pPr>
            <w:r>
              <w:rPr>
                <w:rFonts w:ascii="仿宋" w:eastAsia="仿宋" w:hAnsi="仿宋" w:cs="仿宋" w:hint="eastAsia"/>
              </w:rPr>
              <w:t>5,300.81</w:t>
            </w:r>
          </w:p>
        </w:tc>
        <w:tc>
          <w:tcPr>
            <w:tcW w:w="2778" w:type="dxa"/>
            <w:tcBorders>
              <w:left w:val="single" w:sz="6" w:space="0" w:color="000000"/>
              <w:bottom w:val="single" w:sz="6" w:space="0" w:color="000000"/>
            </w:tcBorders>
          </w:tcPr>
          <w:p w:rsidR="005C2FD0" w:rsidRDefault="006026FB">
            <w:pPr>
              <w:pStyle w:val="TableParagraph"/>
              <w:jc w:val="right"/>
              <w:rPr>
                <w:rFonts w:ascii="仿宋" w:eastAsia="仿宋" w:hAnsi="仿宋" w:cs="仿宋"/>
              </w:rPr>
            </w:pPr>
            <w:r>
              <w:rPr>
                <w:rFonts w:ascii="仿宋" w:eastAsia="仿宋" w:hAnsi="仿宋" w:cs="仿宋" w:hint="eastAsia"/>
              </w:rPr>
              <w:t>2,498.57</w:t>
            </w:r>
          </w:p>
        </w:tc>
        <w:tc>
          <w:tcPr>
            <w:tcW w:w="3155" w:type="dxa"/>
            <w:tcBorders>
              <w:left w:val="single" w:sz="6" w:space="0" w:color="000000"/>
              <w:bottom w:val="single" w:sz="6" w:space="0" w:color="000000"/>
              <w:right w:val="single" w:sz="6" w:space="0" w:color="000000"/>
            </w:tcBorders>
          </w:tcPr>
          <w:p w:rsidR="005C2FD0" w:rsidRDefault="006026FB">
            <w:pPr>
              <w:pStyle w:val="TableParagraph"/>
              <w:jc w:val="right"/>
              <w:rPr>
                <w:rFonts w:ascii="仿宋" w:eastAsia="仿宋" w:hAnsi="仿宋" w:cs="仿宋"/>
              </w:rPr>
            </w:pPr>
            <w:r>
              <w:rPr>
                <w:rFonts w:ascii="仿宋" w:eastAsia="仿宋" w:hAnsi="仿宋" w:cs="仿宋" w:hint="eastAsia"/>
              </w:rPr>
              <w:t>2,802.24</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社会保障和就业支出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2080502</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卫生健康支出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2101103</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4,755.19</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2,802.24</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131.52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131.52</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2120102</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122.98</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122.98</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2120199</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8.54</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8.54</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2121399</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4,090.14</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2,137.19</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2129999</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4,090.14</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2,137.19</w:t>
            </w: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住房保障支出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2210201</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2210202</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285.95</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285.95</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24"/>
        </w:trPr>
        <w:tc>
          <w:tcPr>
            <w:tcW w:w="1278" w:type="dxa"/>
            <w:tcBorders>
              <w:top w:val="single" w:sz="6" w:space="0" w:color="000000"/>
              <w:left w:val="single" w:sz="6"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2210203</w:t>
            </w:r>
          </w:p>
        </w:tc>
        <w:tc>
          <w:tcPr>
            <w:tcW w:w="5022"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3184"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95.15</w:t>
            </w:r>
          </w:p>
        </w:tc>
        <w:tc>
          <w:tcPr>
            <w:tcW w:w="2778" w:type="dxa"/>
            <w:tcBorders>
              <w:top w:val="single" w:sz="6" w:space="0" w:color="000000"/>
              <w:left w:val="single" w:sz="4" w:space="0" w:color="000000"/>
              <w:bottom w:val="single" w:sz="6"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95.15</w:t>
            </w:r>
          </w:p>
        </w:tc>
        <w:tc>
          <w:tcPr>
            <w:tcW w:w="3155" w:type="dxa"/>
            <w:tcBorders>
              <w:top w:val="single" w:sz="6" w:space="0" w:color="000000"/>
              <w:left w:val="single" w:sz="4"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bl>
    <w:p w:rsidR="005C2FD0" w:rsidRDefault="006026FB">
      <w:pPr>
        <w:tabs>
          <w:tab w:val="left" w:pos="0"/>
        </w:tabs>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注：本表反映本年度一般公共预算财政拨款、政府性基金预算财政拨款和国有资本经营预算财政拨款支出情况。本表金额单位转换时可能存在尾数误差。</w:t>
      </w:r>
    </w:p>
    <w:p w:rsidR="005C2FD0" w:rsidRDefault="005C2FD0">
      <w:pPr>
        <w:tabs>
          <w:tab w:val="left" w:pos="55"/>
        </w:tabs>
        <w:jc w:val="both"/>
        <w:rPr>
          <w:rFonts w:ascii="仿宋" w:eastAsia="仿宋" w:hAnsi="仿宋" w:cs="仿宋"/>
        </w:rPr>
        <w:sectPr w:rsidR="005C2FD0">
          <w:footerReference w:type="default" r:id="rId15"/>
          <w:pgSz w:w="16838" w:h="11906" w:orient="landscape"/>
          <w:pgMar w:top="720" w:right="720" w:bottom="720" w:left="720" w:header="170" w:footer="280" w:gutter="0"/>
          <w:pgNumType w:fmt="numberInDash"/>
          <w:cols w:space="720"/>
          <w:formProt w:val="0"/>
          <w:docGrid w:linePitch="100"/>
        </w:sectPr>
      </w:pPr>
    </w:p>
    <w:tbl>
      <w:tblPr>
        <w:tblW w:w="10515" w:type="dxa"/>
        <w:tblInd w:w="38" w:type="dxa"/>
        <w:tblLayout w:type="fixed"/>
        <w:tblCellMar>
          <w:top w:w="55" w:type="dxa"/>
          <w:left w:w="55" w:type="dxa"/>
          <w:bottom w:w="55" w:type="dxa"/>
          <w:right w:w="55" w:type="dxa"/>
        </w:tblCellMar>
        <w:tblLook w:val="04A0" w:firstRow="1" w:lastRow="0" w:firstColumn="1" w:lastColumn="0" w:noHBand="0" w:noVBand="1"/>
      </w:tblPr>
      <w:tblGrid>
        <w:gridCol w:w="990"/>
        <w:gridCol w:w="3542"/>
        <w:gridCol w:w="2047"/>
        <w:gridCol w:w="2040"/>
        <w:gridCol w:w="1896"/>
      </w:tblGrid>
      <w:tr w:rsidR="005C2FD0">
        <w:trPr>
          <w:trHeight w:val="319"/>
        </w:trPr>
        <w:tc>
          <w:tcPr>
            <w:tcW w:w="10515" w:type="dxa"/>
            <w:gridSpan w:val="5"/>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财政拨款基本支出决算表（经济科目）</w:t>
            </w:r>
          </w:p>
        </w:tc>
      </w:tr>
      <w:tr w:rsidR="005C2FD0">
        <w:trPr>
          <w:trHeight w:val="319"/>
        </w:trPr>
        <w:tc>
          <w:tcPr>
            <w:tcW w:w="4532" w:type="dxa"/>
            <w:gridSpan w:val="2"/>
          </w:tcPr>
          <w:p w:rsidR="005C2FD0" w:rsidRDefault="005C2FD0">
            <w:pPr>
              <w:pStyle w:val="TableParagraph"/>
              <w:rPr>
                <w:rFonts w:ascii="仿宋" w:eastAsia="仿宋" w:hAnsi="仿宋" w:cs="仿宋"/>
                <w:sz w:val="20"/>
              </w:rPr>
            </w:pPr>
          </w:p>
        </w:tc>
        <w:tc>
          <w:tcPr>
            <w:tcW w:w="2047" w:type="dxa"/>
          </w:tcPr>
          <w:p w:rsidR="005C2FD0" w:rsidRDefault="005C2FD0">
            <w:pPr>
              <w:pStyle w:val="TableParagraph"/>
              <w:rPr>
                <w:rFonts w:ascii="仿宋" w:eastAsia="仿宋" w:hAnsi="仿宋" w:cs="仿宋"/>
                <w:sz w:val="20"/>
              </w:rPr>
            </w:pPr>
          </w:p>
        </w:tc>
        <w:tc>
          <w:tcPr>
            <w:tcW w:w="2040" w:type="dxa"/>
          </w:tcPr>
          <w:p w:rsidR="005C2FD0" w:rsidRDefault="005C2FD0">
            <w:pPr>
              <w:pStyle w:val="TableParagraph"/>
              <w:rPr>
                <w:rFonts w:ascii="仿宋" w:eastAsia="仿宋" w:hAnsi="仿宋" w:cs="仿宋"/>
                <w:sz w:val="20"/>
              </w:rPr>
            </w:pPr>
          </w:p>
        </w:tc>
        <w:tc>
          <w:tcPr>
            <w:tcW w:w="1896" w:type="dxa"/>
            <w:vAlign w:val="center"/>
          </w:tcPr>
          <w:p w:rsidR="005C2FD0" w:rsidRDefault="006026FB">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06</w:t>
            </w:r>
            <w:r>
              <w:rPr>
                <w:rFonts w:ascii="仿宋" w:eastAsia="仿宋" w:hAnsi="仿宋" w:cs="仿宋" w:hint="eastAsia"/>
              </w:rPr>
              <w:t>表</w:t>
            </w:r>
          </w:p>
        </w:tc>
      </w:tr>
      <w:tr w:rsidR="005C2FD0">
        <w:trPr>
          <w:trHeight w:val="319"/>
        </w:trPr>
        <w:tc>
          <w:tcPr>
            <w:tcW w:w="8619" w:type="dxa"/>
            <w:gridSpan w:val="4"/>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1896" w:type="dxa"/>
            <w:vAlign w:val="center"/>
          </w:tcPr>
          <w:p w:rsidR="005C2FD0" w:rsidRDefault="006026FB">
            <w:pPr>
              <w:pStyle w:val="TableParagraph"/>
              <w:jc w:val="right"/>
              <w:rPr>
                <w:rFonts w:ascii="仿宋" w:eastAsia="仿宋" w:hAnsi="仿宋" w:cs="仿宋"/>
                <w:sz w:val="20"/>
              </w:rPr>
            </w:pPr>
            <w:r>
              <w:rPr>
                <w:rFonts w:ascii="仿宋" w:eastAsia="仿宋" w:hAnsi="仿宋" w:cs="仿宋" w:hint="eastAsia"/>
              </w:rPr>
              <w:t>金额单位：万元</w:t>
            </w:r>
          </w:p>
        </w:tc>
      </w:tr>
      <w:tr w:rsidR="005C2FD0">
        <w:trPr>
          <w:trHeight w:val="243"/>
        </w:trPr>
        <w:tc>
          <w:tcPr>
            <w:tcW w:w="4532"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983"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财政拨款基本支出</w:t>
            </w:r>
          </w:p>
        </w:tc>
      </w:tr>
      <w:tr w:rsidR="005C2FD0">
        <w:trPr>
          <w:trHeight w:val="483"/>
        </w:trPr>
        <w:tc>
          <w:tcPr>
            <w:tcW w:w="99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经济分类科目编码</w:t>
            </w:r>
          </w:p>
        </w:tc>
        <w:tc>
          <w:tcPr>
            <w:tcW w:w="3542"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2047"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204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人员经费</w:t>
            </w:r>
          </w:p>
        </w:tc>
        <w:tc>
          <w:tcPr>
            <w:tcW w:w="1896"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公用经费</w:t>
            </w:r>
          </w:p>
        </w:tc>
      </w:tr>
      <w:tr w:rsidR="005C2FD0">
        <w:trPr>
          <w:trHeight w:hRule="exact" w:val="409"/>
        </w:trPr>
        <w:tc>
          <w:tcPr>
            <w:tcW w:w="4532"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rPr>
              <w:t>合计</w:t>
            </w:r>
          </w:p>
        </w:tc>
        <w:tc>
          <w:tcPr>
            <w:tcW w:w="2047"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2,498.57</w:t>
            </w:r>
          </w:p>
        </w:tc>
        <w:tc>
          <w:tcPr>
            <w:tcW w:w="2040"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2,429.66</w:t>
            </w:r>
          </w:p>
        </w:tc>
        <w:tc>
          <w:tcPr>
            <w:tcW w:w="1896"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2,307.56</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2,307.56</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361.47</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361.47</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506.95</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506.95</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917.19</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917.19</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151.32</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151.32</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74.34</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74.34</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70.52</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70.52</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11.69</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11.69</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83.31</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83.31</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4.65</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4.65</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0.13</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0.13</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3.06</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3.06</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40.73</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40.73</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30215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0.34</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0.34</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12.63</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12.63</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30240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6.06</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6.06</w:t>
            </w: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122.10</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122.10</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99.96</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99.96</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17.13</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17.13</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30310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30311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5.01</w:t>
            </w: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5.01</w:t>
            </w: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债务利息及费用支出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31003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31006</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312</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31201</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31203</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31204</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31205</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399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其他支出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39907</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39908</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39909</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318"/>
        </w:trPr>
        <w:tc>
          <w:tcPr>
            <w:tcW w:w="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39910</w:t>
            </w:r>
          </w:p>
        </w:tc>
        <w:tc>
          <w:tcPr>
            <w:tcW w:w="35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047"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204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96"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bl>
    <w:p w:rsidR="005C2FD0" w:rsidRDefault="006026FB">
      <w:pPr>
        <w:tabs>
          <w:tab w:val="left" w:pos="660"/>
          <w:tab w:val="left" w:pos="10780"/>
        </w:tabs>
        <w:spacing w:before="25" w:line="290" w:lineRule="auto"/>
        <w:jc w:val="both"/>
        <w:rPr>
          <w:rFonts w:ascii="仿宋" w:eastAsia="仿宋" w:hAnsi="仿宋" w:cs="仿宋"/>
        </w:rPr>
      </w:pPr>
      <w:r>
        <w:rPr>
          <w:rFonts w:ascii="仿宋" w:eastAsia="仿宋" w:hAnsi="仿宋" w:cs="仿宋" w:hint="eastAsia"/>
        </w:rPr>
        <w:t>注：本表反映本年度一般公共预算财政拨款、政府性基金预算财政拨款和国有资本经营预算财政拨款基本支出情况。本表金额单位转换时可能存在尾数误差。</w:t>
      </w:r>
    </w:p>
    <w:p w:rsidR="005C2FD0" w:rsidRDefault="005C2FD0">
      <w:pPr>
        <w:spacing w:line="255" w:lineRule="exact"/>
        <w:jc w:val="both"/>
        <w:rPr>
          <w:rFonts w:ascii="仿宋" w:eastAsia="仿宋" w:hAnsi="仿宋" w:cs="仿宋"/>
        </w:rPr>
        <w:sectPr w:rsidR="005C2FD0">
          <w:footerReference w:type="default" r:id="rId16"/>
          <w:pgSz w:w="11906" w:h="16838"/>
          <w:pgMar w:top="720" w:right="720" w:bottom="720" w:left="720" w:header="170" w:footer="280" w:gutter="0"/>
          <w:pgNumType w:fmt="numberInDash"/>
          <w:cols w:space="720"/>
          <w:formProt w:val="0"/>
          <w:docGrid w:linePitch="100"/>
        </w:sectPr>
      </w:pPr>
    </w:p>
    <w:tbl>
      <w:tblPr>
        <w:tblW w:w="10446" w:type="dxa"/>
        <w:tblInd w:w="78" w:type="dxa"/>
        <w:tblLayout w:type="fixed"/>
        <w:tblCellMar>
          <w:top w:w="55" w:type="dxa"/>
          <w:left w:w="55" w:type="dxa"/>
          <w:bottom w:w="55" w:type="dxa"/>
          <w:right w:w="55" w:type="dxa"/>
        </w:tblCellMar>
        <w:tblLook w:val="04A0" w:firstRow="1" w:lastRow="0" w:firstColumn="1" w:lastColumn="0" w:noHBand="0" w:noVBand="1"/>
      </w:tblPr>
      <w:tblGrid>
        <w:gridCol w:w="1134"/>
        <w:gridCol w:w="4332"/>
        <w:gridCol w:w="1969"/>
        <w:gridCol w:w="1499"/>
        <w:gridCol w:w="1512"/>
      </w:tblGrid>
      <w:tr w:rsidR="005C2FD0">
        <w:trPr>
          <w:trHeight w:val="560"/>
        </w:trPr>
        <w:tc>
          <w:tcPr>
            <w:tcW w:w="10446" w:type="dxa"/>
            <w:gridSpan w:val="5"/>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一般公共预算支出决算表（功能科目）</w:t>
            </w:r>
          </w:p>
        </w:tc>
      </w:tr>
      <w:tr w:rsidR="005C2FD0">
        <w:trPr>
          <w:trHeight w:val="147"/>
        </w:trPr>
        <w:tc>
          <w:tcPr>
            <w:tcW w:w="5466" w:type="dxa"/>
            <w:gridSpan w:val="2"/>
          </w:tcPr>
          <w:p w:rsidR="005C2FD0" w:rsidRDefault="005C2FD0">
            <w:pPr>
              <w:pStyle w:val="TableParagraph"/>
              <w:rPr>
                <w:rFonts w:ascii="仿宋" w:eastAsia="仿宋" w:hAnsi="仿宋" w:cs="仿宋"/>
                <w:sz w:val="20"/>
              </w:rPr>
            </w:pPr>
          </w:p>
        </w:tc>
        <w:tc>
          <w:tcPr>
            <w:tcW w:w="1969" w:type="dxa"/>
          </w:tcPr>
          <w:p w:rsidR="005C2FD0" w:rsidRDefault="005C2FD0">
            <w:pPr>
              <w:pStyle w:val="TableParagraph"/>
              <w:rPr>
                <w:rFonts w:ascii="仿宋" w:eastAsia="仿宋" w:hAnsi="仿宋" w:cs="仿宋"/>
                <w:sz w:val="20"/>
              </w:rPr>
            </w:pPr>
          </w:p>
        </w:tc>
        <w:tc>
          <w:tcPr>
            <w:tcW w:w="1499" w:type="dxa"/>
          </w:tcPr>
          <w:p w:rsidR="005C2FD0" w:rsidRDefault="005C2FD0">
            <w:pPr>
              <w:pStyle w:val="TableParagraph"/>
              <w:rPr>
                <w:rFonts w:ascii="仿宋" w:eastAsia="仿宋" w:hAnsi="仿宋" w:cs="仿宋"/>
                <w:sz w:val="20"/>
              </w:rPr>
            </w:pPr>
          </w:p>
        </w:tc>
        <w:tc>
          <w:tcPr>
            <w:tcW w:w="1512" w:type="dxa"/>
            <w:vAlign w:val="center"/>
          </w:tcPr>
          <w:p w:rsidR="005C2FD0" w:rsidRDefault="006026FB">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07</w:t>
            </w:r>
            <w:r>
              <w:rPr>
                <w:rFonts w:ascii="仿宋" w:eastAsia="仿宋" w:hAnsi="仿宋" w:cs="仿宋" w:hint="eastAsia"/>
              </w:rPr>
              <w:t>表</w:t>
            </w:r>
          </w:p>
        </w:tc>
      </w:tr>
      <w:tr w:rsidR="005C2FD0">
        <w:trPr>
          <w:trHeight w:val="303"/>
        </w:trPr>
        <w:tc>
          <w:tcPr>
            <w:tcW w:w="7435" w:type="dxa"/>
            <w:gridSpan w:val="3"/>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011" w:type="dxa"/>
            <w:gridSpan w:val="2"/>
          </w:tcPr>
          <w:p w:rsidR="005C2FD0" w:rsidRDefault="006026FB">
            <w:pPr>
              <w:pStyle w:val="TableParagraph"/>
              <w:jc w:val="right"/>
              <w:rPr>
                <w:rFonts w:ascii="仿宋" w:eastAsia="仿宋" w:hAnsi="仿宋" w:cs="仿宋"/>
              </w:rPr>
            </w:pPr>
            <w:r>
              <w:rPr>
                <w:rFonts w:ascii="仿宋" w:eastAsia="仿宋" w:hAnsi="仿宋" w:cs="仿宋" w:hint="eastAsia"/>
              </w:rPr>
              <w:t>金额单位：万元</w:t>
            </w:r>
          </w:p>
        </w:tc>
      </w:tr>
      <w:tr w:rsidR="005C2FD0">
        <w:trPr>
          <w:trHeight w:val="158"/>
        </w:trPr>
        <w:tc>
          <w:tcPr>
            <w:tcW w:w="5466" w:type="dxa"/>
            <w:gridSpan w:val="2"/>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1969" w:type="dxa"/>
            <w:vMerge w:val="restart"/>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本年支出合计</w:t>
            </w:r>
          </w:p>
        </w:tc>
        <w:tc>
          <w:tcPr>
            <w:tcW w:w="1499" w:type="dxa"/>
            <w:vMerge w:val="restart"/>
            <w:tcBorders>
              <w:top w:val="single" w:sz="6" w:space="0" w:color="000000"/>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基本支出</w:t>
            </w:r>
          </w:p>
        </w:tc>
        <w:tc>
          <w:tcPr>
            <w:tcW w:w="1512" w:type="dxa"/>
            <w:vMerge w:val="restart"/>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项目支出</w:t>
            </w:r>
          </w:p>
        </w:tc>
      </w:tr>
      <w:tr w:rsidR="005C2FD0">
        <w:trPr>
          <w:trHeight w:val="561"/>
        </w:trPr>
        <w:tc>
          <w:tcPr>
            <w:tcW w:w="1134"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功能分类科目编码</w:t>
            </w:r>
          </w:p>
        </w:tc>
        <w:tc>
          <w:tcPr>
            <w:tcW w:w="4332"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1969" w:type="dxa"/>
            <w:vMerge/>
            <w:tcBorders>
              <w:left w:val="single" w:sz="6" w:space="0" w:color="000000"/>
              <w:bottom w:val="single" w:sz="6" w:space="0" w:color="000000"/>
            </w:tcBorders>
          </w:tcPr>
          <w:p w:rsidR="005C2FD0" w:rsidRDefault="005C2FD0">
            <w:pPr>
              <w:rPr>
                <w:rFonts w:ascii="仿宋" w:eastAsia="仿宋" w:hAnsi="仿宋" w:cs="仿宋"/>
                <w:sz w:val="2"/>
                <w:szCs w:val="2"/>
              </w:rPr>
            </w:pPr>
          </w:p>
        </w:tc>
        <w:tc>
          <w:tcPr>
            <w:tcW w:w="1499" w:type="dxa"/>
            <w:vMerge/>
            <w:tcBorders>
              <w:left w:val="single" w:sz="6" w:space="0" w:color="000000"/>
              <w:bottom w:val="single" w:sz="6" w:space="0" w:color="000000"/>
            </w:tcBorders>
          </w:tcPr>
          <w:p w:rsidR="005C2FD0" w:rsidRDefault="005C2FD0">
            <w:pPr>
              <w:rPr>
                <w:rFonts w:ascii="仿宋" w:eastAsia="仿宋" w:hAnsi="仿宋" w:cs="仿宋"/>
                <w:sz w:val="2"/>
                <w:szCs w:val="2"/>
              </w:rPr>
            </w:pPr>
          </w:p>
        </w:tc>
        <w:tc>
          <w:tcPr>
            <w:tcW w:w="1512" w:type="dxa"/>
            <w:vMerge/>
            <w:tcBorders>
              <w:left w:val="single" w:sz="6" w:space="0" w:color="000000"/>
              <w:bottom w:val="single" w:sz="6" w:space="0" w:color="000000"/>
              <w:right w:val="single" w:sz="6" w:space="0" w:color="000000"/>
            </w:tcBorders>
          </w:tcPr>
          <w:p w:rsidR="005C2FD0" w:rsidRDefault="005C2FD0">
            <w:pPr>
              <w:rPr>
                <w:rFonts w:ascii="仿宋" w:eastAsia="仿宋" w:hAnsi="仿宋" w:cs="仿宋"/>
                <w:sz w:val="2"/>
                <w:szCs w:val="2"/>
              </w:rPr>
            </w:pPr>
          </w:p>
        </w:tc>
      </w:tr>
      <w:tr w:rsidR="005C2FD0">
        <w:trPr>
          <w:trHeight w:val="152"/>
        </w:trPr>
        <w:tc>
          <w:tcPr>
            <w:tcW w:w="5466" w:type="dxa"/>
            <w:gridSpan w:val="2"/>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栏次</w:t>
            </w:r>
          </w:p>
        </w:tc>
        <w:tc>
          <w:tcPr>
            <w:tcW w:w="1969"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w:t>
            </w:r>
          </w:p>
        </w:tc>
        <w:tc>
          <w:tcPr>
            <w:tcW w:w="1499" w:type="dxa"/>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2</w:t>
            </w:r>
          </w:p>
        </w:tc>
        <w:tc>
          <w:tcPr>
            <w:tcW w:w="1512" w:type="dxa"/>
            <w:tcBorders>
              <w:left w:val="single" w:sz="6" w:space="0" w:color="000000"/>
              <w:bottom w:val="single" w:sz="6" w:space="0" w:color="000000"/>
              <w:right w:val="single" w:sz="6"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3</w:t>
            </w:r>
          </w:p>
        </w:tc>
      </w:tr>
      <w:tr w:rsidR="005C2FD0">
        <w:trPr>
          <w:trHeight w:hRule="exact" w:val="298"/>
        </w:trPr>
        <w:tc>
          <w:tcPr>
            <w:tcW w:w="5466" w:type="dxa"/>
            <w:gridSpan w:val="2"/>
            <w:tcBorders>
              <w:left w:val="single" w:sz="6" w:space="0" w:color="000000"/>
              <w:bottom w:val="single" w:sz="6"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合计</w:t>
            </w:r>
          </w:p>
        </w:tc>
        <w:tc>
          <w:tcPr>
            <w:tcW w:w="1969" w:type="dxa"/>
            <w:tcBorders>
              <w:left w:val="single" w:sz="6" w:space="0" w:color="000000"/>
              <w:bottom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4,767.28</w:t>
            </w:r>
          </w:p>
        </w:tc>
        <w:tc>
          <w:tcPr>
            <w:tcW w:w="1499" w:type="dxa"/>
            <w:tcBorders>
              <w:left w:val="single" w:sz="6" w:space="0" w:color="000000"/>
              <w:bottom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2,498.57</w:t>
            </w:r>
          </w:p>
        </w:tc>
        <w:tc>
          <w:tcPr>
            <w:tcW w:w="1512" w:type="dxa"/>
            <w:tcBorders>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2,268.71</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社会保障和就业支出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行政事业单位养老支出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2080502</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事业单位离退休</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卫生健康支出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行政事业单位医疗</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2101103</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31.62</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4,221.66</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2,268.71</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城乡社区管理事务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131.52</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131.52</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2120102</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一般行政管理事务</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122.98</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122.98</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2120199</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其他城乡社区管理事务支出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8.54</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8.54</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4,090.14</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2,137.19</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2129999</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其他城乡社区支出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4,090.14</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1,952.95</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2,137.19</w:t>
            </w: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住房保障支出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住房改革支出</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511.87</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2210201</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2210202</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提租补贴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285.95</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285.95</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6"/>
        </w:trPr>
        <w:tc>
          <w:tcPr>
            <w:tcW w:w="1134"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2210203</w:t>
            </w:r>
          </w:p>
        </w:tc>
        <w:tc>
          <w:tcPr>
            <w:tcW w:w="4332"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购房补贴</w:t>
            </w:r>
          </w:p>
        </w:tc>
        <w:tc>
          <w:tcPr>
            <w:tcW w:w="196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95.15</w:t>
            </w:r>
          </w:p>
        </w:tc>
        <w:tc>
          <w:tcPr>
            <w:tcW w:w="1499" w:type="dxa"/>
            <w:tcBorders>
              <w:top w:val="single" w:sz="6" w:space="0" w:color="000000"/>
              <w:left w:val="single" w:sz="6" w:space="0" w:color="000000"/>
              <w:bottom w:val="single" w:sz="6" w:space="0" w:color="000000"/>
              <w:right w:val="single" w:sz="6"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95.15</w:t>
            </w:r>
          </w:p>
        </w:tc>
        <w:tc>
          <w:tcPr>
            <w:tcW w:w="1512" w:type="dxa"/>
            <w:tcBorders>
              <w:top w:val="single" w:sz="6" w:space="0" w:color="000000"/>
              <w:left w:val="single" w:sz="6" w:space="0" w:color="000000"/>
              <w:bottom w:val="single" w:sz="6" w:space="0" w:color="000000"/>
              <w:right w:val="single" w:sz="6" w:space="0" w:color="000000"/>
            </w:tcBorders>
            <w:vAlign w:val="center"/>
          </w:tcPr>
          <w:p w:rsidR="005C2FD0" w:rsidRDefault="005C2FD0">
            <w:pPr>
              <w:pStyle w:val="TableParagraph"/>
              <w:jc w:val="right"/>
              <w:rPr>
                <w:rFonts w:ascii="仿宋" w:eastAsia="仿宋" w:hAnsi="仿宋" w:cs="仿宋"/>
              </w:rPr>
            </w:pPr>
          </w:p>
        </w:tc>
      </w:tr>
    </w:tbl>
    <w:p w:rsidR="005C2FD0" w:rsidRDefault="006026FB">
      <w:pPr>
        <w:tabs>
          <w:tab w:val="left" w:pos="0"/>
        </w:tabs>
        <w:spacing w:before="25"/>
        <w:jc w:val="both"/>
        <w:rPr>
          <w:rFonts w:ascii="仿宋" w:eastAsia="仿宋" w:hAnsi="仿宋" w:cs="仿宋"/>
        </w:rPr>
      </w:pPr>
      <w:r>
        <w:rPr>
          <w:rFonts w:ascii="仿宋" w:eastAsia="仿宋" w:hAnsi="仿宋" w:cs="仿宋" w:hint="eastAsia"/>
        </w:rPr>
        <w:t>注：本表反映本年度一般公共预算财政拨款支出情况。本表金额单位转换时可能存在尾数误差。</w:t>
      </w:r>
    </w:p>
    <w:p w:rsidR="005C2FD0" w:rsidRDefault="005C2FD0">
      <w:pPr>
        <w:spacing w:before="25"/>
        <w:jc w:val="both"/>
        <w:rPr>
          <w:rFonts w:ascii="仿宋" w:eastAsia="仿宋" w:hAnsi="仿宋" w:cs="仿宋"/>
        </w:rPr>
        <w:sectPr w:rsidR="005C2FD0">
          <w:footerReference w:type="default" r:id="rId17"/>
          <w:pgSz w:w="11906" w:h="16838"/>
          <w:pgMar w:top="720" w:right="720" w:bottom="720" w:left="720" w:header="170" w:footer="280" w:gutter="0"/>
          <w:pgNumType w:fmt="numberInDash"/>
          <w:cols w:space="720"/>
          <w:formProt w:val="0"/>
          <w:docGrid w:linePitch="100"/>
        </w:sectPr>
      </w:pPr>
    </w:p>
    <w:tbl>
      <w:tblPr>
        <w:tblW w:w="10473" w:type="dxa"/>
        <w:tblInd w:w="65" w:type="dxa"/>
        <w:tblLayout w:type="fixed"/>
        <w:tblCellMar>
          <w:top w:w="55" w:type="dxa"/>
          <w:left w:w="55" w:type="dxa"/>
          <w:bottom w:w="55" w:type="dxa"/>
          <w:right w:w="55" w:type="dxa"/>
        </w:tblCellMar>
        <w:tblLook w:val="04A0" w:firstRow="1" w:lastRow="0" w:firstColumn="1" w:lastColumn="0" w:noHBand="0" w:noVBand="1"/>
      </w:tblPr>
      <w:tblGrid>
        <w:gridCol w:w="1121"/>
        <w:gridCol w:w="3566"/>
        <w:gridCol w:w="2200"/>
        <w:gridCol w:w="1708"/>
        <w:gridCol w:w="1878"/>
      </w:tblGrid>
      <w:tr w:rsidR="005C2FD0">
        <w:trPr>
          <w:trHeight w:val="319"/>
        </w:trPr>
        <w:tc>
          <w:tcPr>
            <w:tcW w:w="10473" w:type="dxa"/>
            <w:gridSpan w:val="5"/>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一般公共预算基本支出决算表（经济科目）</w:t>
            </w:r>
          </w:p>
        </w:tc>
      </w:tr>
      <w:tr w:rsidR="005C2FD0">
        <w:trPr>
          <w:trHeight w:val="199"/>
        </w:trPr>
        <w:tc>
          <w:tcPr>
            <w:tcW w:w="8595" w:type="dxa"/>
            <w:gridSpan w:val="4"/>
            <w:vAlign w:val="center"/>
          </w:tcPr>
          <w:p w:rsidR="005C2FD0" w:rsidRDefault="005C2FD0">
            <w:pPr>
              <w:pStyle w:val="TableParagraph"/>
              <w:jc w:val="right"/>
              <w:rPr>
                <w:rFonts w:ascii="仿宋" w:eastAsia="仿宋" w:hAnsi="仿宋" w:cs="仿宋"/>
                <w:color w:val="000000"/>
              </w:rPr>
            </w:pPr>
          </w:p>
        </w:tc>
        <w:tc>
          <w:tcPr>
            <w:tcW w:w="1878" w:type="dxa"/>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08</w:t>
            </w:r>
            <w:r>
              <w:rPr>
                <w:rFonts w:ascii="仿宋" w:eastAsia="仿宋" w:hAnsi="仿宋" w:cs="仿宋" w:hint="eastAsia"/>
              </w:rPr>
              <w:t>表</w:t>
            </w:r>
          </w:p>
        </w:tc>
      </w:tr>
      <w:tr w:rsidR="005C2FD0">
        <w:trPr>
          <w:trHeight w:val="320"/>
        </w:trPr>
        <w:tc>
          <w:tcPr>
            <w:tcW w:w="8595" w:type="dxa"/>
            <w:gridSpan w:val="4"/>
            <w:vAlign w:val="center"/>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1878" w:type="dxa"/>
            <w:vAlign w:val="center"/>
          </w:tcPr>
          <w:p w:rsidR="005C2FD0" w:rsidRDefault="006026FB">
            <w:pPr>
              <w:pStyle w:val="TableParagraph"/>
              <w:jc w:val="right"/>
              <w:rPr>
                <w:rFonts w:ascii="仿宋" w:eastAsia="仿宋" w:hAnsi="仿宋" w:cs="仿宋"/>
                <w:sz w:val="20"/>
              </w:rPr>
            </w:pPr>
            <w:r>
              <w:rPr>
                <w:rFonts w:ascii="仿宋" w:eastAsia="仿宋" w:hAnsi="仿宋" w:cs="仿宋" w:hint="eastAsia"/>
              </w:rPr>
              <w:t>金额单位：万元</w:t>
            </w:r>
          </w:p>
        </w:tc>
      </w:tr>
      <w:tr w:rsidR="005C2FD0">
        <w:trPr>
          <w:trHeight w:val="180"/>
        </w:trPr>
        <w:tc>
          <w:tcPr>
            <w:tcW w:w="4687"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5786"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一般公共预算财政拨款基本支出</w:t>
            </w:r>
          </w:p>
        </w:tc>
      </w:tr>
      <w:tr w:rsidR="005C2FD0">
        <w:trPr>
          <w:trHeight w:val="474"/>
        </w:trPr>
        <w:tc>
          <w:tcPr>
            <w:tcW w:w="1121"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经济分类科目编码</w:t>
            </w:r>
          </w:p>
        </w:tc>
        <w:tc>
          <w:tcPr>
            <w:tcW w:w="3566"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220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1708"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人员经费</w:t>
            </w:r>
          </w:p>
        </w:tc>
        <w:tc>
          <w:tcPr>
            <w:tcW w:w="1878"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公用经费</w:t>
            </w:r>
          </w:p>
        </w:tc>
      </w:tr>
      <w:tr w:rsidR="005C2FD0">
        <w:trPr>
          <w:trHeight w:hRule="exact" w:val="394"/>
        </w:trPr>
        <w:tc>
          <w:tcPr>
            <w:tcW w:w="4687"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2200"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2,498.57</w:t>
            </w:r>
          </w:p>
        </w:tc>
        <w:tc>
          <w:tcPr>
            <w:tcW w:w="1708"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2,429.66</w:t>
            </w:r>
          </w:p>
        </w:tc>
        <w:tc>
          <w:tcPr>
            <w:tcW w:w="1878"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2,307.56</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2,307.56</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基本工资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361.47</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361.47</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津贴补贴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506.95</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506.95</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奖金</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伙食补助费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绩效工资</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917.19</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917.19</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机关事业单位基本养老保险缴费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151.32</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151.32</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30109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职业年金缴费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74.34</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74.34</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职工基本医疗保险缴费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70.52</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70.52</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公务员医疗补助缴费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其他社会保障缴费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11.69</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11.69</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住房公积金</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130.77</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30114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30199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其他工资福利支出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83.31</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83.31</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68.91</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4.65</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4.65</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0.13</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0.13</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3.06</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3.06</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40.73</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40.73</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0.34</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0.34</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30217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1.30</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12.63</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12.63</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0.01</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30240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6.06</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6.06</w:t>
            </w: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122.10</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122.10</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离休费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退休费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99.96</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99.96</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退职（役）费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抚恤金</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17.13</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17.13</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生活补助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救济费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医疗费补助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助学金</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30309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奖励金</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30310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个人农业生产补贴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30311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代缴社会保险费</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30399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其他对个人和家庭的补助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5.01</w:t>
            </w: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5.01</w:t>
            </w: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债务利息及费用支出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国外债务付息</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国内债务发行费用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30704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国外债务发行费用</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31006</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31008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312</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31201</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资本金注入</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31203</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政府投资基金股权投资</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31204</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费用补贴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31205</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利息补贴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31299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其他对企业补助</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399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其他支出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39907</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国家赔偿费用支出</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39908</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对民间非营利组织和群众性自治组织补贴</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39909</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经常性赠与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0"/>
        </w:trPr>
        <w:tc>
          <w:tcPr>
            <w:tcW w:w="112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39910</w:t>
            </w:r>
          </w:p>
        </w:tc>
        <w:tc>
          <w:tcPr>
            <w:tcW w:w="3566"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资本性赠与</w:t>
            </w:r>
          </w:p>
        </w:tc>
        <w:tc>
          <w:tcPr>
            <w:tcW w:w="2200"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70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c>
          <w:tcPr>
            <w:tcW w:w="187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bl>
    <w:p w:rsidR="005C2FD0" w:rsidRDefault="006026FB">
      <w:pPr>
        <w:spacing w:before="25"/>
        <w:ind w:rightChars="-42" w:right="-97"/>
        <w:jc w:val="both"/>
        <w:rPr>
          <w:rFonts w:ascii="仿宋" w:eastAsia="仿宋" w:hAnsi="仿宋" w:cs="仿宋"/>
        </w:rPr>
      </w:pPr>
      <w:r>
        <w:rPr>
          <w:rFonts w:ascii="仿宋" w:eastAsia="仿宋" w:hAnsi="仿宋" w:cs="仿宋" w:hint="eastAsia"/>
        </w:rPr>
        <w:t>注：本表反映本年度一般公共预算财政拨款基本支出情况。本表金额单位转换时可能存在尾数误差。</w:t>
      </w:r>
    </w:p>
    <w:p w:rsidR="005C2FD0" w:rsidRDefault="005C2FD0">
      <w:pPr>
        <w:spacing w:before="25"/>
        <w:jc w:val="both"/>
        <w:rPr>
          <w:rFonts w:ascii="仿宋" w:eastAsia="仿宋" w:hAnsi="仿宋" w:cs="仿宋"/>
        </w:rPr>
        <w:sectPr w:rsidR="005C2FD0">
          <w:footerReference w:type="default" r:id="rId18"/>
          <w:pgSz w:w="11906" w:h="16838"/>
          <w:pgMar w:top="720" w:right="720" w:bottom="720" w:left="720" w:header="170" w:footer="280" w:gutter="0"/>
          <w:pgNumType w:fmt="numberInDash"/>
          <w:cols w:space="720"/>
          <w:formProt w:val="0"/>
          <w:docGrid w:linePitch="100"/>
        </w:sectPr>
      </w:pPr>
    </w:p>
    <w:tbl>
      <w:tblPr>
        <w:tblW w:w="16486" w:type="dxa"/>
        <w:tblInd w:w="62" w:type="dxa"/>
        <w:tblLayout w:type="fixed"/>
        <w:tblCellMar>
          <w:top w:w="55" w:type="dxa"/>
          <w:left w:w="55" w:type="dxa"/>
          <w:bottom w:w="55" w:type="dxa"/>
          <w:right w:w="55" w:type="dxa"/>
        </w:tblCellMar>
        <w:tblLook w:val="04A0" w:firstRow="1" w:lastRow="0" w:firstColumn="1" w:lastColumn="0" w:noHBand="0" w:noVBand="1"/>
      </w:tblPr>
      <w:tblGrid>
        <w:gridCol w:w="1044"/>
        <w:gridCol w:w="1042"/>
        <w:gridCol w:w="1020"/>
        <w:gridCol w:w="1029"/>
        <w:gridCol w:w="998"/>
        <w:gridCol w:w="1026"/>
        <w:gridCol w:w="1043"/>
        <w:gridCol w:w="1010"/>
        <w:gridCol w:w="1058"/>
        <w:gridCol w:w="1010"/>
        <w:gridCol w:w="948"/>
        <w:gridCol w:w="1089"/>
        <w:gridCol w:w="1042"/>
        <w:gridCol w:w="1043"/>
        <w:gridCol w:w="1057"/>
        <w:gridCol w:w="1027"/>
      </w:tblGrid>
      <w:tr w:rsidR="005C2FD0">
        <w:trPr>
          <w:trHeight w:val="321"/>
        </w:trPr>
        <w:tc>
          <w:tcPr>
            <w:tcW w:w="16486" w:type="dxa"/>
            <w:gridSpan w:val="16"/>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“三公”经费、会议费、培训费支出决算表</w:t>
            </w:r>
          </w:p>
        </w:tc>
      </w:tr>
      <w:tr w:rsidR="005C2FD0">
        <w:trPr>
          <w:trHeight w:val="207"/>
        </w:trPr>
        <w:tc>
          <w:tcPr>
            <w:tcW w:w="16486" w:type="dxa"/>
            <w:gridSpan w:val="16"/>
          </w:tcPr>
          <w:p w:rsidR="005C2FD0" w:rsidRDefault="006026FB">
            <w:pPr>
              <w:pStyle w:val="TableParagraph"/>
              <w:jc w:val="right"/>
              <w:rPr>
                <w:rFonts w:ascii="仿宋" w:eastAsia="仿宋" w:hAnsi="仿宋" w:cs="仿宋"/>
                <w:sz w:val="20"/>
              </w:rPr>
            </w:pPr>
            <w:r>
              <w:rPr>
                <w:rFonts w:ascii="仿宋" w:eastAsia="仿宋" w:hAnsi="仿宋" w:cs="仿宋" w:hint="eastAsia"/>
              </w:rPr>
              <w:t>公开</w:t>
            </w:r>
            <w:r>
              <w:rPr>
                <w:rFonts w:ascii="仿宋" w:eastAsia="仿宋" w:hAnsi="仿宋" w:cs="仿宋" w:hint="eastAsia"/>
              </w:rPr>
              <w:t>09</w:t>
            </w:r>
            <w:r>
              <w:rPr>
                <w:rFonts w:ascii="仿宋" w:eastAsia="仿宋" w:hAnsi="仿宋" w:cs="仿宋" w:hint="eastAsia"/>
              </w:rPr>
              <w:t>表</w:t>
            </w:r>
          </w:p>
        </w:tc>
      </w:tr>
      <w:tr w:rsidR="005C2FD0">
        <w:trPr>
          <w:trHeight w:val="103"/>
        </w:trPr>
        <w:tc>
          <w:tcPr>
            <w:tcW w:w="8212" w:type="dxa"/>
            <w:gridSpan w:val="8"/>
            <w:tcBorders>
              <w:bottom w:val="single" w:sz="4" w:space="0" w:color="auto"/>
            </w:tcBorders>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8274" w:type="dxa"/>
            <w:gridSpan w:val="8"/>
            <w:tcBorders>
              <w:bottom w:val="single" w:sz="4" w:space="0" w:color="auto"/>
            </w:tcBorders>
          </w:tcPr>
          <w:p w:rsidR="005C2FD0" w:rsidRDefault="006026FB">
            <w:pPr>
              <w:pStyle w:val="TableParagraph"/>
              <w:jc w:val="right"/>
              <w:rPr>
                <w:rFonts w:ascii="仿宋" w:eastAsia="仿宋" w:hAnsi="仿宋" w:cs="仿宋"/>
              </w:rPr>
            </w:pPr>
            <w:r>
              <w:rPr>
                <w:rFonts w:ascii="仿宋" w:eastAsia="仿宋" w:hAnsi="仿宋" w:cs="仿宋" w:hint="eastAsia"/>
              </w:rPr>
              <w:t>金额单位：万元</w:t>
            </w:r>
          </w:p>
        </w:tc>
      </w:tr>
      <w:tr w:rsidR="005C2FD0">
        <w:trPr>
          <w:trHeight w:val="171"/>
        </w:trPr>
        <w:tc>
          <w:tcPr>
            <w:tcW w:w="8212" w:type="dxa"/>
            <w:gridSpan w:val="8"/>
            <w:tcBorders>
              <w:top w:val="single" w:sz="4" w:space="0" w:color="auto"/>
              <w:left w:val="single" w:sz="4" w:space="0" w:color="auto"/>
              <w:bottom w:val="single" w:sz="4" w:space="0" w:color="auto"/>
              <w:right w:val="single" w:sz="4" w:space="0" w:color="auto"/>
            </w:tcBorders>
          </w:tcPr>
          <w:p w:rsidR="005C2FD0" w:rsidRDefault="006026FB">
            <w:pPr>
              <w:pStyle w:val="TableParagraph"/>
              <w:jc w:val="center"/>
              <w:rPr>
                <w:rFonts w:ascii="仿宋" w:eastAsia="仿宋" w:hAnsi="仿宋" w:cs="仿宋"/>
              </w:rPr>
            </w:pPr>
            <w:r>
              <w:rPr>
                <w:rFonts w:ascii="仿宋" w:eastAsia="仿宋" w:hAnsi="仿宋" w:cs="仿宋" w:hint="eastAsia"/>
                <w:lang w:val="en-US"/>
              </w:rPr>
              <w:t>预算数</w:t>
            </w:r>
          </w:p>
        </w:tc>
        <w:tc>
          <w:tcPr>
            <w:tcW w:w="8274" w:type="dxa"/>
            <w:gridSpan w:val="8"/>
            <w:tcBorders>
              <w:top w:val="single" w:sz="4" w:space="0" w:color="auto"/>
              <w:left w:val="single" w:sz="4" w:space="0" w:color="auto"/>
              <w:bottom w:val="single" w:sz="4" w:space="0" w:color="auto"/>
              <w:right w:val="single" w:sz="4" w:space="0" w:color="auto"/>
            </w:tcBorders>
          </w:tcPr>
          <w:p w:rsidR="005C2FD0" w:rsidRDefault="006026FB">
            <w:pPr>
              <w:pStyle w:val="TableParagraph"/>
              <w:jc w:val="center"/>
              <w:rPr>
                <w:rFonts w:ascii="仿宋" w:eastAsia="仿宋" w:hAnsi="仿宋" w:cs="仿宋"/>
                <w:lang w:val="en-US"/>
              </w:rPr>
            </w:pPr>
            <w:r>
              <w:rPr>
                <w:rFonts w:ascii="仿宋" w:eastAsia="仿宋" w:hAnsi="仿宋" w:cs="仿宋" w:hint="eastAsia"/>
                <w:lang w:val="en-US"/>
              </w:rPr>
              <w:t>决算数</w:t>
            </w:r>
          </w:p>
        </w:tc>
      </w:tr>
      <w:tr w:rsidR="005C2FD0">
        <w:trPr>
          <w:trHeight w:val="179"/>
        </w:trPr>
        <w:tc>
          <w:tcPr>
            <w:tcW w:w="6159" w:type="dxa"/>
            <w:gridSpan w:val="6"/>
            <w:tcBorders>
              <w:top w:val="single" w:sz="4" w:space="0" w:color="auto"/>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“三公”经费</w:t>
            </w:r>
          </w:p>
        </w:tc>
        <w:tc>
          <w:tcPr>
            <w:tcW w:w="1043" w:type="dxa"/>
            <w:vMerge w:val="restart"/>
            <w:tcBorders>
              <w:top w:val="single" w:sz="4" w:space="0" w:color="auto"/>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会议费</w:t>
            </w:r>
          </w:p>
        </w:tc>
        <w:tc>
          <w:tcPr>
            <w:tcW w:w="1010" w:type="dxa"/>
            <w:vMerge w:val="restart"/>
            <w:tcBorders>
              <w:top w:val="single" w:sz="4" w:space="0" w:color="auto"/>
              <w:left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培训费</w:t>
            </w:r>
          </w:p>
        </w:tc>
        <w:tc>
          <w:tcPr>
            <w:tcW w:w="6190" w:type="dxa"/>
            <w:gridSpan w:val="6"/>
            <w:tcBorders>
              <w:top w:val="single" w:sz="4" w:space="0" w:color="auto"/>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“三公”经费</w:t>
            </w:r>
          </w:p>
        </w:tc>
        <w:tc>
          <w:tcPr>
            <w:tcW w:w="1057" w:type="dxa"/>
            <w:vMerge w:val="restart"/>
            <w:tcBorders>
              <w:top w:val="single" w:sz="4" w:space="0" w:color="auto"/>
              <w:left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会议费</w:t>
            </w:r>
          </w:p>
        </w:tc>
        <w:tc>
          <w:tcPr>
            <w:tcW w:w="1027" w:type="dxa"/>
            <w:vMerge w:val="restart"/>
            <w:tcBorders>
              <w:top w:val="single" w:sz="4" w:space="0" w:color="auto"/>
              <w:left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培训费</w:t>
            </w:r>
          </w:p>
        </w:tc>
      </w:tr>
      <w:tr w:rsidR="005C2FD0">
        <w:trPr>
          <w:trHeight w:val="297"/>
        </w:trPr>
        <w:tc>
          <w:tcPr>
            <w:tcW w:w="1044" w:type="dxa"/>
            <w:vMerge w:val="restart"/>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“三公”经费合计</w:t>
            </w:r>
          </w:p>
        </w:tc>
        <w:tc>
          <w:tcPr>
            <w:tcW w:w="1042" w:type="dxa"/>
            <w:vMerge w:val="restart"/>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因公出国（境）费</w:t>
            </w:r>
          </w:p>
        </w:tc>
        <w:tc>
          <w:tcPr>
            <w:tcW w:w="3047" w:type="dxa"/>
            <w:gridSpan w:val="3"/>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公务用车购置及运行费</w:t>
            </w:r>
          </w:p>
        </w:tc>
        <w:tc>
          <w:tcPr>
            <w:tcW w:w="1026" w:type="dxa"/>
            <w:vMerge w:val="restart"/>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w:t>
            </w:r>
          </w:p>
          <w:p w:rsidR="005C2FD0" w:rsidRDefault="006026FB">
            <w:pPr>
              <w:pStyle w:val="TableParagraph"/>
              <w:jc w:val="center"/>
              <w:rPr>
                <w:rFonts w:ascii="仿宋" w:eastAsia="仿宋" w:hAnsi="仿宋" w:cs="仿宋"/>
              </w:rPr>
            </w:pPr>
            <w:r>
              <w:rPr>
                <w:rFonts w:ascii="仿宋" w:eastAsia="仿宋" w:hAnsi="仿宋" w:cs="仿宋" w:hint="eastAsia"/>
              </w:rPr>
              <w:t>接待费</w:t>
            </w:r>
          </w:p>
        </w:tc>
        <w:tc>
          <w:tcPr>
            <w:tcW w:w="1043" w:type="dxa"/>
            <w:vMerge/>
            <w:tcBorders>
              <w:left w:val="single" w:sz="4" w:space="0" w:color="000000"/>
              <w:bottom w:val="single" w:sz="4" w:space="0" w:color="000000"/>
            </w:tcBorders>
            <w:vAlign w:val="center"/>
          </w:tcPr>
          <w:p w:rsidR="005C2FD0" w:rsidRDefault="005C2FD0">
            <w:pPr>
              <w:jc w:val="center"/>
              <w:rPr>
                <w:rFonts w:ascii="仿宋" w:eastAsia="仿宋" w:hAnsi="仿宋" w:cs="仿宋"/>
                <w:sz w:val="20"/>
              </w:rPr>
            </w:pPr>
          </w:p>
        </w:tc>
        <w:tc>
          <w:tcPr>
            <w:tcW w:w="1010" w:type="dxa"/>
            <w:vMerge/>
            <w:tcBorders>
              <w:left w:val="single" w:sz="4" w:space="0" w:color="000000"/>
              <w:right w:val="single" w:sz="4" w:space="0" w:color="000000"/>
            </w:tcBorders>
            <w:vAlign w:val="center"/>
          </w:tcPr>
          <w:p w:rsidR="005C2FD0" w:rsidRDefault="005C2FD0">
            <w:pPr>
              <w:jc w:val="center"/>
              <w:rPr>
                <w:rFonts w:ascii="仿宋" w:eastAsia="仿宋" w:hAnsi="仿宋" w:cs="仿宋"/>
                <w:sz w:val="20"/>
              </w:rPr>
            </w:pPr>
          </w:p>
        </w:tc>
        <w:tc>
          <w:tcPr>
            <w:tcW w:w="1058" w:type="dxa"/>
            <w:vMerge w:val="restart"/>
            <w:tcBorders>
              <w:left w:val="single" w:sz="4" w:space="0" w:color="000000"/>
              <w:right w:val="single" w:sz="4"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“三公”经费合计</w:t>
            </w:r>
          </w:p>
        </w:tc>
        <w:tc>
          <w:tcPr>
            <w:tcW w:w="1010" w:type="dxa"/>
            <w:vMerge w:val="restart"/>
            <w:tcBorders>
              <w:left w:val="single" w:sz="4" w:space="0" w:color="000000"/>
              <w:right w:val="single" w:sz="4"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因公出国（境）费</w:t>
            </w:r>
          </w:p>
        </w:tc>
        <w:tc>
          <w:tcPr>
            <w:tcW w:w="3079" w:type="dxa"/>
            <w:gridSpan w:val="3"/>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0"/>
              </w:rPr>
            </w:pPr>
            <w:r>
              <w:rPr>
                <w:rFonts w:ascii="仿宋" w:eastAsia="仿宋" w:hAnsi="仿宋" w:cs="仿宋" w:hint="eastAsia"/>
              </w:rPr>
              <w:t>公务用车购置及运行费</w:t>
            </w:r>
          </w:p>
        </w:tc>
        <w:tc>
          <w:tcPr>
            <w:tcW w:w="1043" w:type="dxa"/>
            <w:vMerge w:val="restart"/>
            <w:tcBorders>
              <w:left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w:t>
            </w:r>
          </w:p>
          <w:p w:rsidR="005C2FD0" w:rsidRDefault="006026FB">
            <w:pPr>
              <w:pStyle w:val="TableParagraph"/>
              <w:jc w:val="center"/>
              <w:rPr>
                <w:rFonts w:ascii="仿宋" w:eastAsia="仿宋" w:hAnsi="仿宋" w:cs="仿宋"/>
                <w:sz w:val="20"/>
              </w:rPr>
            </w:pPr>
            <w:r>
              <w:rPr>
                <w:rFonts w:ascii="仿宋" w:eastAsia="仿宋" w:hAnsi="仿宋" w:cs="仿宋" w:hint="eastAsia"/>
              </w:rPr>
              <w:t>接待费</w:t>
            </w:r>
          </w:p>
        </w:tc>
        <w:tc>
          <w:tcPr>
            <w:tcW w:w="1057" w:type="dxa"/>
            <w:vMerge/>
            <w:tcBorders>
              <w:left w:val="single" w:sz="4" w:space="0" w:color="000000"/>
              <w:right w:val="single" w:sz="4" w:space="0" w:color="000000"/>
            </w:tcBorders>
            <w:vAlign w:val="center"/>
          </w:tcPr>
          <w:p w:rsidR="005C2FD0" w:rsidRDefault="005C2FD0">
            <w:pPr>
              <w:jc w:val="center"/>
              <w:rPr>
                <w:rFonts w:ascii="仿宋" w:eastAsia="仿宋" w:hAnsi="仿宋" w:cs="仿宋"/>
                <w:sz w:val="20"/>
              </w:rPr>
            </w:pPr>
          </w:p>
        </w:tc>
        <w:tc>
          <w:tcPr>
            <w:tcW w:w="1027" w:type="dxa"/>
            <w:vMerge/>
            <w:tcBorders>
              <w:left w:val="single" w:sz="4" w:space="0" w:color="000000"/>
              <w:right w:val="single" w:sz="4" w:space="0" w:color="000000"/>
            </w:tcBorders>
            <w:vAlign w:val="center"/>
          </w:tcPr>
          <w:p w:rsidR="005C2FD0" w:rsidRDefault="005C2FD0">
            <w:pPr>
              <w:jc w:val="center"/>
              <w:rPr>
                <w:rFonts w:ascii="仿宋" w:eastAsia="仿宋" w:hAnsi="仿宋" w:cs="仿宋"/>
                <w:sz w:val="20"/>
              </w:rPr>
            </w:pPr>
          </w:p>
        </w:tc>
      </w:tr>
      <w:tr w:rsidR="005C2FD0">
        <w:trPr>
          <w:trHeight w:hRule="exact" w:val="621"/>
        </w:trPr>
        <w:tc>
          <w:tcPr>
            <w:tcW w:w="1044" w:type="dxa"/>
            <w:vMerge/>
            <w:tcBorders>
              <w:left w:val="single" w:sz="4" w:space="0" w:color="000000"/>
              <w:bottom w:val="single" w:sz="4" w:space="0" w:color="000000"/>
            </w:tcBorders>
          </w:tcPr>
          <w:p w:rsidR="005C2FD0" w:rsidRDefault="005C2FD0">
            <w:pPr>
              <w:rPr>
                <w:rFonts w:ascii="仿宋" w:eastAsia="仿宋" w:hAnsi="仿宋" w:cs="仿宋"/>
                <w:sz w:val="2"/>
                <w:szCs w:val="2"/>
              </w:rPr>
            </w:pPr>
          </w:p>
        </w:tc>
        <w:tc>
          <w:tcPr>
            <w:tcW w:w="1042" w:type="dxa"/>
            <w:vMerge/>
            <w:tcBorders>
              <w:left w:val="single" w:sz="4" w:space="0" w:color="000000"/>
              <w:bottom w:val="single" w:sz="4" w:space="0" w:color="000000"/>
            </w:tcBorders>
          </w:tcPr>
          <w:p w:rsidR="005C2FD0" w:rsidRDefault="005C2FD0">
            <w:pPr>
              <w:rPr>
                <w:rFonts w:ascii="仿宋" w:eastAsia="仿宋" w:hAnsi="仿宋" w:cs="仿宋"/>
                <w:sz w:val="2"/>
                <w:szCs w:val="2"/>
              </w:rPr>
            </w:pPr>
          </w:p>
        </w:tc>
        <w:tc>
          <w:tcPr>
            <w:tcW w:w="102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rPr>
              <w:t>小计</w:t>
            </w:r>
          </w:p>
        </w:tc>
        <w:tc>
          <w:tcPr>
            <w:tcW w:w="1029"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公务用车购置费</w:t>
            </w:r>
          </w:p>
        </w:tc>
        <w:tc>
          <w:tcPr>
            <w:tcW w:w="998"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公务用车运行费</w:t>
            </w:r>
          </w:p>
        </w:tc>
        <w:tc>
          <w:tcPr>
            <w:tcW w:w="1026" w:type="dxa"/>
            <w:vMerge/>
            <w:tcBorders>
              <w:left w:val="single" w:sz="4" w:space="0" w:color="000000"/>
              <w:bottom w:val="single" w:sz="4" w:space="0" w:color="000000"/>
            </w:tcBorders>
          </w:tcPr>
          <w:p w:rsidR="005C2FD0" w:rsidRDefault="005C2FD0">
            <w:pPr>
              <w:rPr>
                <w:rFonts w:ascii="仿宋" w:eastAsia="仿宋" w:hAnsi="仿宋" w:cs="仿宋"/>
                <w:sz w:val="2"/>
                <w:szCs w:val="2"/>
              </w:rPr>
            </w:pPr>
          </w:p>
        </w:tc>
        <w:tc>
          <w:tcPr>
            <w:tcW w:w="1043" w:type="dxa"/>
            <w:vMerge/>
            <w:tcBorders>
              <w:left w:val="single" w:sz="4" w:space="0" w:color="000000"/>
              <w:bottom w:val="single" w:sz="4" w:space="0" w:color="000000"/>
            </w:tcBorders>
          </w:tcPr>
          <w:p w:rsidR="005C2FD0" w:rsidRDefault="005C2FD0">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c>
          <w:tcPr>
            <w:tcW w:w="1058"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c>
          <w:tcPr>
            <w:tcW w:w="1010"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c>
          <w:tcPr>
            <w:tcW w:w="948"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
                <w:szCs w:val="2"/>
              </w:rPr>
            </w:pPr>
            <w:r>
              <w:rPr>
                <w:rFonts w:ascii="仿宋" w:eastAsia="仿宋" w:hAnsi="仿宋" w:cs="仿宋"/>
              </w:rPr>
              <w:t>小计</w:t>
            </w:r>
          </w:p>
        </w:tc>
        <w:tc>
          <w:tcPr>
            <w:tcW w:w="1089"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
                <w:szCs w:val="2"/>
              </w:rPr>
            </w:pPr>
            <w:r>
              <w:rPr>
                <w:rFonts w:ascii="仿宋" w:eastAsia="仿宋" w:hAnsi="仿宋" w:cs="仿宋" w:hint="eastAsia"/>
              </w:rPr>
              <w:t>公务用车购置费</w:t>
            </w:r>
          </w:p>
        </w:tc>
        <w:tc>
          <w:tcPr>
            <w:tcW w:w="1042"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sz w:val="2"/>
                <w:szCs w:val="2"/>
              </w:rPr>
            </w:pPr>
            <w:r>
              <w:rPr>
                <w:rFonts w:ascii="仿宋" w:eastAsia="仿宋" w:hAnsi="仿宋" w:cs="仿宋" w:hint="eastAsia"/>
              </w:rPr>
              <w:t>公务用车运行费</w:t>
            </w:r>
          </w:p>
        </w:tc>
        <w:tc>
          <w:tcPr>
            <w:tcW w:w="1043"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c>
          <w:tcPr>
            <w:tcW w:w="1057"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c>
          <w:tcPr>
            <w:tcW w:w="1027"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sz w:val="2"/>
                <w:szCs w:val="2"/>
              </w:rPr>
            </w:pPr>
          </w:p>
        </w:tc>
      </w:tr>
      <w:tr w:rsidR="005C2FD0">
        <w:trPr>
          <w:cantSplit/>
          <w:trHeight w:val="380"/>
        </w:trPr>
        <w:tc>
          <w:tcPr>
            <w:tcW w:w="1044"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11.24</w:t>
            </w:r>
          </w:p>
        </w:tc>
        <w:tc>
          <w:tcPr>
            <w:tcW w:w="1042"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20"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9.93</w:t>
            </w:r>
          </w:p>
        </w:tc>
        <w:tc>
          <w:tcPr>
            <w:tcW w:w="1029"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98"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9.93</w:t>
            </w:r>
          </w:p>
        </w:tc>
        <w:tc>
          <w:tcPr>
            <w:tcW w:w="1026"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1.30</w:t>
            </w:r>
          </w:p>
        </w:tc>
        <w:tc>
          <w:tcPr>
            <w:tcW w:w="1043"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0.50</w:t>
            </w:r>
          </w:p>
        </w:tc>
        <w:tc>
          <w:tcPr>
            <w:tcW w:w="1010"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0.34</w:t>
            </w:r>
          </w:p>
        </w:tc>
        <w:tc>
          <w:tcPr>
            <w:tcW w:w="1058"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11.24</w:t>
            </w:r>
          </w:p>
        </w:tc>
        <w:tc>
          <w:tcPr>
            <w:tcW w:w="1010"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948"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9.93</w:t>
            </w:r>
          </w:p>
        </w:tc>
        <w:tc>
          <w:tcPr>
            <w:tcW w:w="1089"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0.00</w:t>
            </w:r>
          </w:p>
        </w:tc>
        <w:tc>
          <w:tcPr>
            <w:tcW w:w="1042"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9.93</w:t>
            </w:r>
          </w:p>
        </w:tc>
        <w:tc>
          <w:tcPr>
            <w:tcW w:w="1043"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1.30</w:t>
            </w:r>
          </w:p>
        </w:tc>
        <w:tc>
          <w:tcPr>
            <w:tcW w:w="1057"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0.50</w:t>
            </w:r>
          </w:p>
        </w:tc>
        <w:tc>
          <w:tcPr>
            <w:tcW w:w="1027"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sz w:val="18"/>
                <w:szCs w:val="18"/>
              </w:rPr>
            </w:pPr>
            <w:r>
              <w:rPr>
                <w:rFonts w:ascii="仿宋" w:eastAsia="仿宋" w:hAnsi="仿宋" w:cs="仿宋" w:hint="eastAsia"/>
                <w:sz w:val="18"/>
                <w:szCs w:val="18"/>
              </w:rPr>
              <w:t>0.34</w:t>
            </w:r>
          </w:p>
        </w:tc>
      </w:tr>
    </w:tbl>
    <w:p w:rsidR="005C2FD0" w:rsidRDefault="006026FB">
      <w:pPr>
        <w:spacing w:before="30" w:after="33"/>
        <w:ind w:leftChars="100" w:left="231"/>
        <w:rPr>
          <w:rFonts w:ascii="仿宋" w:eastAsia="仿宋" w:hAnsi="仿宋" w:cs="仿宋"/>
        </w:rPr>
      </w:pPr>
      <w:r>
        <w:rPr>
          <w:rFonts w:ascii="仿宋" w:eastAsia="仿宋" w:hAnsi="仿宋" w:cs="仿宋" w:hint="eastAsia"/>
        </w:rPr>
        <w:t>相关统计数：</w:t>
      </w:r>
    </w:p>
    <w:tbl>
      <w:tblPr>
        <w:tblW w:w="11798" w:type="dxa"/>
        <w:tblInd w:w="62" w:type="dxa"/>
        <w:tblLayout w:type="fixed"/>
        <w:tblCellMar>
          <w:top w:w="55" w:type="dxa"/>
          <w:left w:w="55" w:type="dxa"/>
          <w:bottom w:w="55" w:type="dxa"/>
          <w:right w:w="55" w:type="dxa"/>
        </w:tblCellMar>
        <w:tblLook w:val="04A0" w:firstRow="1" w:lastRow="0" w:firstColumn="1" w:lastColumn="0" w:noHBand="0" w:noVBand="1"/>
      </w:tblPr>
      <w:tblGrid>
        <w:gridCol w:w="4028"/>
        <w:gridCol w:w="1976"/>
        <w:gridCol w:w="3908"/>
        <w:gridCol w:w="1886"/>
      </w:tblGrid>
      <w:tr w:rsidR="005C2FD0">
        <w:trPr>
          <w:cantSplit/>
          <w:trHeight w:val="214"/>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rPr>
              <w:t>项目</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统计数</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统计数</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因公出国（境）团组数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因公出国（境）人次数</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0</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公务用车购置数</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公务用车保有量</w:t>
            </w:r>
            <w:r>
              <w:rPr>
                <w:rFonts w:ascii="仿宋" w:eastAsia="仿宋" w:hAnsi="仿宋" w:cs="仿宋" w:hint="eastAsia"/>
              </w:rPr>
              <w:t>(</w:t>
            </w:r>
            <w:r>
              <w:rPr>
                <w:rFonts w:ascii="仿宋" w:eastAsia="仿宋" w:hAnsi="仿宋" w:cs="仿宋" w:hint="eastAsia"/>
              </w:rPr>
              <w:t>辆</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19</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国内公务接待批次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11</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国内公务接待人次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138</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国（境）外公务接待批次</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0</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国（境）外公务接待人次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0</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召开会议次数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参加会议人次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50</w:t>
            </w:r>
          </w:p>
        </w:tc>
      </w:tr>
      <w:tr w:rsidR="005C2FD0">
        <w:trPr>
          <w:cantSplit/>
          <w:trHeight w:val="190"/>
        </w:trPr>
        <w:tc>
          <w:tcPr>
            <w:tcW w:w="4028" w:type="dxa"/>
            <w:tcBorders>
              <w:top w:val="single" w:sz="4" w:space="0" w:color="auto"/>
              <w:left w:val="single" w:sz="4" w:space="0" w:color="auto"/>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组织培训次数</w:t>
            </w:r>
            <w:r>
              <w:rPr>
                <w:rFonts w:ascii="仿宋" w:eastAsia="仿宋" w:hAnsi="仿宋" w:cs="仿宋" w:hint="eastAsia"/>
              </w:rPr>
              <w:t>(</w:t>
            </w:r>
            <w:r>
              <w:rPr>
                <w:rFonts w:ascii="仿宋" w:eastAsia="仿宋" w:hAnsi="仿宋" w:cs="仿宋" w:hint="eastAsia"/>
              </w:rPr>
              <w:t>个</w:t>
            </w:r>
            <w:r>
              <w:rPr>
                <w:rFonts w:ascii="仿宋" w:eastAsia="仿宋" w:hAnsi="仿宋" w:cs="仿宋" w:hint="eastAsia"/>
              </w:rPr>
              <w:t>)</w:t>
            </w:r>
          </w:p>
        </w:tc>
        <w:tc>
          <w:tcPr>
            <w:tcW w:w="1976"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3</w:t>
            </w:r>
          </w:p>
        </w:tc>
        <w:tc>
          <w:tcPr>
            <w:tcW w:w="3908" w:type="dxa"/>
            <w:tcBorders>
              <w:top w:val="single" w:sz="4" w:space="0" w:color="auto"/>
              <w:left w:val="single" w:sz="4" w:space="0" w:color="000000"/>
              <w:bottom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参加培训人次</w:t>
            </w:r>
            <w:r>
              <w:rPr>
                <w:rFonts w:ascii="仿宋" w:eastAsia="仿宋" w:hAnsi="仿宋" w:cs="仿宋" w:hint="eastAsia"/>
              </w:rPr>
              <w:t>(</w:t>
            </w:r>
            <w:r>
              <w:rPr>
                <w:rFonts w:ascii="仿宋" w:eastAsia="仿宋" w:hAnsi="仿宋" w:cs="仿宋" w:hint="eastAsia"/>
              </w:rPr>
              <w:t>人</w:t>
            </w:r>
            <w:r>
              <w:rPr>
                <w:rFonts w:ascii="仿宋" w:eastAsia="仿宋" w:hAnsi="仿宋" w:cs="仿宋" w:hint="eastAsia"/>
              </w:rPr>
              <w:t>)</w:t>
            </w:r>
          </w:p>
        </w:tc>
        <w:tc>
          <w:tcPr>
            <w:tcW w:w="1886" w:type="dxa"/>
            <w:tcBorders>
              <w:top w:val="single" w:sz="4" w:space="0" w:color="auto"/>
              <w:left w:val="single" w:sz="4" w:space="0" w:color="000000"/>
              <w:bottom w:val="single" w:sz="4" w:space="0" w:color="auto"/>
              <w:right w:val="single" w:sz="4" w:space="0" w:color="auto"/>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161</w:t>
            </w:r>
          </w:p>
        </w:tc>
      </w:tr>
    </w:tbl>
    <w:p w:rsidR="005C2FD0" w:rsidRDefault="006026FB">
      <w:pPr>
        <w:ind w:right="-2"/>
        <w:jc w:val="both"/>
        <w:rPr>
          <w:rFonts w:ascii="仿宋" w:eastAsia="仿宋" w:hAnsi="仿宋" w:cs="仿宋"/>
        </w:rPr>
      </w:pPr>
      <w:r>
        <w:rPr>
          <w:rFonts w:ascii="仿宋" w:eastAsia="仿宋" w:hAnsi="仿宋" w:cs="仿宋" w:hint="eastAsia"/>
        </w:rPr>
        <w:t>注：</w:t>
      </w:r>
      <w:r>
        <w:rPr>
          <w:rFonts w:ascii="仿宋" w:eastAsia="仿宋" w:hAnsi="仿宋" w:cs="仿宋" w:hint="eastAsia"/>
          <w:lang w:val="en-US"/>
        </w:rPr>
        <w:t>本表反映本年度财政拨款“三公”经费、会议费和培训费支出情况。其中，预算数为全年预算数，反映按规定程序调整后的预算数；决算数是包括当年财政拨款和以前年度结转资金安排的实际支出。本表金额单位转换时可能存在尾数误差</w:t>
      </w:r>
      <w:r>
        <w:rPr>
          <w:rFonts w:ascii="仿宋" w:eastAsia="仿宋" w:hAnsi="仿宋" w:cs="仿宋" w:hint="eastAsia"/>
        </w:rPr>
        <w:t>。</w:t>
      </w:r>
    </w:p>
    <w:p w:rsidR="005C2FD0" w:rsidRDefault="005C2FD0">
      <w:pPr>
        <w:ind w:left="227" w:firstLineChars="100" w:firstLine="220"/>
        <w:jc w:val="both"/>
        <w:rPr>
          <w:rFonts w:ascii="仿宋" w:eastAsia="仿宋" w:hAnsi="仿宋" w:cs="仿宋"/>
        </w:rPr>
        <w:sectPr w:rsidR="005C2FD0">
          <w:footerReference w:type="default" r:id="rId19"/>
          <w:pgSz w:w="16838" w:h="11906" w:orient="landscape"/>
          <w:pgMar w:top="720" w:right="153" w:bottom="720" w:left="153" w:header="170" w:footer="280" w:gutter="0"/>
          <w:pgNumType w:fmt="numberInDash"/>
          <w:cols w:space="720"/>
          <w:formProt w:val="0"/>
          <w:docGrid w:linePitch="100"/>
        </w:sectPr>
      </w:pPr>
    </w:p>
    <w:tbl>
      <w:tblPr>
        <w:tblW w:w="15400" w:type="dxa"/>
        <w:tblInd w:w="62" w:type="dxa"/>
        <w:tblLayout w:type="fixed"/>
        <w:tblCellMar>
          <w:top w:w="55" w:type="dxa"/>
          <w:left w:w="55" w:type="dxa"/>
          <w:bottom w:w="55" w:type="dxa"/>
          <w:right w:w="55" w:type="dxa"/>
        </w:tblCellMar>
        <w:tblLook w:val="04A0" w:firstRow="1" w:lastRow="0" w:firstColumn="1" w:lastColumn="0" w:noHBand="0" w:noVBand="1"/>
      </w:tblPr>
      <w:tblGrid>
        <w:gridCol w:w="1431"/>
        <w:gridCol w:w="6995"/>
        <w:gridCol w:w="2684"/>
        <w:gridCol w:w="2432"/>
        <w:gridCol w:w="1858"/>
      </w:tblGrid>
      <w:tr w:rsidR="005C2FD0">
        <w:trPr>
          <w:trHeight w:val="395"/>
        </w:trPr>
        <w:tc>
          <w:tcPr>
            <w:tcW w:w="15400" w:type="dxa"/>
            <w:gridSpan w:val="5"/>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政府性基金预算支出决算表</w:t>
            </w:r>
          </w:p>
        </w:tc>
      </w:tr>
      <w:tr w:rsidR="005C2FD0">
        <w:trPr>
          <w:trHeight w:val="323"/>
        </w:trPr>
        <w:tc>
          <w:tcPr>
            <w:tcW w:w="8426" w:type="dxa"/>
            <w:gridSpan w:val="2"/>
          </w:tcPr>
          <w:p w:rsidR="005C2FD0" w:rsidRDefault="005C2FD0">
            <w:pPr>
              <w:pStyle w:val="TableParagraph"/>
              <w:rPr>
                <w:rFonts w:ascii="仿宋" w:eastAsia="仿宋" w:hAnsi="仿宋" w:cs="仿宋"/>
                <w:sz w:val="20"/>
              </w:rPr>
            </w:pPr>
          </w:p>
        </w:tc>
        <w:tc>
          <w:tcPr>
            <w:tcW w:w="2684" w:type="dxa"/>
          </w:tcPr>
          <w:p w:rsidR="005C2FD0" w:rsidRDefault="005C2FD0">
            <w:pPr>
              <w:pStyle w:val="TableParagraph"/>
              <w:rPr>
                <w:rFonts w:ascii="仿宋" w:eastAsia="仿宋" w:hAnsi="仿宋" w:cs="仿宋"/>
                <w:sz w:val="27"/>
              </w:rPr>
            </w:pPr>
          </w:p>
        </w:tc>
        <w:tc>
          <w:tcPr>
            <w:tcW w:w="2432" w:type="dxa"/>
          </w:tcPr>
          <w:p w:rsidR="005C2FD0" w:rsidRDefault="005C2FD0">
            <w:pPr>
              <w:pStyle w:val="TableParagraph"/>
              <w:rPr>
                <w:rFonts w:ascii="仿宋" w:eastAsia="仿宋" w:hAnsi="仿宋" w:cs="仿宋"/>
                <w:sz w:val="20"/>
              </w:rPr>
            </w:pPr>
          </w:p>
        </w:tc>
        <w:tc>
          <w:tcPr>
            <w:tcW w:w="1858"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10</w:t>
            </w:r>
            <w:r>
              <w:rPr>
                <w:rFonts w:ascii="仿宋" w:eastAsia="仿宋" w:hAnsi="仿宋" w:cs="仿宋" w:hint="eastAsia"/>
              </w:rPr>
              <w:t>表</w:t>
            </w:r>
          </w:p>
        </w:tc>
      </w:tr>
      <w:tr w:rsidR="005C2FD0">
        <w:trPr>
          <w:trHeight w:val="152"/>
        </w:trPr>
        <w:tc>
          <w:tcPr>
            <w:tcW w:w="13542" w:type="dxa"/>
            <w:gridSpan w:val="4"/>
            <w:vAlign w:val="center"/>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1858"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金额单位：万元</w:t>
            </w:r>
          </w:p>
        </w:tc>
      </w:tr>
      <w:tr w:rsidR="005C2FD0">
        <w:trPr>
          <w:trHeight w:val="267"/>
        </w:trPr>
        <w:tc>
          <w:tcPr>
            <w:tcW w:w="8426"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684"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本年支出合计</w:t>
            </w:r>
          </w:p>
        </w:tc>
        <w:tc>
          <w:tcPr>
            <w:tcW w:w="2432"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基本支出</w:t>
            </w:r>
          </w:p>
        </w:tc>
        <w:tc>
          <w:tcPr>
            <w:tcW w:w="1858" w:type="dxa"/>
            <w:vMerge w:val="restart"/>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项目支出</w:t>
            </w:r>
          </w:p>
        </w:tc>
      </w:tr>
      <w:tr w:rsidR="005C2FD0">
        <w:trPr>
          <w:trHeight w:val="427"/>
        </w:trPr>
        <w:tc>
          <w:tcPr>
            <w:tcW w:w="1431"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w:t>
            </w:r>
          </w:p>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6995"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2684" w:type="dxa"/>
            <w:vMerge/>
            <w:tcBorders>
              <w:left w:val="single" w:sz="4" w:space="0" w:color="000000"/>
              <w:bottom w:val="single" w:sz="4" w:space="0" w:color="000000"/>
            </w:tcBorders>
          </w:tcPr>
          <w:p w:rsidR="005C2FD0" w:rsidRDefault="005C2FD0">
            <w:pPr>
              <w:rPr>
                <w:rFonts w:ascii="仿宋" w:eastAsia="仿宋" w:hAnsi="仿宋" w:cs="仿宋"/>
              </w:rPr>
            </w:pPr>
          </w:p>
        </w:tc>
        <w:tc>
          <w:tcPr>
            <w:tcW w:w="2432" w:type="dxa"/>
            <w:vMerge/>
            <w:tcBorders>
              <w:left w:val="single" w:sz="4" w:space="0" w:color="000000"/>
              <w:bottom w:val="single" w:sz="4" w:space="0" w:color="000000"/>
            </w:tcBorders>
            <w:vAlign w:val="center"/>
          </w:tcPr>
          <w:p w:rsidR="005C2FD0" w:rsidRDefault="005C2FD0">
            <w:pPr>
              <w:pStyle w:val="TableParagraph"/>
              <w:jc w:val="center"/>
              <w:rPr>
                <w:rFonts w:ascii="仿宋" w:eastAsia="仿宋" w:hAnsi="仿宋" w:cs="仿宋"/>
              </w:rPr>
            </w:pPr>
          </w:p>
        </w:tc>
        <w:tc>
          <w:tcPr>
            <w:tcW w:w="1858"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rPr>
            </w:pPr>
          </w:p>
        </w:tc>
      </w:tr>
      <w:tr w:rsidR="005C2FD0">
        <w:trPr>
          <w:trHeight w:val="275"/>
        </w:trPr>
        <w:tc>
          <w:tcPr>
            <w:tcW w:w="8426"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栏次</w:t>
            </w:r>
          </w:p>
        </w:tc>
        <w:tc>
          <w:tcPr>
            <w:tcW w:w="2684"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lang w:val="en-US"/>
              </w:rPr>
            </w:pPr>
            <w:r>
              <w:rPr>
                <w:rFonts w:ascii="仿宋" w:eastAsia="仿宋" w:hAnsi="仿宋" w:cs="仿宋" w:hint="eastAsia"/>
                <w:lang w:val="en-US"/>
              </w:rPr>
              <w:t>1</w:t>
            </w:r>
          </w:p>
        </w:tc>
        <w:tc>
          <w:tcPr>
            <w:tcW w:w="2432"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2</w:t>
            </w:r>
          </w:p>
        </w:tc>
        <w:tc>
          <w:tcPr>
            <w:tcW w:w="1858"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lang w:val="en-US"/>
              </w:rPr>
            </w:pPr>
            <w:r>
              <w:rPr>
                <w:rFonts w:ascii="仿宋" w:eastAsia="仿宋" w:hAnsi="仿宋" w:cs="仿宋" w:hint="eastAsia"/>
                <w:lang w:val="en-US"/>
              </w:rPr>
              <w:t>2</w:t>
            </w:r>
          </w:p>
        </w:tc>
      </w:tr>
      <w:tr w:rsidR="005C2FD0">
        <w:trPr>
          <w:trHeight w:hRule="exact" w:val="389"/>
        </w:trPr>
        <w:tc>
          <w:tcPr>
            <w:tcW w:w="8426"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2684" w:type="dxa"/>
            <w:tcBorders>
              <w:left w:val="single" w:sz="4" w:space="0" w:color="000000"/>
              <w:bottom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c>
          <w:tcPr>
            <w:tcW w:w="2432"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1858" w:type="dxa"/>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533.52</w:t>
            </w:r>
          </w:p>
        </w:tc>
      </w:tr>
      <w:tr w:rsidR="005C2FD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w:t>
            </w:r>
          </w:p>
        </w:tc>
        <w:tc>
          <w:tcPr>
            <w:tcW w:w="699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城乡社区支出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c>
          <w:tcPr>
            <w:tcW w:w="2432"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r>
      <w:tr w:rsidR="005C2FD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w:t>
            </w:r>
          </w:p>
        </w:tc>
        <w:tc>
          <w:tcPr>
            <w:tcW w:w="699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c>
          <w:tcPr>
            <w:tcW w:w="2432"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r>
      <w:tr w:rsidR="005C2FD0">
        <w:trPr>
          <w:cantSplit/>
          <w:trHeight w:val="253"/>
        </w:trPr>
        <w:tc>
          <w:tcPr>
            <w:tcW w:w="1431"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2121399</w:t>
            </w:r>
          </w:p>
        </w:tc>
        <w:tc>
          <w:tcPr>
            <w:tcW w:w="6995"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其他城市基础设施配套费安排的支出</w:t>
            </w:r>
          </w:p>
        </w:tc>
        <w:tc>
          <w:tcPr>
            <w:tcW w:w="2684"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c>
          <w:tcPr>
            <w:tcW w:w="2432"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1858" w:type="dxa"/>
            <w:tcBorders>
              <w:top w:val="single" w:sz="4" w:space="0" w:color="000000"/>
              <w:left w:val="single" w:sz="4" w:space="0" w:color="000000"/>
              <w:bottom w:val="single" w:sz="4" w:space="0" w:color="000000"/>
              <w:right w:val="single" w:sz="4" w:space="0" w:color="000000"/>
            </w:tcBorders>
            <w:vAlign w:val="center"/>
          </w:tcPr>
          <w:p w:rsidR="005C2FD0" w:rsidRDefault="006026FB">
            <w:pPr>
              <w:jc w:val="right"/>
              <w:rPr>
                <w:rFonts w:ascii="仿宋" w:eastAsia="仿宋" w:hAnsi="仿宋" w:cs="仿宋"/>
              </w:rPr>
            </w:pPr>
            <w:r>
              <w:rPr>
                <w:rFonts w:ascii="仿宋" w:eastAsia="仿宋" w:hAnsi="仿宋" w:cs="仿宋" w:hint="eastAsia"/>
              </w:rPr>
              <w:t>533.52</w:t>
            </w:r>
          </w:p>
        </w:tc>
      </w:tr>
    </w:tbl>
    <w:p w:rsidR="005C2FD0" w:rsidRDefault="006026FB">
      <w:pPr>
        <w:spacing w:before="25"/>
        <w:jc w:val="both"/>
        <w:rPr>
          <w:rFonts w:ascii="仿宋" w:eastAsia="仿宋" w:hAnsi="仿宋" w:cs="仿宋"/>
        </w:rPr>
      </w:pPr>
      <w:r>
        <w:rPr>
          <w:rFonts w:ascii="仿宋" w:eastAsia="仿宋" w:hAnsi="仿宋" w:cs="仿宋" w:hint="eastAsia"/>
        </w:rPr>
        <w:t>注：本表反映本年度政府性基金预算财政拨款支出情况。本表金额单位转换时可能存在尾数误差。</w:t>
      </w:r>
    </w:p>
    <w:p w:rsidR="005C2FD0" w:rsidRDefault="005C2FD0">
      <w:pPr>
        <w:spacing w:before="25"/>
        <w:jc w:val="both"/>
        <w:rPr>
          <w:rFonts w:ascii="仿宋" w:eastAsia="仿宋" w:hAnsi="仿宋" w:cs="仿宋"/>
          <w:lang w:val="en-US"/>
        </w:rPr>
        <w:sectPr w:rsidR="005C2FD0">
          <w:footerReference w:type="default" r:id="rId20"/>
          <w:pgSz w:w="16838" w:h="11906" w:orient="landscape"/>
          <w:pgMar w:top="720" w:right="720" w:bottom="720" w:left="720" w:header="170" w:footer="280" w:gutter="0"/>
          <w:pgNumType w:fmt="numberInDash"/>
          <w:cols w:space="720"/>
          <w:formProt w:val="0"/>
          <w:docGrid w:linePitch="100"/>
        </w:sectPr>
      </w:pPr>
    </w:p>
    <w:tbl>
      <w:tblPr>
        <w:tblW w:w="15400" w:type="dxa"/>
        <w:tblInd w:w="47" w:type="dxa"/>
        <w:tblLayout w:type="fixed"/>
        <w:tblCellMar>
          <w:top w:w="55" w:type="dxa"/>
          <w:left w:w="55" w:type="dxa"/>
          <w:bottom w:w="55" w:type="dxa"/>
          <w:right w:w="55" w:type="dxa"/>
        </w:tblCellMar>
        <w:tblLook w:val="04A0" w:firstRow="1" w:lastRow="0" w:firstColumn="1" w:lastColumn="0" w:noHBand="0" w:noVBand="1"/>
      </w:tblPr>
      <w:tblGrid>
        <w:gridCol w:w="1462"/>
        <w:gridCol w:w="7058"/>
        <w:gridCol w:w="2510"/>
        <w:gridCol w:w="2309"/>
        <w:gridCol w:w="2061"/>
      </w:tblGrid>
      <w:tr w:rsidR="005C2FD0">
        <w:trPr>
          <w:trHeight w:val="395"/>
        </w:trPr>
        <w:tc>
          <w:tcPr>
            <w:tcW w:w="15400" w:type="dxa"/>
            <w:gridSpan w:val="5"/>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国有资本经营预算支出决算表</w:t>
            </w:r>
          </w:p>
        </w:tc>
      </w:tr>
      <w:tr w:rsidR="005C2FD0">
        <w:trPr>
          <w:trHeight w:val="323"/>
        </w:trPr>
        <w:tc>
          <w:tcPr>
            <w:tcW w:w="8520" w:type="dxa"/>
            <w:gridSpan w:val="2"/>
          </w:tcPr>
          <w:p w:rsidR="005C2FD0" w:rsidRDefault="005C2FD0">
            <w:pPr>
              <w:pStyle w:val="TableParagraph"/>
              <w:rPr>
                <w:rFonts w:ascii="仿宋" w:eastAsia="仿宋" w:hAnsi="仿宋" w:cs="仿宋"/>
                <w:sz w:val="20"/>
              </w:rPr>
            </w:pPr>
          </w:p>
        </w:tc>
        <w:tc>
          <w:tcPr>
            <w:tcW w:w="2510" w:type="dxa"/>
          </w:tcPr>
          <w:p w:rsidR="005C2FD0" w:rsidRDefault="005C2FD0">
            <w:pPr>
              <w:pStyle w:val="TableParagraph"/>
              <w:rPr>
                <w:rFonts w:ascii="仿宋" w:eastAsia="仿宋" w:hAnsi="仿宋" w:cs="仿宋"/>
                <w:sz w:val="27"/>
              </w:rPr>
            </w:pPr>
          </w:p>
        </w:tc>
        <w:tc>
          <w:tcPr>
            <w:tcW w:w="2309" w:type="dxa"/>
          </w:tcPr>
          <w:p w:rsidR="005C2FD0" w:rsidRDefault="005C2FD0">
            <w:pPr>
              <w:pStyle w:val="TableParagraph"/>
              <w:rPr>
                <w:rFonts w:ascii="仿宋" w:eastAsia="仿宋" w:hAnsi="仿宋" w:cs="仿宋"/>
                <w:sz w:val="20"/>
              </w:rPr>
            </w:pPr>
          </w:p>
        </w:tc>
        <w:tc>
          <w:tcPr>
            <w:tcW w:w="2061"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1</w:t>
            </w:r>
            <w:r>
              <w:rPr>
                <w:rFonts w:ascii="仿宋" w:eastAsia="仿宋" w:hAnsi="仿宋" w:cs="仿宋" w:hint="eastAsia"/>
              </w:rPr>
              <w:t>表</w:t>
            </w:r>
          </w:p>
        </w:tc>
      </w:tr>
      <w:tr w:rsidR="005C2FD0">
        <w:trPr>
          <w:trHeight w:val="152"/>
        </w:trPr>
        <w:tc>
          <w:tcPr>
            <w:tcW w:w="13339" w:type="dxa"/>
            <w:gridSpan w:val="4"/>
            <w:vAlign w:val="center"/>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2061"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金额单位：万元</w:t>
            </w:r>
          </w:p>
        </w:tc>
      </w:tr>
      <w:tr w:rsidR="005C2FD0">
        <w:trPr>
          <w:trHeight w:val="267"/>
        </w:trPr>
        <w:tc>
          <w:tcPr>
            <w:tcW w:w="8520" w:type="dxa"/>
            <w:gridSpan w:val="2"/>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2510"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本年支出合计</w:t>
            </w:r>
          </w:p>
        </w:tc>
        <w:tc>
          <w:tcPr>
            <w:tcW w:w="2309" w:type="dxa"/>
            <w:vMerge w:val="restart"/>
            <w:tcBorders>
              <w:top w:val="single" w:sz="4" w:space="0" w:color="000000"/>
              <w:lef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基本支出</w:t>
            </w:r>
          </w:p>
        </w:tc>
        <w:tc>
          <w:tcPr>
            <w:tcW w:w="2061" w:type="dxa"/>
            <w:vMerge w:val="restart"/>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项目支出</w:t>
            </w:r>
          </w:p>
        </w:tc>
      </w:tr>
      <w:tr w:rsidR="005C2FD0">
        <w:trPr>
          <w:trHeight w:val="427"/>
        </w:trPr>
        <w:tc>
          <w:tcPr>
            <w:tcW w:w="1462"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功能分类</w:t>
            </w:r>
          </w:p>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7058"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2510" w:type="dxa"/>
            <w:vMerge/>
            <w:tcBorders>
              <w:left w:val="single" w:sz="4" w:space="0" w:color="000000"/>
              <w:bottom w:val="single" w:sz="4" w:space="0" w:color="000000"/>
            </w:tcBorders>
          </w:tcPr>
          <w:p w:rsidR="005C2FD0" w:rsidRDefault="005C2FD0">
            <w:pPr>
              <w:rPr>
                <w:rFonts w:ascii="仿宋" w:eastAsia="仿宋" w:hAnsi="仿宋" w:cs="仿宋"/>
              </w:rPr>
            </w:pPr>
          </w:p>
        </w:tc>
        <w:tc>
          <w:tcPr>
            <w:tcW w:w="2309" w:type="dxa"/>
            <w:vMerge/>
            <w:tcBorders>
              <w:left w:val="single" w:sz="4" w:space="0" w:color="000000"/>
              <w:bottom w:val="single" w:sz="4" w:space="0" w:color="000000"/>
            </w:tcBorders>
            <w:vAlign w:val="center"/>
          </w:tcPr>
          <w:p w:rsidR="005C2FD0" w:rsidRDefault="005C2FD0">
            <w:pPr>
              <w:pStyle w:val="TableParagraph"/>
              <w:jc w:val="center"/>
              <w:rPr>
                <w:rFonts w:ascii="仿宋" w:eastAsia="仿宋" w:hAnsi="仿宋" w:cs="仿宋"/>
              </w:rPr>
            </w:pPr>
          </w:p>
        </w:tc>
        <w:tc>
          <w:tcPr>
            <w:tcW w:w="2061"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rPr>
            </w:pPr>
          </w:p>
        </w:tc>
      </w:tr>
      <w:tr w:rsidR="005C2FD0">
        <w:trPr>
          <w:trHeight w:val="275"/>
        </w:trPr>
        <w:tc>
          <w:tcPr>
            <w:tcW w:w="8520"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栏次</w:t>
            </w:r>
          </w:p>
        </w:tc>
        <w:tc>
          <w:tcPr>
            <w:tcW w:w="251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lang w:val="en-US"/>
              </w:rPr>
            </w:pPr>
            <w:r>
              <w:rPr>
                <w:rFonts w:ascii="仿宋" w:eastAsia="仿宋" w:hAnsi="仿宋" w:cs="仿宋" w:hint="eastAsia"/>
                <w:lang w:val="en-US"/>
              </w:rPr>
              <w:t>1</w:t>
            </w:r>
          </w:p>
        </w:tc>
        <w:tc>
          <w:tcPr>
            <w:tcW w:w="2309"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2</w:t>
            </w:r>
          </w:p>
        </w:tc>
        <w:tc>
          <w:tcPr>
            <w:tcW w:w="2061" w:type="dxa"/>
            <w:tcBorders>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lang w:val="en-US"/>
              </w:rPr>
            </w:pPr>
            <w:r>
              <w:rPr>
                <w:rFonts w:ascii="仿宋" w:eastAsia="仿宋" w:hAnsi="仿宋" w:cs="仿宋" w:hint="eastAsia"/>
                <w:lang w:val="en-US"/>
              </w:rPr>
              <w:t>2</w:t>
            </w:r>
          </w:p>
        </w:tc>
      </w:tr>
      <w:tr w:rsidR="005C2FD0">
        <w:trPr>
          <w:trHeight w:hRule="exact" w:val="389"/>
        </w:trPr>
        <w:tc>
          <w:tcPr>
            <w:tcW w:w="8520"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2510"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2309" w:type="dxa"/>
            <w:tcBorders>
              <w:left w:val="single" w:sz="4" w:space="0" w:color="000000"/>
              <w:bottom w:val="single" w:sz="4" w:space="0" w:color="000000"/>
            </w:tcBorders>
            <w:vAlign w:val="center"/>
          </w:tcPr>
          <w:p w:rsidR="005C2FD0" w:rsidRDefault="005C2FD0">
            <w:pPr>
              <w:pStyle w:val="TableParagraph"/>
              <w:jc w:val="right"/>
              <w:rPr>
                <w:rFonts w:ascii="仿宋" w:eastAsia="仿宋" w:hAnsi="仿宋" w:cs="仿宋"/>
              </w:rPr>
            </w:pPr>
          </w:p>
        </w:tc>
        <w:tc>
          <w:tcPr>
            <w:tcW w:w="2061"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253"/>
        </w:trPr>
        <w:tc>
          <w:tcPr>
            <w:tcW w:w="1462"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7058" w:type="dxa"/>
            <w:tcBorders>
              <w:top w:val="single" w:sz="4" w:space="0" w:color="000000"/>
              <w:left w:val="single" w:sz="4" w:space="0" w:color="000000"/>
              <w:bottom w:val="single" w:sz="4" w:space="0" w:color="000000"/>
              <w:right w:val="single" w:sz="4" w:space="0" w:color="000000"/>
            </w:tcBorders>
            <w:vAlign w:val="center"/>
          </w:tcPr>
          <w:p w:rsidR="005C2FD0" w:rsidRDefault="005C2FD0">
            <w:pPr>
              <w:pStyle w:val="TableParagraph"/>
              <w:rPr>
                <w:rFonts w:ascii="仿宋" w:eastAsia="仿宋" w:hAnsi="仿宋" w:cs="仿宋"/>
              </w:rPr>
            </w:pPr>
          </w:p>
        </w:tc>
        <w:tc>
          <w:tcPr>
            <w:tcW w:w="2510"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2309"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c>
          <w:tcPr>
            <w:tcW w:w="2061"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bl>
    <w:p w:rsidR="005C2FD0" w:rsidRDefault="006026FB">
      <w:pPr>
        <w:jc w:val="both"/>
        <w:rPr>
          <w:rFonts w:ascii="仿宋" w:eastAsia="仿宋" w:hAnsi="仿宋" w:cs="仿宋"/>
        </w:rPr>
      </w:pPr>
      <w:r>
        <w:rPr>
          <w:rFonts w:ascii="仿宋" w:eastAsia="仿宋" w:hAnsi="仿宋" w:cs="仿宋" w:hint="eastAsia"/>
        </w:rPr>
        <w:t>注：本表反映本年度国有资本经营预算财政拨款支出情况。</w:t>
      </w:r>
    </w:p>
    <w:p w:rsidR="005C2FD0" w:rsidRDefault="006026FB">
      <w:pPr>
        <w:ind w:leftChars="200" w:left="462"/>
        <w:jc w:val="both"/>
        <w:rPr>
          <w:rFonts w:ascii="仿宋" w:eastAsia="仿宋" w:hAnsi="仿宋" w:cs="仿宋"/>
          <w:lang w:val="en-US"/>
        </w:rPr>
      </w:pPr>
      <w:r>
        <w:rPr>
          <w:rFonts w:ascii="仿宋" w:eastAsia="仿宋" w:hAnsi="仿宋" w:cs="仿宋"/>
        </w:rPr>
        <w:t>本单位无</w:t>
      </w:r>
      <w:r>
        <w:rPr>
          <w:rFonts w:ascii="仿宋" w:eastAsia="仿宋" w:hAnsi="仿宋" w:cs="仿宋" w:hint="eastAsia"/>
        </w:rPr>
        <w:t>国有资本经营预算支出</w:t>
      </w:r>
      <w:r>
        <w:rPr>
          <w:rFonts w:ascii="仿宋" w:eastAsia="仿宋" w:hAnsi="仿宋" w:cs="仿宋" w:hint="eastAsia"/>
          <w:lang w:val="en-US"/>
        </w:rPr>
        <w:t>决算，故本表为空。</w:t>
      </w:r>
    </w:p>
    <w:p w:rsidR="005C2FD0" w:rsidRDefault="005C2FD0">
      <w:pPr>
        <w:spacing w:before="25"/>
        <w:ind w:leftChars="-100" w:left="-231"/>
        <w:jc w:val="both"/>
        <w:rPr>
          <w:rFonts w:ascii="仿宋" w:eastAsia="仿宋" w:hAnsi="仿宋" w:cs="仿宋"/>
          <w:lang w:val="en-US"/>
        </w:rPr>
        <w:sectPr w:rsidR="005C2FD0">
          <w:pgSz w:w="16838" w:h="11906" w:orient="landscape"/>
          <w:pgMar w:top="720" w:right="720" w:bottom="720" w:left="720" w:header="170" w:footer="280" w:gutter="0"/>
          <w:pgNumType w:fmt="numberInDash"/>
          <w:cols w:space="720"/>
          <w:formProt w:val="0"/>
          <w:docGrid w:linePitch="100"/>
        </w:sectPr>
      </w:pPr>
    </w:p>
    <w:tbl>
      <w:tblPr>
        <w:tblW w:w="10466" w:type="dxa"/>
        <w:tblInd w:w="53" w:type="dxa"/>
        <w:tblLayout w:type="fixed"/>
        <w:tblCellMar>
          <w:top w:w="55" w:type="dxa"/>
          <w:left w:w="55" w:type="dxa"/>
          <w:bottom w:w="55" w:type="dxa"/>
          <w:right w:w="55" w:type="dxa"/>
        </w:tblCellMar>
        <w:tblLook w:val="04A0" w:firstRow="1" w:lastRow="0" w:firstColumn="1" w:lastColumn="0" w:noHBand="0" w:noVBand="1"/>
      </w:tblPr>
      <w:tblGrid>
        <w:gridCol w:w="1642"/>
        <w:gridCol w:w="4990"/>
        <w:gridCol w:w="3834"/>
      </w:tblGrid>
      <w:tr w:rsidR="005C2FD0">
        <w:trPr>
          <w:trHeight w:val="319"/>
        </w:trPr>
        <w:tc>
          <w:tcPr>
            <w:tcW w:w="10466" w:type="dxa"/>
            <w:gridSpan w:val="3"/>
          </w:tcPr>
          <w:p w:rsidR="005C2FD0" w:rsidRDefault="006026FB">
            <w:pPr>
              <w:pStyle w:val="TableParagraph"/>
              <w:tabs>
                <w:tab w:val="left" w:pos="610"/>
              </w:tabs>
              <w:spacing w:before="28"/>
              <w:ind w:left="8"/>
              <w:jc w:val="center"/>
              <w:rPr>
                <w:rFonts w:ascii="仿宋" w:eastAsia="仿宋" w:hAnsi="仿宋" w:cs="仿宋"/>
                <w:b/>
                <w:bCs/>
                <w:sz w:val="44"/>
                <w:szCs w:val="44"/>
              </w:rPr>
            </w:pPr>
            <w:r>
              <w:rPr>
                <w:rFonts w:hint="eastAsia"/>
                <w:b/>
                <w:bCs/>
                <w:color w:val="000000"/>
                <w:sz w:val="36"/>
                <w:szCs w:val="36"/>
                <w:lang w:val="en-US" w:eastAsia="ar-SA"/>
              </w:rPr>
              <w:lastRenderedPageBreak/>
              <w:t>财政拨款</w:t>
            </w:r>
            <w:r>
              <w:rPr>
                <w:rFonts w:hint="eastAsia"/>
                <w:b/>
                <w:bCs/>
                <w:color w:val="000000"/>
                <w:sz w:val="36"/>
                <w:szCs w:val="36"/>
                <w:lang w:eastAsia="ar-SA"/>
              </w:rPr>
              <w:t>机关运行经费支出决算表</w:t>
            </w:r>
          </w:p>
        </w:tc>
      </w:tr>
      <w:tr w:rsidR="005C2FD0">
        <w:trPr>
          <w:trHeight w:val="90"/>
        </w:trPr>
        <w:tc>
          <w:tcPr>
            <w:tcW w:w="6632" w:type="dxa"/>
            <w:gridSpan w:val="2"/>
          </w:tcPr>
          <w:p w:rsidR="005C2FD0" w:rsidRDefault="005C2FD0">
            <w:pPr>
              <w:pStyle w:val="TableParagraph"/>
              <w:rPr>
                <w:rFonts w:ascii="仿宋" w:eastAsia="仿宋" w:hAnsi="仿宋" w:cs="仿宋"/>
                <w:sz w:val="20"/>
              </w:rPr>
            </w:pPr>
          </w:p>
        </w:tc>
        <w:tc>
          <w:tcPr>
            <w:tcW w:w="3834" w:type="dxa"/>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2</w:t>
            </w:r>
            <w:r>
              <w:rPr>
                <w:rFonts w:ascii="仿宋" w:eastAsia="仿宋" w:hAnsi="仿宋" w:cs="仿宋" w:hint="eastAsia"/>
              </w:rPr>
              <w:t>表</w:t>
            </w:r>
          </w:p>
        </w:tc>
      </w:tr>
      <w:tr w:rsidR="005C2FD0">
        <w:trPr>
          <w:trHeight w:val="90"/>
        </w:trPr>
        <w:tc>
          <w:tcPr>
            <w:tcW w:w="6632" w:type="dxa"/>
            <w:gridSpan w:val="2"/>
            <w:vAlign w:val="center"/>
          </w:tcPr>
          <w:p w:rsidR="005C2FD0" w:rsidRDefault="006026FB">
            <w:pPr>
              <w:pStyle w:val="TableParagraph"/>
              <w:rPr>
                <w:rFonts w:ascii="仿宋" w:eastAsia="仿宋" w:hAnsi="仿宋" w:cs="仿宋"/>
                <w:sz w:val="20"/>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834" w:type="dxa"/>
            <w:vAlign w:val="center"/>
          </w:tcPr>
          <w:p w:rsidR="005C2FD0" w:rsidRDefault="006026FB">
            <w:pPr>
              <w:pStyle w:val="TableParagraph"/>
              <w:jc w:val="right"/>
              <w:rPr>
                <w:rFonts w:ascii="仿宋" w:eastAsia="仿宋" w:hAnsi="仿宋" w:cs="仿宋"/>
                <w:sz w:val="27"/>
              </w:rPr>
            </w:pPr>
            <w:r>
              <w:rPr>
                <w:rFonts w:ascii="仿宋" w:eastAsia="仿宋" w:hAnsi="仿宋" w:cs="仿宋" w:hint="eastAsia"/>
              </w:rPr>
              <w:t>金额单位：万元</w:t>
            </w:r>
          </w:p>
        </w:tc>
      </w:tr>
      <w:tr w:rsidR="005C2FD0">
        <w:trPr>
          <w:trHeight w:val="319"/>
        </w:trPr>
        <w:tc>
          <w:tcPr>
            <w:tcW w:w="6632" w:type="dxa"/>
            <w:gridSpan w:val="2"/>
            <w:tcBorders>
              <w:top w:val="single" w:sz="4" w:space="0" w:color="000000"/>
              <w:left w:val="single" w:sz="4" w:space="0" w:color="000000"/>
              <w:bottom w:val="single" w:sz="4" w:space="0" w:color="000000"/>
            </w:tcBorders>
          </w:tcPr>
          <w:p w:rsidR="005C2FD0" w:rsidRDefault="006026FB">
            <w:pPr>
              <w:pStyle w:val="TableParagraph"/>
              <w:jc w:val="center"/>
              <w:rPr>
                <w:rFonts w:ascii="仿宋" w:eastAsia="仿宋" w:hAnsi="仿宋" w:cs="仿宋"/>
              </w:rPr>
            </w:pPr>
            <w:r>
              <w:rPr>
                <w:rFonts w:ascii="仿宋" w:eastAsia="仿宋" w:hAnsi="仿宋" w:cs="仿宋" w:hint="eastAsia"/>
              </w:rPr>
              <w:t>项</w:t>
            </w:r>
            <w:r>
              <w:rPr>
                <w:rFonts w:ascii="仿宋" w:eastAsia="仿宋" w:hAnsi="仿宋" w:cs="仿宋" w:hint="eastAsia"/>
              </w:rPr>
              <w:tab/>
            </w:r>
            <w:r>
              <w:rPr>
                <w:rFonts w:ascii="仿宋" w:eastAsia="仿宋" w:hAnsi="仿宋" w:cs="仿宋" w:hint="eastAsia"/>
              </w:rPr>
              <w:t>目</w:t>
            </w:r>
          </w:p>
        </w:tc>
        <w:tc>
          <w:tcPr>
            <w:tcW w:w="3834" w:type="dxa"/>
            <w:vMerge w:val="restart"/>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机关运行经费支出决算</w:t>
            </w:r>
          </w:p>
        </w:tc>
      </w:tr>
      <w:tr w:rsidR="005C2FD0">
        <w:trPr>
          <w:trHeight w:val="363"/>
        </w:trPr>
        <w:tc>
          <w:tcPr>
            <w:tcW w:w="1642"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科目编码</w:t>
            </w:r>
          </w:p>
        </w:tc>
        <w:tc>
          <w:tcPr>
            <w:tcW w:w="4990" w:type="dxa"/>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科目名称</w:t>
            </w:r>
          </w:p>
        </w:tc>
        <w:tc>
          <w:tcPr>
            <w:tcW w:w="3834" w:type="dxa"/>
            <w:vMerge/>
            <w:tcBorders>
              <w:left w:val="single" w:sz="4" w:space="0" w:color="000000"/>
              <w:bottom w:val="single" w:sz="4" w:space="0" w:color="000000"/>
              <w:right w:val="single" w:sz="4" w:space="0" w:color="000000"/>
            </w:tcBorders>
          </w:tcPr>
          <w:p w:rsidR="005C2FD0" w:rsidRDefault="005C2FD0">
            <w:pPr>
              <w:rPr>
                <w:rFonts w:ascii="仿宋" w:eastAsia="仿宋" w:hAnsi="仿宋" w:cs="仿宋"/>
              </w:rPr>
            </w:pPr>
          </w:p>
        </w:tc>
      </w:tr>
      <w:tr w:rsidR="005C2FD0">
        <w:trPr>
          <w:trHeight w:val="229"/>
        </w:trPr>
        <w:tc>
          <w:tcPr>
            <w:tcW w:w="6632" w:type="dxa"/>
            <w:gridSpan w:val="2"/>
            <w:tcBorders>
              <w:left w:val="single" w:sz="4" w:space="0" w:color="000000"/>
              <w:bottom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合计</w:t>
            </w:r>
          </w:p>
        </w:tc>
        <w:tc>
          <w:tcPr>
            <w:tcW w:w="3834" w:type="dxa"/>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印刷费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30203</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咨询费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30204</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手续费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30205</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水费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30206</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30207</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邮电费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30208</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取暖费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30209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物业管理费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差旅费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因公出国（境）费用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30213</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维修（护）费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30214</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租赁费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30215</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会议费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30216</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培训费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30217</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公务接待费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30218</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专用材料费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30224</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被装购置费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30225</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专用燃料费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30226</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劳务费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30227</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委托业务费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30228</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工会经费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30229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福利费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公务用车运行维护费</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30239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30240</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税金及附加费用</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30299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其他商品和服务支出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307</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债务利息及费用支出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310</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房屋建筑物购建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lastRenderedPageBreak/>
              <w:t>31002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办公设备购置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31003</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专用设备购置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31005</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基础设施建设</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31006</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大型修缮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31007</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信息网络及软件购置更新</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31008</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物资储备</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31009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土地补偿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31010</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安置补助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地上附着物和青苗补偿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拆迁补偿</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31013</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公务用车购置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31019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其他交通工具购置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31021</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文物和陈列品购置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31022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无形资产购置</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31099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其他资本性支出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312</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对企业补助</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r w:rsidR="005C2FD0">
        <w:trPr>
          <w:cantSplit/>
          <w:trHeight w:val="195"/>
        </w:trPr>
        <w:tc>
          <w:tcPr>
            <w:tcW w:w="1642"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399</w:t>
            </w:r>
          </w:p>
        </w:tc>
        <w:tc>
          <w:tcPr>
            <w:tcW w:w="4990" w:type="dxa"/>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b/>
              </w:rPr>
              <w:t>其他支出</w:t>
            </w:r>
          </w:p>
        </w:tc>
        <w:tc>
          <w:tcPr>
            <w:tcW w:w="3834" w:type="dxa"/>
            <w:tcBorders>
              <w:top w:val="single" w:sz="4" w:space="0" w:color="000000"/>
              <w:left w:val="single" w:sz="4" w:space="0" w:color="000000"/>
              <w:bottom w:val="single" w:sz="4" w:space="0" w:color="000000"/>
              <w:right w:val="single" w:sz="4" w:space="0" w:color="000000"/>
            </w:tcBorders>
            <w:vAlign w:val="center"/>
          </w:tcPr>
          <w:p w:rsidR="005C2FD0" w:rsidRDefault="005C2FD0">
            <w:pPr>
              <w:jc w:val="right"/>
              <w:rPr>
                <w:rFonts w:ascii="仿宋" w:eastAsia="仿宋" w:hAnsi="仿宋" w:cs="仿宋"/>
              </w:rPr>
            </w:pPr>
          </w:p>
        </w:tc>
      </w:tr>
    </w:tbl>
    <w:p w:rsidR="005C2FD0" w:rsidRDefault="006026FB">
      <w:pPr>
        <w:spacing w:before="25"/>
        <w:ind w:rightChars="-42" w:right="-97"/>
        <w:jc w:val="both"/>
        <w:rPr>
          <w:rFonts w:ascii="仿宋" w:eastAsia="仿宋" w:hAnsi="仿宋" w:cs="仿宋"/>
          <w:lang w:val="en-US"/>
        </w:rPr>
      </w:pPr>
      <w:r>
        <w:rPr>
          <w:rFonts w:ascii="仿宋" w:eastAsia="仿宋" w:hAnsi="仿宋" w:cs="仿宋" w:hint="eastAsia"/>
        </w:rPr>
        <w:t>注：“机关运行经费”</w:t>
      </w:r>
      <w:r>
        <w:rPr>
          <w:rFonts w:ascii="仿宋" w:eastAsia="仿宋" w:hAnsi="仿宋" w:cs="仿宋" w:hint="eastAsia"/>
        </w:rPr>
        <w:t xml:space="preserve"> </w:t>
      </w:r>
      <w:r>
        <w:rPr>
          <w:rFonts w:ascii="仿宋" w:eastAsia="仿宋" w:hAnsi="仿宋" w:cs="仿宋" w:hint="eastAsia"/>
        </w:rPr>
        <w:t>指行政单位（含参照公务员法管理的事业单位）使用</w:t>
      </w:r>
      <w:r>
        <w:rPr>
          <w:rFonts w:ascii="仿宋" w:eastAsia="仿宋" w:hAnsi="仿宋" w:cs="仿宋" w:hint="eastAsia"/>
          <w:lang w:val="en-US"/>
        </w:rPr>
        <w:t>财政拨款</w:t>
      </w:r>
      <w:r>
        <w:rPr>
          <w:rFonts w:ascii="仿宋" w:eastAsia="仿宋" w:hAnsi="仿宋" w:cs="仿宋" w:hint="eastAsia"/>
        </w:rPr>
        <w:t>安排的基本支出中的日常公用经费支出，包括办公及印刷费、邮电费、差旅费、会议费、福利费、日常维修费、专用材料及一般设备购置费、办公用房水电费、办公用房取暖费、办公用房物业管理费、公务用车运行维护费及其他费用。</w:t>
      </w:r>
    </w:p>
    <w:p w:rsidR="005C2FD0" w:rsidRDefault="006026FB">
      <w:pPr>
        <w:tabs>
          <w:tab w:val="left" w:pos="440"/>
        </w:tabs>
        <w:spacing w:before="25"/>
        <w:ind w:leftChars="200" w:left="462"/>
        <w:jc w:val="both"/>
        <w:rPr>
          <w:rFonts w:ascii="仿宋" w:eastAsia="仿宋" w:hAnsi="仿宋" w:cs="仿宋"/>
        </w:rPr>
      </w:pPr>
      <w:r>
        <w:rPr>
          <w:rFonts w:ascii="仿宋" w:eastAsia="仿宋" w:hAnsi="仿宋" w:cs="仿宋" w:hint="eastAsia"/>
        </w:rPr>
        <w:t>本</w:t>
      </w:r>
      <w:r>
        <w:rPr>
          <w:rFonts w:ascii="仿宋" w:eastAsia="仿宋" w:hAnsi="仿宋" w:cs="仿宋"/>
        </w:rPr>
        <w:t>单位</w:t>
      </w:r>
      <w:r>
        <w:rPr>
          <w:rFonts w:ascii="仿宋" w:eastAsia="仿宋" w:hAnsi="仿宋" w:cs="仿宋" w:hint="eastAsia"/>
        </w:rPr>
        <w:t>无</w:t>
      </w:r>
      <w:r>
        <w:rPr>
          <w:rFonts w:ascii="仿宋" w:eastAsia="仿宋" w:hAnsi="仿宋" w:cs="仿宋" w:hint="eastAsia"/>
          <w:lang w:val="en-US"/>
        </w:rPr>
        <w:t>财政拨款</w:t>
      </w:r>
      <w:r>
        <w:rPr>
          <w:rFonts w:ascii="仿宋" w:eastAsia="仿宋" w:hAnsi="仿宋" w:cs="仿宋" w:hint="eastAsia"/>
        </w:rPr>
        <w:t>机关运行经费支出决算，故本表为空。</w:t>
      </w:r>
    </w:p>
    <w:p w:rsidR="005C2FD0" w:rsidRDefault="005C2FD0">
      <w:pPr>
        <w:tabs>
          <w:tab w:val="left" w:pos="440"/>
        </w:tabs>
        <w:spacing w:before="25"/>
        <w:ind w:leftChars="200" w:left="462"/>
        <w:jc w:val="both"/>
        <w:rPr>
          <w:rFonts w:ascii="仿宋" w:eastAsia="仿宋" w:hAnsi="仿宋" w:cs="仿宋"/>
          <w:lang w:val="en-US"/>
        </w:rPr>
        <w:sectPr w:rsidR="005C2FD0">
          <w:footerReference w:type="default" r:id="rId21"/>
          <w:type w:val="continuous"/>
          <w:pgSz w:w="11906" w:h="16838"/>
          <w:pgMar w:top="720" w:right="720" w:bottom="720" w:left="720" w:header="170" w:footer="280" w:gutter="0"/>
          <w:pgNumType w:fmt="numberInDash"/>
          <w:cols w:space="720"/>
          <w:formProt w:val="0"/>
          <w:docGrid w:linePitch="100"/>
        </w:sectPr>
      </w:pPr>
    </w:p>
    <w:tbl>
      <w:tblPr>
        <w:tblW w:w="10459" w:type="dxa"/>
        <w:tblInd w:w="45" w:type="dxa"/>
        <w:tblLayout w:type="fixed"/>
        <w:tblCellMar>
          <w:top w:w="55" w:type="dxa"/>
          <w:left w:w="55" w:type="dxa"/>
          <w:bottom w:w="55" w:type="dxa"/>
          <w:right w:w="55" w:type="dxa"/>
        </w:tblCellMar>
        <w:tblLook w:val="04A0" w:firstRow="1" w:lastRow="0" w:firstColumn="1" w:lastColumn="0" w:noHBand="0" w:noVBand="1"/>
      </w:tblPr>
      <w:tblGrid>
        <w:gridCol w:w="4472"/>
        <w:gridCol w:w="722"/>
        <w:gridCol w:w="1992"/>
        <w:gridCol w:w="3273"/>
      </w:tblGrid>
      <w:tr w:rsidR="005C2FD0">
        <w:trPr>
          <w:trHeight w:val="333"/>
        </w:trPr>
        <w:tc>
          <w:tcPr>
            <w:tcW w:w="10459" w:type="dxa"/>
            <w:gridSpan w:val="4"/>
            <w:vAlign w:val="center"/>
          </w:tcPr>
          <w:p w:rsidR="005C2FD0" w:rsidRDefault="006026FB">
            <w:pPr>
              <w:pStyle w:val="TableParagraph"/>
              <w:jc w:val="center"/>
              <w:rPr>
                <w:rFonts w:ascii="仿宋" w:eastAsia="仿宋" w:hAnsi="仿宋" w:cs="仿宋"/>
                <w:b/>
                <w:bCs/>
                <w:sz w:val="44"/>
                <w:szCs w:val="44"/>
              </w:rPr>
            </w:pPr>
            <w:r>
              <w:rPr>
                <w:rFonts w:hint="eastAsia"/>
                <w:b/>
                <w:bCs/>
                <w:color w:val="000000"/>
                <w:sz w:val="36"/>
                <w:szCs w:val="36"/>
                <w:lang w:eastAsia="ar-SA"/>
              </w:rPr>
              <w:lastRenderedPageBreak/>
              <w:t>政府采购支出决算表</w:t>
            </w:r>
          </w:p>
        </w:tc>
      </w:tr>
      <w:tr w:rsidR="005C2FD0">
        <w:trPr>
          <w:trHeight w:val="333"/>
        </w:trPr>
        <w:tc>
          <w:tcPr>
            <w:tcW w:w="4472" w:type="dxa"/>
          </w:tcPr>
          <w:p w:rsidR="005C2FD0" w:rsidRDefault="005C2FD0">
            <w:pPr>
              <w:pStyle w:val="TableParagraph"/>
              <w:rPr>
                <w:rFonts w:ascii="仿宋" w:eastAsia="仿宋" w:hAnsi="仿宋" w:cs="仿宋"/>
              </w:rPr>
            </w:pPr>
          </w:p>
        </w:tc>
        <w:tc>
          <w:tcPr>
            <w:tcW w:w="722" w:type="dxa"/>
          </w:tcPr>
          <w:p w:rsidR="005C2FD0" w:rsidRDefault="005C2FD0">
            <w:pPr>
              <w:pStyle w:val="TableParagraph"/>
              <w:rPr>
                <w:rFonts w:ascii="仿宋" w:eastAsia="仿宋" w:hAnsi="仿宋" w:cs="仿宋"/>
              </w:rPr>
            </w:pPr>
          </w:p>
        </w:tc>
        <w:tc>
          <w:tcPr>
            <w:tcW w:w="1992" w:type="dxa"/>
          </w:tcPr>
          <w:p w:rsidR="005C2FD0" w:rsidRDefault="005C2FD0">
            <w:pPr>
              <w:pStyle w:val="TableParagraph"/>
              <w:rPr>
                <w:rFonts w:ascii="仿宋" w:eastAsia="仿宋" w:hAnsi="仿宋" w:cs="仿宋"/>
              </w:rPr>
            </w:pPr>
          </w:p>
        </w:tc>
        <w:tc>
          <w:tcPr>
            <w:tcW w:w="3273" w:type="dxa"/>
            <w:vAlign w:val="center"/>
          </w:tcPr>
          <w:p w:rsidR="005C2FD0" w:rsidRDefault="006026FB">
            <w:pPr>
              <w:pStyle w:val="TableParagraph"/>
              <w:jc w:val="right"/>
              <w:rPr>
                <w:rFonts w:ascii="仿宋" w:eastAsia="仿宋" w:hAnsi="仿宋" w:cs="仿宋"/>
              </w:rPr>
            </w:pPr>
            <w:r>
              <w:rPr>
                <w:rFonts w:ascii="仿宋" w:eastAsia="仿宋" w:hAnsi="仿宋" w:cs="仿宋" w:hint="eastAsia"/>
              </w:rPr>
              <w:t>公开</w:t>
            </w:r>
            <w:r>
              <w:rPr>
                <w:rFonts w:ascii="仿宋" w:eastAsia="仿宋" w:hAnsi="仿宋" w:cs="仿宋" w:hint="eastAsia"/>
              </w:rPr>
              <w:t>1</w:t>
            </w:r>
            <w:r>
              <w:rPr>
                <w:rFonts w:ascii="仿宋" w:eastAsia="仿宋" w:hAnsi="仿宋" w:cs="仿宋" w:hint="eastAsia"/>
                <w:lang w:val="en-US"/>
              </w:rPr>
              <w:t>3</w:t>
            </w:r>
            <w:r>
              <w:rPr>
                <w:rFonts w:ascii="仿宋" w:eastAsia="仿宋" w:hAnsi="仿宋" w:cs="仿宋" w:hint="eastAsia"/>
              </w:rPr>
              <w:t>表</w:t>
            </w:r>
          </w:p>
        </w:tc>
      </w:tr>
      <w:tr w:rsidR="005C2FD0">
        <w:trPr>
          <w:trHeight w:val="90"/>
        </w:trPr>
        <w:tc>
          <w:tcPr>
            <w:tcW w:w="7186" w:type="dxa"/>
            <w:gridSpan w:val="3"/>
          </w:tcPr>
          <w:p w:rsidR="005C2FD0" w:rsidRDefault="006026FB">
            <w:pPr>
              <w:pStyle w:val="TableParagraph"/>
              <w:rPr>
                <w:rFonts w:ascii="仿宋" w:eastAsia="仿宋" w:hAnsi="仿宋" w:cs="仿宋"/>
              </w:rPr>
            </w:pPr>
            <w:r>
              <w:rPr>
                <w:rFonts w:ascii="仿宋" w:eastAsia="仿宋" w:hAnsi="仿宋" w:cs="仿宋" w:hint="eastAsia"/>
                <w:color w:val="000000"/>
              </w:rPr>
              <w:t>单位</w:t>
            </w:r>
            <w:r>
              <w:rPr>
                <w:rFonts w:ascii="仿宋" w:eastAsia="仿宋" w:hAnsi="仿宋" w:cs="仿宋"/>
                <w:color w:val="000000"/>
              </w:rPr>
              <w:t>名称：</w:t>
            </w:r>
            <w:r>
              <w:rPr>
                <w:rFonts w:ascii="仿宋" w:eastAsia="仿宋" w:hAnsi="仿宋" w:cs="仿宋" w:hint="eastAsia"/>
              </w:rPr>
              <w:t>常州市市政工程管理中心</w:t>
            </w:r>
          </w:p>
        </w:tc>
        <w:tc>
          <w:tcPr>
            <w:tcW w:w="3273" w:type="dxa"/>
            <w:vAlign w:val="center"/>
          </w:tcPr>
          <w:p w:rsidR="005C2FD0" w:rsidRDefault="006026FB">
            <w:pPr>
              <w:pStyle w:val="TableParagraph"/>
              <w:jc w:val="right"/>
              <w:rPr>
                <w:rFonts w:ascii="仿宋" w:eastAsia="仿宋" w:hAnsi="仿宋" w:cs="仿宋"/>
              </w:rPr>
            </w:pPr>
            <w:r>
              <w:rPr>
                <w:rFonts w:ascii="仿宋" w:eastAsia="仿宋" w:hAnsi="仿宋" w:cs="仿宋" w:hint="eastAsia"/>
              </w:rPr>
              <w:t>单位：万元</w:t>
            </w:r>
          </w:p>
        </w:tc>
      </w:tr>
      <w:tr w:rsidR="005C2FD0">
        <w:trPr>
          <w:trHeight w:val="244"/>
        </w:trPr>
        <w:tc>
          <w:tcPr>
            <w:tcW w:w="4472" w:type="dxa"/>
            <w:tcBorders>
              <w:top w:val="single" w:sz="4" w:space="0" w:color="000000"/>
              <w:left w:val="single" w:sz="4" w:space="0" w:color="000000"/>
              <w:bottom w:val="single" w:sz="4" w:space="0" w:color="000000"/>
            </w:tcBorders>
            <w:vAlign w:val="center"/>
          </w:tcPr>
          <w:p w:rsidR="005C2FD0" w:rsidRDefault="006026FB">
            <w:pPr>
              <w:pStyle w:val="TableParagraph"/>
              <w:jc w:val="center"/>
              <w:rPr>
                <w:rFonts w:ascii="仿宋" w:eastAsia="仿宋" w:hAnsi="仿宋" w:cs="仿宋"/>
                <w:lang w:val="en-US"/>
              </w:rPr>
            </w:pPr>
            <w:r>
              <w:rPr>
                <w:rFonts w:ascii="仿宋" w:eastAsia="仿宋" w:hAnsi="仿宋" w:cs="仿宋"/>
              </w:rPr>
              <w:t>项目</w:t>
            </w:r>
          </w:p>
        </w:tc>
        <w:tc>
          <w:tcPr>
            <w:tcW w:w="5987" w:type="dxa"/>
            <w:gridSpan w:val="3"/>
            <w:tcBorders>
              <w:top w:val="single" w:sz="4" w:space="0" w:color="000000"/>
              <w:left w:val="single" w:sz="4" w:space="0" w:color="000000"/>
              <w:bottom w:val="single" w:sz="4" w:space="0" w:color="000000"/>
              <w:right w:val="single" w:sz="4" w:space="0" w:color="000000"/>
            </w:tcBorders>
            <w:vAlign w:val="center"/>
          </w:tcPr>
          <w:p w:rsidR="005C2FD0" w:rsidRDefault="006026FB">
            <w:pPr>
              <w:pStyle w:val="TableParagraph"/>
              <w:jc w:val="center"/>
              <w:rPr>
                <w:rFonts w:ascii="仿宋" w:eastAsia="仿宋" w:hAnsi="仿宋" w:cs="仿宋"/>
              </w:rPr>
            </w:pPr>
            <w:r>
              <w:rPr>
                <w:rFonts w:ascii="仿宋" w:eastAsia="仿宋" w:hAnsi="仿宋" w:cs="仿宋" w:hint="eastAsia"/>
              </w:rPr>
              <w:t>金</w:t>
            </w:r>
            <w:r>
              <w:rPr>
                <w:rFonts w:ascii="仿宋" w:eastAsia="仿宋" w:hAnsi="仿宋" w:cs="仿宋" w:hint="eastAsia"/>
              </w:rPr>
              <w:tab/>
            </w:r>
            <w:r>
              <w:rPr>
                <w:rFonts w:ascii="仿宋" w:eastAsia="仿宋" w:hAnsi="仿宋" w:cs="仿宋" w:hint="eastAsia"/>
              </w:rPr>
              <w:t>额</w:t>
            </w: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一、政府采购支出合计</w:t>
            </w:r>
          </w:p>
        </w:tc>
        <w:tc>
          <w:tcPr>
            <w:tcW w:w="5987" w:type="dxa"/>
            <w:gridSpan w:val="3"/>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51.82</w:t>
            </w: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（一）政府采购货物支出</w:t>
            </w:r>
          </w:p>
        </w:tc>
        <w:tc>
          <w:tcPr>
            <w:tcW w:w="5987" w:type="dxa"/>
            <w:gridSpan w:val="3"/>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（二）政府采购工程支出</w:t>
            </w:r>
          </w:p>
        </w:tc>
        <w:tc>
          <w:tcPr>
            <w:tcW w:w="5987" w:type="dxa"/>
            <w:gridSpan w:val="3"/>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（三）政府采购服务支出</w:t>
            </w:r>
          </w:p>
        </w:tc>
        <w:tc>
          <w:tcPr>
            <w:tcW w:w="5987" w:type="dxa"/>
            <w:gridSpan w:val="3"/>
            <w:tcBorders>
              <w:left w:val="single" w:sz="4" w:space="0" w:color="000000"/>
              <w:bottom w:val="single" w:sz="4" w:space="0" w:color="000000"/>
              <w:right w:val="single" w:sz="4" w:space="0" w:color="000000"/>
            </w:tcBorders>
            <w:vAlign w:val="center"/>
          </w:tcPr>
          <w:p w:rsidR="005C2FD0" w:rsidRDefault="006026FB">
            <w:pPr>
              <w:pStyle w:val="TableParagraph"/>
              <w:jc w:val="right"/>
              <w:rPr>
                <w:rFonts w:ascii="仿宋" w:eastAsia="仿宋" w:hAnsi="仿宋" w:cs="仿宋"/>
              </w:rPr>
            </w:pPr>
            <w:r>
              <w:rPr>
                <w:rFonts w:ascii="仿宋" w:eastAsia="仿宋" w:hAnsi="仿宋" w:cs="仿宋" w:hint="eastAsia"/>
              </w:rPr>
              <w:t>51.82</w:t>
            </w: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二、政府采购授予中小企业合同金额</w:t>
            </w:r>
          </w:p>
        </w:tc>
        <w:tc>
          <w:tcPr>
            <w:tcW w:w="5987" w:type="dxa"/>
            <w:gridSpan w:val="3"/>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r w:rsidR="005C2FD0">
        <w:trPr>
          <w:cantSplit/>
          <w:trHeight w:val="277"/>
        </w:trPr>
        <w:tc>
          <w:tcPr>
            <w:tcW w:w="4472" w:type="dxa"/>
            <w:tcBorders>
              <w:left w:val="single" w:sz="4" w:space="0" w:color="000000"/>
              <w:bottom w:val="single" w:sz="4" w:space="0" w:color="000000"/>
            </w:tcBorders>
            <w:vAlign w:val="center"/>
          </w:tcPr>
          <w:p w:rsidR="005C2FD0" w:rsidRDefault="006026FB">
            <w:pPr>
              <w:pStyle w:val="TableParagraph"/>
              <w:rPr>
                <w:rFonts w:ascii="仿宋" w:eastAsia="仿宋" w:hAnsi="仿宋" w:cs="仿宋"/>
              </w:rPr>
            </w:pPr>
            <w:r>
              <w:rPr>
                <w:rFonts w:ascii="仿宋" w:eastAsia="仿宋" w:hAnsi="仿宋" w:cs="仿宋" w:hint="eastAsia"/>
              </w:rPr>
              <w:t xml:space="preserve">  </w:t>
            </w:r>
            <w:r>
              <w:rPr>
                <w:rFonts w:ascii="仿宋" w:eastAsia="仿宋" w:hAnsi="仿宋" w:cs="仿宋" w:hint="eastAsia"/>
              </w:rPr>
              <w:t>其中：授予小微企业合同金额</w:t>
            </w:r>
          </w:p>
        </w:tc>
        <w:tc>
          <w:tcPr>
            <w:tcW w:w="5987" w:type="dxa"/>
            <w:gridSpan w:val="3"/>
            <w:tcBorders>
              <w:left w:val="single" w:sz="4" w:space="0" w:color="000000"/>
              <w:bottom w:val="single" w:sz="4" w:space="0" w:color="000000"/>
              <w:right w:val="single" w:sz="4" w:space="0" w:color="000000"/>
            </w:tcBorders>
            <w:vAlign w:val="center"/>
          </w:tcPr>
          <w:p w:rsidR="005C2FD0" w:rsidRDefault="005C2FD0">
            <w:pPr>
              <w:pStyle w:val="TableParagraph"/>
              <w:jc w:val="right"/>
              <w:rPr>
                <w:rFonts w:ascii="仿宋" w:eastAsia="仿宋" w:hAnsi="仿宋" w:cs="仿宋"/>
              </w:rPr>
            </w:pPr>
          </w:p>
        </w:tc>
      </w:tr>
    </w:tbl>
    <w:p w:rsidR="005C2FD0" w:rsidRDefault="006026FB">
      <w:pPr>
        <w:jc w:val="both"/>
        <w:rPr>
          <w:rFonts w:ascii="仿宋" w:eastAsia="仿宋" w:hAnsi="仿宋" w:cs="仿宋"/>
          <w:lang w:val="en-US"/>
        </w:rPr>
      </w:pPr>
      <w:r>
        <w:rPr>
          <w:rFonts w:ascii="仿宋" w:eastAsia="仿宋" w:hAnsi="仿宋" w:cs="仿宋" w:hint="eastAsia"/>
        </w:rPr>
        <w:t>注：</w:t>
      </w:r>
      <w:r>
        <w:rPr>
          <w:rFonts w:ascii="仿宋" w:eastAsia="仿宋" w:hAnsi="仿宋" w:cs="仿宋" w:hint="eastAsia"/>
          <w:lang w:val="en-US"/>
        </w:rPr>
        <w:t>政府采购支出信息为单位纳入部门预算范围的各项政府采购支出情况。本表金额单位转换时可能存在尾数误差</w:t>
      </w:r>
      <w:r>
        <w:rPr>
          <w:rFonts w:ascii="仿宋" w:eastAsia="仿宋" w:hAnsi="仿宋" w:cs="仿宋" w:hint="eastAsia"/>
        </w:rPr>
        <w:t>。</w:t>
      </w:r>
    </w:p>
    <w:p w:rsidR="005C2FD0" w:rsidRDefault="005C2FD0">
      <w:pPr>
        <w:ind w:leftChars="200" w:left="462"/>
        <w:jc w:val="both"/>
        <w:rPr>
          <w:rFonts w:ascii="仿宋" w:eastAsia="仿宋" w:hAnsi="仿宋" w:cs="仿宋"/>
        </w:rPr>
        <w:sectPr w:rsidR="005C2FD0">
          <w:pgSz w:w="11906" w:h="16838"/>
          <w:pgMar w:top="720" w:right="720" w:bottom="720" w:left="720" w:header="170" w:footer="280" w:gutter="0"/>
          <w:pgNumType w:fmt="numberInDash"/>
          <w:cols w:space="720"/>
          <w:formProt w:val="0"/>
          <w:docGrid w:linePitch="100"/>
        </w:sectPr>
      </w:pPr>
    </w:p>
    <w:p w:rsidR="005C2FD0" w:rsidRDefault="006026FB">
      <w:pPr>
        <w:pStyle w:val="4"/>
        <w:tabs>
          <w:tab w:val="left" w:pos="3077"/>
        </w:tabs>
        <w:spacing w:line="616" w:lineRule="exact"/>
        <w:rPr>
          <w:rFonts w:ascii="宋体" w:eastAsia="宋体" w:hAnsi="宋体" w:cs="宋体"/>
          <w:b/>
          <w:bCs/>
          <w:color w:val="000000"/>
          <w:lang w:eastAsia="ar-SA"/>
        </w:rPr>
      </w:pPr>
      <w:r>
        <w:rPr>
          <w:rFonts w:ascii="宋体" w:eastAsia="宋体" w:hAnsi="宋体" w:cs="宋体" w:hint="eastAsia"/>
          <w:b/>
          <w:bCs/>
          <w:color w:val="000000"/>
          <w:lang w:eastAsia="ar-SA"/>
        </w:rPr>
        <w:lastRenderedPageBreak/>
        <w:t>第三部分</w:t>
      </w:r>
      <w:r>
        <w:rPr>
          <w:rFonts w:ascii="宋体" w:eastAsia="宋体" w:hAnsi="宋体" w:cs="宋体" w:hint="eastAsia"/>
          <w:b/>
          <w:bCs/>
          <w:color w:val="000000"/>
          <w:lang w:val="en-US"/>
        </w:rPr>
        <w:t xml:space="preserve"> </w:t>
      </w:r>
      <w:r>
        <w:rPr>
          <w:rFonts w:ascii="宋体" w:eastAsia="宋体" w:hAnsi="宋体" w:cs="宋体" w:hint="eastAsia"/>
          <w:b/>
          <w:bCs/>
          <w:color w:val="000000"/>
        </w:rPr>
        <w:t>202</w:t>
      </w:r>
      <w:r>
        <w:rPr>
          <w:rFonts w:ascii="宋体" w:eastAsia="宋体" w:hAnsi="宋体" w:cs="宋体" w:hint="eastAsia"/>
          <w:b/>
          <w:bCs/>
          <w:color w:val="000000"/>
          <w:lang w:val="en-US"/>
        </w:rPr>
        <w:t>3</w:t>
      </w:r>
      <w:r>
        <w:rPr>
          <w:rFonts w:ascii="宋体" w:eastAsia="宋体" w:hAnsi="宋体" w:cs="宋体" w:hint="eastAsia"/>
          <w:b/>
          <w:bCs/>
          <w:color w:val="000000"/>
          <w:lang w:eastAsia="ar-SA"/>
        </w:rPr>
        <w:t>年度</w:t>
      </w:r>
      <w:r>
        <w:rPr>
          <w:rFonts w:ascii="宋体" w:eastAsia="宋体" w:hAnsi="宋体" w:cs="宋体"/>
          <w:b/>
          <w:color w:val="000000"/>
        </w:rPr>
        <w:t>单位决算情况说明</w:t>
      </w:r>
    </w:p>
    <w:p w:rsidR="005C2FD0" w:rsidRDefault="005C2FD0">
      <w:pPr>
        <w:pStyle w:val="a4"/>
        <w:tabs>
          <w:tab w:val="left" w:pos="3864"/>
          <w:tab w:val="left" w:pos="6248"/>
          <w:tab w:val="left" w:pos="7386"/>
        </w:tabs>
        <w:spacing w:before="1" w:line="360" w:lineRule="auto"/>
        <w:ind w:left="348" w:right="420" w:firstLine="640"/>
        <w:jc w:val="both"/>
        <w:rPr>
          <w:rFonts w:ascii="仿宋" w:eastAsia="仿宋" w:hAnsi="仿宋" w:cs="仿宋"/>
          <w:lang w:val="en-US"/>
        </w:rPr>
      </w:pP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一、收入支出决算总体情况说明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年度收入、支出决算总计</w:t>
      </w:r>
      <w:r>
        <w:rPr>
          <w:rFonts w:ascii="仿宋" w:eastAsia="仿宋" w:hAnsi="仿宋" w:cs="仿宋"/>
        </w:rPr>
        <w:t>5,300.81</w:t>
      </w:r>
      <w:r>
        <w:rPr>
          <w:rFonts w:ascii="仿宋" w:eastAsia="仿宋" w:hAnsi="仿宋" w:cs="仿宋"/>
        </w:rPr>
        <w:t>万元。与上年相比，收、支总计各增加</w:t>
      </w:r>
      <w:r>
        <w:rPr>
          <w:rFonts w:ascii="仿宋" w:eastAsia="仿宋" w:hAnsi="仿宋" w:cs="仿宋"/>
        </w:rPr>
        <w:t>1,297.28</w:t>
      </w:r>
      <w:r>
        <w:rPr>
          <w:rFonts w:ascii="仿宋" w:eastAsia="仿宋" w:hAnsi="仿宋" w:cs="仿宋"/>
        </w:rPr>
        <w:t>万元，增长</w:t>
      </w:r>
      <w:r>
        <w:rPr>
          <w:rFonts w:ascii="仿宋" w:eastAsia="仿宋" w:hAnsi="仿宋" w:cs="仿宋"/>
        </w:rPr>
        <w:t>32.4%</w:t>
      </w:r>
      <w:r>
        <w:rPr>
          <w:rFonts w:ascii="仿宋" w:eastAsia="仿宋" w:hAnsi="仿宋" w:cs="仿宋"/>
        </w:rPr>
        <w:t>。其中：</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（一）收入决算总计</w:t>
      </w:r>
      <w:r>
        <w:rPr>
          <w:rFonts w:ascii="仿宋" w:eastAsia="仿宋" w:hAnsi="仿宋" w:cs="仿宋"/>
          <w:b/>
        </w:rPr>
        <w:t>5,300.81</w:t>
      </w:r>
      <w:r>
        <w:rPr>
          <w:rFonts w:ascii="仿宋" w:eastAsia="仿宋" w:hAnsi="仿宋" w:cs="仿宋"/>
          <w:b/>
        </w:rPr>
        <w:t>万元。包括：</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本年收入决算合计</w:t>
      </w:r>
      <w:r>
        <w:rPr>
          <w:rFonts w:ascii="仿宋" w:eastAsia="仿宋" w:hAnsi="仿宋" w:cs="仿宋"/>
        </w:rPr>
        <w:t>5,300.81</w:t>
      </w:r>
      <w:r>
        <w:rPr>
          <w:rFonts w:ascii="仿宋" w:eastAsia="仿宋" w:hAnsi="仿宋" w:cs="仿宋"/>
        </w:rPr>
        <w:t>万元。与上年相比，增加</w:t>
      </w:r>
      <w:r>
        <w:rPr>
          <w:rFonts w:ascii="仿宋" w:eastAsia="仿宋" w:hAnsi="仿宋" w:cs="仿宋"/>
        </w:rPr>
        <w:t>1,297.28</w:t>
      </w:r>
      <w:r>
        <w:rPr>
          <w:rFonts w:ascii="仿宋" w:eastAsia="仿宋" w:hAnsi="仿宋" w:cs="仿宋"/>
        </w:rPr>
        <w:t>万元，增长</w:t>
      </w:r>
      <w:r>
        <w:rPr>
          <w:rFonts w:ascii="仿宋" w:eastAsia="仿宋" w:hAnsi="仿宋" w:cs="仿宋"/>
        </w:rPr>
        <w:t>32.4%</w:t>
      </w:r>
      <w:r>
        <w:rPr>
          <w:rFonts w:ascii="仿宋" w:eastAsia="仿宋" w:hAnsi="仿宋" w:cs="仿宋"/>
        </w:rPr>
        <w:t>，变动原因：增加了城市基础设施配套费安排。</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使用非财政拨款结余</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年初结转和结余</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（二）支出决算总计</w:t>
      </w:r>
      <w:r>
        <w:rPr>
          <w:rFonts w:ascii="仿宋" w:eastAsia="仿宋" w:hAnsi="仿宋" w:cs="仿宋"/>
          <w:b/>
        </w:rPr>
        <w:t>5,300.81</w:t>
      </w:r>
      <w:r>
        <w:rPr>
          <w:rFonts w:ascii="仿宋" w:eastAsia="仿宋" w:hAnsi="仿宋" w:cs="仿宋"/>
          <w:b/>
        </w:rPr>
        <w:t>万元。包括：</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本年支出决算合计</w:t>
      </w:r>
      <w:r>
        <w:rPr>
          <w:rFonts w:ascii="仿宋" w:eastAsia="仿宋" w:hAnsi="仿宋" w:cs="仿宋"/>
        </w:rPr>
        <w:t>5,300.81</w:t>
      </w:r>
      <w:r>
        <w:rPr>
          <w:rFonts w:ascii="仿宋" w:eastAsia="仿宋" w:hAnsi="仿宋" w:cs="仿宋"/>
        </w:rPr>
        <w:t>万元。与上年相比，增加</w:t>
      </w:r>
      <w:r>
        <w:rPr>
          <w:rFonts w:ascii="仿宋" w:eastAsia="仿宋" w:hAnsi="仿宋" w:cs="仿宋"/>
        </w:rPr>
        <w:t>1,297.28</w:t>
      </w:r>
      <w:r>
        <w:rPr>
          <w:rFonts w:ascii="仿宋" w:eastAsia="仿宋" w:hAnsi="仿宋" w:cs="仿宋"/>
        </w:rPr>
        <w:t>万元，增长</w:t>
      </w:r>
      <w:r>
        <w:rPr>
          <w:rFonts w:ascii="仿宋" w:eastAsia="仿宋" w:hAnsi="仿宋" w:cs="仿宋"/>
        </w:rPr>
        <w:t>32.4%</w:t>
      </w:r>
      <w:r>
        <w:rPr>
          <w:rFonts w:ascii="仿宋" w:eastAsia="仿宋" w:hAnsi="仿宋" w:cs="仿宋"/>
        </w:rPr>
        <w:t>，变动原因：城市基础设施配套费安排的支出资金增加。</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结余分配</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年末结转和结余</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二、收入决算情况说明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年度本年收入决算合计</w:t>
      </w:r>
      <w:r>
        <w:rPr>
          <w:rFonts w:ascii="仿宋" w:eastAsia="仿宋" w:hAnsi="仿宋" w:cs="仿宋"/>
        </w:rPr>
        <w:t>5,300.81</w:t>
      </w:r>
      <w:r>
        <w:rPr>
          <w:rFonts w:ascii="仿宋" w:eastAsia="仿宋" w:hAnsi="仿宋" w:cs="仿宋"/>
        </w:rPr>
        <w:t>万元，其中：财政拨款收入</w:t>
      </w:r>
      <w:r>
        <w:rPr>
          <w:rFonts w:ascii="仿宋" w:eastAsia="仿宋" w:hAnsi="仿宋" w:cs="仿宋"/>
        </w:rPr>
        <w:t>5,300.81</w:t>
      </w:r>
      <w:r>
        <w:rPr>
          <w:rFonts w:ascii="仿宋" w:eastAsia="仿宋" w:hAnsi="仿宋" w:cs="仿宋"/>
        </w:rPr>
        <w:t>万元，占</w:t>
      </w:r>
      <w:r>
        <w:rPr>
          <w:rFonts w:ascii="仿宋" w:eastAsia="仿宋" w:hAnsi="仿宋" w:cs="仿宋"/>
        </w:rPr>
        <w:t>100%</w:t>
      </w:r>
      <w:r>
        <w:rPr>
          <w:rFonts w:ascii="仿宋" w:eastAsia="仿宋" w:hAnsi="仿宋" w:cs="仿宋"/>
        </w:rPr>
        <w:t>；上级补助收入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；财政专户管理教育收费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；事业收入（不含专户管理教育收费）</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；附</w:t>
      </w:r>
      <w:r>
        <w:rPr>
          <w:rFonts w:ascii="仿宋" w:eastAsia="仿宋" w:hAnsi="仿宋" w:cs="仿宋"/>
        </w:rPr>
        <w:lastRenderedPageBreak/>
        <w:t>属单位上缴收入</w:t>
      </w:r>
      <w:r>
        <w:rPr>
          <w:rFonts w:ascii="仿宋" w:eastAsia="仿宋" w:hAnsi="仿宋" w:cs="仿宋"/>
        </w:rPr>
        <w:t>0</w:t>
      </w:r>
      <w:r>
        <w:rPr>
          <w:rFonts w:ascii="仿宋" w:eastAsia="仿宋" w:hAnsi="仿宋" w:cs="仿宋"/>
        </w:rPr>
        <w:t>万</w:t>
      </w:r>
      <w:r>
        <w:rPr>
          <w:rFonts w:ascii="仿宋" w:eastAsia="仿宋" w:hAnsi="仿宋" w:cs="仿宋"/>
        </w:rPr>
        <w:t>元，占</w:t>
      </w:r>
      <w:r>
        <w:rPr>
          <w:rFonts w:ascii="仿宋" w:eastAsia="仿宋" w:hAnsi="仿宋" w:cs="仿宋"/>
        </w:rPr>
        <w:t>0%</w:t>
      </w:r>
      <w:r>
        <w:rPr>
          <w:rFonts w:ascii="仿宋" w:eastAsia="仿宋" w:hAnsi="仿宋" w:cs="仿宋"/>
        </w:rPr>
        <w:t>；其他收入</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2FD0" w:rsidRDefault="006026FB">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drawing>
          <wp:inline distT="0" distB="0" distL="0" distR="0">
            <wp:extent cx="6134100" cy="3429000"/>
            <wp:effectExtent l="0" t="0" r="0" b="0"/>
            <wp:docPr id="1"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22"/>
                    <a:stretch>
                      <a:fillRect/>
                    </a:stretch>
                  </pic:blipFill>
                  <pic:spPr>
                    <a:xfrm>
                      <a:off x="0" y="0"/>
                      <a:ext cx="6134100" cy="3429000"/>
                    </a:xfrm>
                    <a:prstGeom prst="rect">
                      <a:avLst/>
                    </a:prstGeom>
                  </pic:spPr>
                </pic:pic>
              </a:graphicData>
            </a:graphic>
          </wp:inline>
        </w:drawing>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年度本年支出决算合计</w:t>
      </w:r>
      <w:r>
        <w:rPr>
          <w:rFonts w:ascii="仿宋" w:eastAsia="仿宋" w:hAnsi="仿宋" w:cs="仿宋"/>
        </w:rPr>
        <w:t>5,300.81</w:t>
      </w:r>
      <w:r>
        <w:rPr>
          <w:rFonts w:ascii="仿宋" w:eastAsia="仿宋" w:hAnsi="仿宋" w:cs="仿宋"/>
        </w:rPr>
        <w:t>万元，其中：基本支出</w:t>
      </w:r>
      <w:r>
        <w:rPr>
          <w:rFonts w:ascii="仿宋" w:eastAsia="仿宋" w:hAnsi="仿宋" w:cs="仿宋"/>
        </w:rPr>
        <w:t>2,498.57</w:t>
      </w:r>
      <w:r>
        <w:rPr>
          <w:rFonts w:ascii="仿宋" w:eastAsia="仿宋" w:hAnsi="仿宋" w:cs="仿宋"/>
        </w:rPr>
        <w:t>万元，占</w:t>
      </w:r>
      <w:r>
        <w:rPr>
          <w:rFonts w:ascii="仿宋" w:eastAsia="仿宋" w:hAnsi="仿宋" w:cs="仿宋"/>
        </w:rPr>
        <w:t>47.14%</w:t>
      </w:r>
      <w:r>
        <w:rPr>
          <w:rFonts w:ascii="仿宋" w:eastAsia="仿宋" w:hAnsi="仿宋" w:cs="仿宋"/>
        </w:rPr>
        <w:t>；项目支出</w:t>
      </w:r>
      <w:r>
        <w:rPr>
          <w:rFonts w:ascii="仿宋" w:eastAsia="仿宋" w:hAnsi="仿宋" w:cs="仿宋"/>
        </w:rPr>
        <w:t>2,802.24</w:t>
      </w:r>
      <w:r>
        <w:rPr>
          <w:rFonts w:ascii="仿宋" w:eastAsia="仿宋" w:hAnsi="仿宋" w:cs="仿宋"/>
        </w:rPr>
        <w:t>万元，占</w:t>
      </w:r>
      <w:r>
        <w:rPr>
          <w:rFonts w:ascii="仿宋" w:eastAsia="仿宋" w:hAnsi="仿宋" w:cs="仿宋"/>
        </w:rPr>
        <w:t>52.86%</w:t>
      </w:r>
      <w:r>
        <w:rPr>
          <w:rFonts w:ascii="仿宋" w:eastAsia="仿宋" w:hAnsi="仿宋" w:cs="仿宋"/>
        </w:rPr>
        <w:t>；上缴上级支出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；经营支出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；对附属单位补助支出</w:t>
      </w:r>
      <w:r>
        <w:rPr>
          <w:rFonts w:ascii="仿宋" w:eastAsia="仿宋" w:hAnsi="仿宋" w:cs="仿宋"/>
        </w:rPr>
        <w:t>0</w:t>
      </w:r>
      <w:r>
        <w:rPr>
          <w:rFonts w:ascii="仿宋" w:eastAsia="仿宋" w:hAnsi="仿宋" w:cs="仿宋"/>
        </w:rPr>
        <w:t>万元，占</w:t>
      </w:r>
      <w:r>
        <w:rPr>
          <w:rFonts w:ascii="仿宋" w:eastAsia="仿宋" w:hAnsi="仿宋" w:cs="仿宋"/>
        </w:rPr>
        <w:t>0%</w:t>
      </w:r>
      <w:r>
        <w:rPr>
          <w:rFonts w:ascii="仿宋" w:eastAsia="仿宋" w:hAnsi="仿宋" w:cs="仿宋"/>
        </w:rPr>
        <w:t>。</w:t>
      </w:r>
    </w:p>
    <w:p w:rsidR="005C2FD0" w:rsidRDefault="006026FB">
      <w:pPr>
        <w:pStyle w:val="a4"/>
        <w:tabs>
          <w:tab w:val="left" w:pos="3864"/>
          <w:tab w:val="left" w:pos="6248"/>
          <w:tab w:val="left" w:pos="7386"/>
        </w:tabs>
        <w:overflowPunct w:val="0"/>
        <w:spacing w:before="1" w:line="360" w:lineRule="auto"/>
        <w:ind w:left="-3" w:right="420" w:firstLine="3"/>
        <w:jc w:val="center"/>
        <w:rPr>
          <w:rFonts w:ascii="仿宋" w:eastAsia="仿宋" w:hAnsi="仿宋" w:cs="仿宋"/>
          <w:lang w:val="en-US"/>
        </w:rPr>
      </w:pPr>
      <w:r>
        <w:rPr>
          <w:rFonts w:ascii="仿宋" w:eastAsia="仿宋" w:hAnsi="仿宋" w:cs="仿宋" w:hint="eastAsia"/>
          <w:noProof/>
          <w:lang w:val="en-US" w:bidi="ar-SA"/>
        </w:rPr>
        <w:lastRenderedPageBreak/>
        <w:drawing>
          <wp:inline distT="0" distB="0" distL="0" distR="0">
            <wp:extent cx="6134100" cy="3429000"/>
            <wp:effectExtent l="0" t="0" r="0" b="0"/>
            <wp:docPr id="2"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23"/>
                    <a:stretch>
                      <a:fillRect/>
                    </a:stretch>
                  </pic:blipFill>
                  <pic:spPr>
                    <a:xfrm>
                      <a:off x="0" y="0"/>
                      <a:ext cx="6134100" cy="3429000"/>
                    </a:xfrm>
                    <a:prstGeom prst="rect">
                      <a:avLst/>
                    </a:prstGeom>
                  </pic:spPr>
                </pic:pic>
              </a:graphicData>
            </a:graphic>
          </wp:inline>
        </w:drawing>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四、财政拨款收入支出决算总体情况说明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年度财政拨款收入、支出决算总计</w:t>
      </w:r>
      <w:r>
        <w:rPr>
          <w:rFonts w:ascii="仿宋" w:eastAsia="仿宋" w:hAnsi="仿宋" w:cs="仿宋"/>
        </w:rPr>
        <w:t>5,300.81</w:t>
      </w:r>
      <w:r>
        <w:rPr>
          <w:rFonts w:ascii="仿宋" w:eastAsia="仿宋" w:hAnsi="仿宋" w:cs="仿宋"/>
        </w:rPr>
        <w:t>万元。与上年相比，收、支总计各增加</w:t>
      </w:r>
      <w:r>
        <w:rPr>
          <w:rFonts w:ascii="仿宋" w:eastAsia="仿宋" w:hAnsi="仿宋" w:cs="仿宋"/>
        </w:rPr>
        <w:t>1,297.28</w:t>
      </w:r>
      <w:r>
        <w:rPr>
          <w:rFonts w:ascii="仿宋" w:eastAsia="仿宋" w:hAnsi="仿宋" w:cs="仿宋"/>
        </w:rPr>
        <w:t>万元，增长</w:t>
      </w:r>
      <w:r>
        <w:rPr>
          <w:rFonts w:ascii="仿宋" w:eastAsia="仿宋" w:hAnsi="仿宋" w:cs="仿宋"/>
        </w:rPr>
        <w:t>32.4%</w:t>
      </w:r>
      <w:r>
        <w:rPr>
          <w:rFonts w:ascii="仿宋" w:eastAsia="仿宋" w:hAnsi="仿宋" w:cs="仿宋"/>
        </w:rPr>
        <w:t>，变动原因：增加了城市基础设施配套费安排。</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五、财政拨款支出决算情况说明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财政拨款支出决算反映的是一般公共预算、政府性基金预算和国有资本经营预算财政拨款支出的总体情况，既包括使用本年从本级财政取得的财政拨款发生的支出，也包括使用上年度财政拨款结转资金发生的支出。</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年度财政拨款支出决算</w:t>
      </w:r>
      <w:r>
        <w:rPr>
          <w:rFonts w:ascii="仿宋" w:eastAsia="仿宋" w:hAnsi="仿宋" w:cs="仿宋"/>
        </w:rPr>
        <w:t>5,300.81</w:t>
      </w:r>
      <w:r>
        <w:rPr>
          <w:rFonts w:ascii="仿宋" w:eastAsia="仿宋" w:hAnsi="仿宋" w:cs="仿宋"/>
        </w:rPr>
        <w:t>万元，占本年支出合计的</w:t>
      </w:r>
      <w:r>
        <w:rPr>
          <w:rFonts w:ascii="仿宋" w:eastAsia="仿宋" w:hAnsi="仿宋" w:cs="仿宋"/>
        </w:rPr>
        <w:t>100%</w:t>
      </w:r>
      <w:r>
        <w:rPr>
          <w:rFonts w:ascii="仿宋" w:eastAsia="仿宋" w:hAnsi="仿宋" w:cs="仿宋"/>
        </w:rPr>
        <w:t>。与</w:t>
      </w:r>
      <w:r>
        <w:rPr>
          <w:rFonts w:ascii="仿宋" w:eastAsia="仿宋" w:hAnsi="仿宋" w:cs="仿宋"/>
        </w:rPr>
        <w:t>2023</w:t>
      </w:r>
      <w:r>
        <w:rPr>
          <w:rFonts w:ascii="仿宋" w:eastAsia="仿宋" w:hAnsi="仿宋" w:cs="仿宋"/>
        </w:rPr>
        <w:t>年度财政拨款支出年初预算</w:t>
      </w:r>
      <w:r>
        <w:rPr>
          <w:rFonts w:ascii="仿宋" w:eastAsia="仿宋" w:hAnsi="仿宋" w:cs="仿宋"/>
        </w:rPr>
        <w:t>2,579.5</w:t>
      </w:r>
      <w:r>
        <w:rPr>
          <w:rFonts w:ascii="仿宋" w:eastAsia="仿宋" w:hAnsi="仿宋" w:cs="仿宋"/>
        </w:rPr>
        <w:t>万元相比，完成年初预算的</w:t>
      </w:r>
      <w:r>
        <w:rPr>
          <w:rFonts w:ascii="仿宋" w:eastAsia="仿宋" w:hAnsi="仿宋" w:cs="仿宋"/>
        </w:rPr>
        <w:t>205.5%</w:t>
      </w:r>
      <w:r>
        <w:rPr>
          <w:rFonts w:ascii="仿宋" w:eastAsia="仿宋" w:hAnsi="仿宋" w:cs="仿宋"/>
        </w:rPr>
        <w:t>。其中：</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（一）社会保障和就业支出（类）</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行政事业单位养老支出（款）事业单位离退休（项）。年初预算</w:t>
      </w:r>
      <w:r>
        <w:rPr>
          <w:rFonts w:ascii="仿宋" w:eastAsia="仿宋" w:hAnsi="仿宋" w:cs="仿宋"/>
        </w:rPr>
        <w:t>2.13</w:t>
      </w:r>
      <w:r>
        <w:rPr>
          <w:rFonts w:ascii="仿宋" w:eastAsia="仿宋" w:hAnsi="仿宋" w:cs="仿宋"/>
        </w:rPr>
        <w:t>万元，支出决算</w:t>
      </w:r>
      <w:r>
        <w:rPr>
          <w:rFonts w:ascii="仿宋" w:eastAsia="仿宋" w:hAnsi="仿宋" w:cs="仿宋"/>
        </w:rPr>
        <w:t>2.13</w:t>
      </w:r>
      <w:r>
        <w:rPr>
          <w:rFonts w:ascii="仿宋" w:eastAsia="仿宋" w:hAnsi="仿宋" w:cs="仿宋"/>
        </w:rPr>
        <w:t>万元</w:t>
      </w:r>
      <w:r>
        <w:rPr>
          <w:rFonts w:ascii="仿宋" w:eastAsia="仿宋" w:hAnsi="仿宋" w:cs="仿宋"/>
        </w:rPr>
        <w:t>，完成年初预算的</w:t>
      </w:r>
      <w:r>
        <w:rPr>
          <w:rFonts w:ascii="仿宋" w:eastAsia="仿宋" w:hAnsi="仿宋" w:cs="仿宋"/>
        </w:rPr>
        <w:t>100%</w:t>
      </w:r>
      <w:r>
        <w:rPr>
          <w:rFonts w:ascii="仿宋" w:eastAsia="仿宋" w:hAnsi="仿宋" w:cs="仿宋"/>
        </w:rPr>
        <w:t>。决算数与年初预算数相同。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（二）卫生健康支出（类）</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行政事业单位医疗（款）公务员医疗补助（项）。年初预算</w:t>
      </w:r>
      <w:r>
        <w:rPr>
          <w:rFonts w:ascii="仿宋" w:eastAsia="仿宋" w:hAnsi="仿宋" w:cs="仿宋"/>
        </w:rPr>
        <w:t>31.62</w:t>
      </w:r>
      <w:r>
        <w:rPr>
          <w:rFonts w:ascii="仿宋" w:eastAsia="仿宋" w:hAnsi="仿宋" w:cs="仿宋"/>
        </w:rPr>
        <w:t>万元，支出决算</w:t>
      </w:r>
      <w:r>
        <w:rPr>
          <w:rFonts w:ascii="仿宋" w:eastAsia="仿宋" w:hAnsi="仿宋" w:cs="仿宋"/>
        </w:rPr>
        <w:t>31.62</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（三）城乡社区支出（类）</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城乡社区管理事务（款）一般行政管理事务（项）。年初预算</w:t>
      </w:r>
      <w:r>
        <w:rPr>
          <w:rFonts w:ascii="仿宋" w:eastAsia="仿宋" w:hAnsi="仿宋" w:cs="仿宋"/>
        </w:rPr>
        <w:t>0</w:t>
      </w:r>
      <w:r>
        <w:rPr>
          <w:rFonts w:ascii="仿宋" w:eastAsia="仿宋" w:hAnsi="仿宋" w:cs="仿宋"/>
        </w:rPr>
        <w:t>万元，支出决算</w:t>
      </w:r>
      <w:r>
        <w:rPr>
          <w:rFonts w:ascii="仿宋" w:eastAsia="仿宋" w:hAnsi="仿宋" w:cs="仿宋"/>
        </w:rPr>
        <w:t>122.98</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万元，无法计算完成比率）决算数与年初预算数的差异原因：增加了工程监督和燃气管理专项业务费项目。</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城乡社区管理事务（款）其他城乡社区管理事务支出（项）。年初</w:t>
      </w:r>
      <w:r>
        <w:rPr>
          <w:rFonts w:ascii="仿宋" w:eastAsia="仿宋" w:hAnsi="仿宋" w:cs="仿宋"/>
        </w:rPr>
        <w:t>预算</w:t>
      </w:r>
      <w:r>
        <w:rPr>
          <w:rFonts w:ascii="仿宋" w:eastAsia="仿宋" w:hAnsi="仿宋" w:cs="仿宋"/>
        </w:rPr>
        <w:t>0</w:t>
      </w:r>
      <w:r>
        <w:rPr>
          <w:rFonts w:ascii="仿宋" w:eastAsia="仿宋" w:hAnsi="仿宋" w:cs="仿宋"/>
        </w:rPr>
        <w:t>万元，支出决算</w:t>
      </w:r>
      <w:r>
        <w:rPr>
          <w:rFonts w:ascii="仿宋" w:eastAsia="仿宋" w:hAnsi="仿宋" w:cs="仿宋"/>
        </w:rPr>
        <w:t>8.54</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万元，无法计算完成比率）决算数与年初预算数的差异原因：增加了长效资金市政养护经费。</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城市基础设施配套费安排的支出（款）其他城市基础设施配套费安排的支出（项）。年初预算</w:t>
      </w:r>
      <w:r>
        <w:rPr>
          <w:rFonts w:ascii="仿宋" w:eastAsia="仿宋" w:hAnsi="仿宋" w:cs="仿宋"/>
        </w:rPr>
        <w:t>0</w:t>
      </w:r>
      <w:r>
        <w:rPr>
          <w:rFonts w:ascii="仿宋" w:eastAsia="仿宋" w:hAnsi="仿宋" w:cs="仿宋"/>
        </w:rPr>
        <w:t>万元，支出决算</w:t>
      </w:r>
      <w:r>
        <w:rPr>
          <w:rFonts w:ascii="仿宋" w:eastAsia="仿宋" w:hAnsi="仿宋" w:cs="仿宋"/>
        </w:rPr>
        <w:t>533.52</w:t>
      </w:r>
      <w:r>
        <w:rPr>
          <w:rFonts w:ascii="仿宋" w:eastAsia="仿宋" w:hAnsi="仿宋" w:cs="仿宋"/>
        </w:rPr>
        <w:t>万元，（年初预算数为</w:t>
      </w:r>
      <w:r>
        <w:rPr>
          <w:rFonts w:ascii="仿宋" w:eastAsia="仿宋" w:hAnsi="仿宋" w:cs="仿宋"/>
        </w:rPr>
        <w:t>0</w:t>
      </w:r>
      <w:r>
        <w:rPr>
          <w:rFonts w:ascii="仿宋" w:eastAsia="仿宋" w:hAnsi="仿宋" w:cs="仿宋"/>
        </w:rPr>
        <w:t>万元，无法计算完成比率）决算数与年初预算数的差异原因：增加了长效资金市政养护经费等。</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4.</w:t>
      </w:r>
      <w:r>
        <w:rPr>
          <w:rFonts w:ascii="仿宋" w:eastAsia="仿宋" w:hAnsi="仿宋" w:cs="仿宋"/>
        </w:rPr>
        <w:t>其他城乡社区支出（款）其他城乡社区支出（项）。年</w:t>
      </w:r>
      <w:r>
        <w:rPr>
          <w:rFonts w:ascii="仿宋" w:eastAsia="仿宋" w:hAnsi="仿宋" w:cs="仿宋"/>
        </w:rPr>
        <w:lastRenderedPageBreak/>
        <w:t>初预算</w:t>
      </w:r>
      <w:r>
        <w:rPr>
          <w:rFonts w:ascii="仿宋" w:eastAsia="仿宋" w:hAnsi="仿宋" w:cs="仿宋"/>
        </w:rPr>
        <w:t>2,033.88</w:t>
      </w:r>
      <w:r>
        <w:rPr>
          <w:rFonts w:ascii="仿宋" w:eastAsia="仿宋" w:hAnsi="仿宋" w:cs="仿宋"/>
        </w:rPr>
        <w:t>万元，支出决算</w:t>
      </w:r>
      <w:r>
        <w:rPr>
          <w:rFonts w:ascii="仿宋" w:eastAsia="仿宋" w:hAnsi="仿宋" w:cs="仿宋"/>
        </w:rPr>
        <w:t>4,090.14</w:t>
      </w:r>
      <w:r>
        <w:rPr>
          <w:rFonts w:ascii="仿宋" w:eastAsia="仿宋" w:hAnsi="仿宋" w:cs="仿宋"/>
        </w:rPr>
        <w:t>万元，完成年初预算的</w:t>
      </w:r>
      <w:r>
        <w:rPr>
          <w:rFonts w:ascii="仿宋" w:eastAsia="仿宋" w:hAnsi="仿宋" w:cs="仿宋"/>
        </w:rPr>
        <w:t>201.1%</w:t>
      </w:r>
      <w:r>
        <w:rPr>
          <w:rFonts w:ascii="仿宋" w:eastAsia="仿宋" w:hAnsi="仿宋" w:cs="仿宋"/>
        </w:rPr>
        <w:t>。决算数与年初预算数</w:t>
      </w:r>
      <w:r>
        <w:rPr>
          <w:rFonts w:ascii="仿宋" w:eastAsia="仿宋" w:hAnsi="仿宋" w:cs="仿宋"/>
        </w:rPr>
        <w:t>的差异原因：增加了专项预算</w:t>
      </w:r>
      <w:r>
        <w:rPr>
          <w:rFonts w:ascii="仿宋" w:eastAsia="仿宋" w:hAnsi="仿宋" w:cs="仿宋"/>
        </w:rPr>
        <w:t>-</w:t>
      </w:r>
      <w:r>
        <w:rPr>
          <w:rFonts w:ascii="仿宋" w:eastAsia="仿宋" w:hAnsi="仿宋" w:cs="仿宋"/>
        </w:rPr>
        <w:t>长效资金市政养护经费。</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（四）住房保障支出（类）</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住房改革支出（款）住房公积金（项）。年初预算</w:t>
      </w:r>
      <w:r>
        <w:rPr>
          <w:rFonts w:ascii="仿宋" w:eastAsia="仿宋" w:hAnsi="仿宋" w:cs="仿宋"/>
        </w:rPr>
        <w:t>130.77</w:t>
      </w:r>
      <w:r>
        <w:rPr>
          <w:rFonts w:ascii="仿宋" w:eastAsia="仿宋" w:hAnsi="仿宋" w:cs="仿宋"/>
        </w:rPr>
        <w:t>万元，支出决算</w:t>
      </w:r>
      <w:r>
        <w:rPr>
          <w:rFonts w:ascii="仿宋" w:eastAsia="仿宋" w:hAnsi="仿宋" w:cs="仿宋"/>
        </w:rPr>
        <w:t>130.77</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住房改革支出（款）提租补贴（项）。年初预算</w:t>
      </w:r>
      <w:r>
        <w:rPr>
          <w:rFonts w:ascii="仿宋" w:eastAsia="仿宋" w:hAnsi="仿宋" w:cs="仿宋"/>
        </w:rPr>
        <w:t>285.95</w:t>
      </w:r>
      <w:r>
        <w:rPr>
          <w:rFonts w:ascii="仿宋" w:eastAsia="仿宋" w:hAnsi="仿宋" w:cs="仿宋"/>
        </w:rPr>
        <w:t>万元，支出决算</w:t>
      </w:r>
      <w:r>
        <w:rPr>
          <w:rFonts w:ascii="仿宋" w:eastAsia="仿宋" w:hAnsi="仿宋" w:cs="仿宋"/>
        </w:rPr>
        <w:t>285.95</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住房改革支出（款）购房补贴（项）。年初预算</w:t>
      </w:r>
      <w:r>
        <w:rPr>
          <w:rFonts w:ascii="仿宋" w:eastAsia="仿宋" w:hAnsi="仿宋" w:cs="仿宋"/>
        </w:rPr>
        <w:t>95.15</w:t>
      </w:r>
      <w:r>
        <w:rPr>
          <w:rFonts w:ascii="仿宋" w:eastAsia="仿宋" w:hAnsi="仿宋" w:cs="仿宋"/>
        </w:rPr>
        <w:t>万元，支出决算</w:t>
      </w:r>
      <w:r>
        <w:rPr>
          <w:rFonts w:ascii="仿宋" w:eastAsia="仿宋" w:hAnsi="仿宋" w:cs="仿宋"/>
        </w:rPr>
        <w:t>95.15</w:t>
      </w:r>
      <w:r>
        <w:rPr>
          <w:rFonts w:ascii="仿宋" w:eastAsia="仿宋" w:hAnsi="仿宋" w:cs="仿宋"/>
        </w:rPr>
        <w:t>万元，完成年初预算的</w:t>
      </w:r>
      <w:r>
        <w:rPr>
          <w:rFonts w:ascii="仿宋" w:eastAsia="仿宋" w:hAnsi="仿宋" w:cs="仿宋"/>
        </w:rPr>
        <w:t>100%</w:t>
      </w:r>
      <w:r>
        <w:rPr>
          <w:rFonts w:ascii="仿宋" w:eastAsia="仿宋" w:hAnsi="仿宋" w:cs="仿宋"/>
        </w:rPr>
        <w:t>。决算数与年初预算数相同。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六、财政拨款基本</w:t>
      </w:r>
      <w:r>
        <w:rPr>
          <w:rFonts w:ascii="仿宋" w:eastAsia="仿宋" w:hAnsi="仿宋" w:cs="仿宋"/>
          <w:b/>
        </w:rPr>
        <w:t>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年度财政拨款基本支出决算</w:t>
      </w:r>
      <w:r>
        <w:rPr>
          <w:rFonts w:ascii="仿宋" w:eastAsia="仿宋" w:hAnsi="仿宋" w:cs="仿宋"/>
        </w:rPr>
        <w:t>2,498.57</w:t>
      </w:r>
      <w:r>
        <w:rPr>
          <w:rFonts w:ascii="仿宋" w:eastAsia="仿宋" w:hAnsi="仿宋" w:cs="仿宋"/>
        </w:rPr>
        <w:t>万元，其中：</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2,429.66</w:t>
      </w:r>
      <w:r>
        <w:rPr>
          <w:rFonts w:ascii="楷体" w:eastAsia="楷体" w:hAnsi="楷体" w:cs="楷体"/>
        </w:rPr>
        <w:t>万元。</w:t>
      </w:r>
      <w:r>
        <w:rPr>
          <w:rFonts w:ascii="仿宋" w:eastAsia="仿宋" w:hAnsi="仿宋" w:cs="仿宋"/>
        </w:rPr>
        <w:t>主要包括：基本工资、津贴补贴、绩效工资、机关事业单位基本养老保险缴费、职业年金缴费、职工基本医疗保险缴费、其他社会保障缴费、住房公积金、其他工资福利支出、退休费、抚恤金、其他对个人和家庭的补助。</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68.91</w:t>
      </w:r>
      <w:r>
        <w:rPr>
          <w:rFonts w:ascii="楷体" w:eastAsia="楷体" w:hAnsi="楷体" w:cs="楷体"/>
        </w:rPr>
        <w:t>万元。</w:t>
      </w:r>
      <w:r>
        <w:rPr>
          <w:rFonts w:ascii="仿宋" w:eastAsia="仿宋" w:hAnsi="仿宋" w:cs="仿宋"/>
        </w:rPr>
        <w:t>主要包括：办公费、印刷费、水费、邮电费、差旅费、培训费、公务接待费、工会经</w:t>
      </w:r>
      <w:r>
        <w:rPr>
          <w:rFonts w:ascii="仿宋" w:eastAsia="仿宋" w:hAnsi="仿宋" w:cs="仿宋"/>
        </w:rPr>
        <w:lastRenderedPageBreak/>
        <w:t>费、公务用车运行维护费、其他商品和服务支出。</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七、一般公共预算支出决算情况说明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w:t>
      </w:r>
      <w:r>
        <w:rPr>
          <w:rFonts w:ascii="仿宋" w:eastAsia="仿宋" w:hAnsi="仿宋" w:cs="仿宋"/>
        </w:rPr>
        <w:t>公共预算财政拨款支出决算</w:t>
      </w:r>
      <w:r>
        <w:rPr>
          <w:rFonts w:ascii="仿宋" w:eastAsia="仿宋" w:hAnsi="仿宋" w:cs="仿宋"/>
        </w:rPr>
        <w:t>4,767.28</w:t>
      </w:r>
      <w:r>
        <w:rPr>
          <w:rFonts w:ascii="仿宋" w:eastAsia="仿宋" w:hAnsi="仿宋" w:cs="仿宋"/>
        </w:rPr>
        <w:t>万元。与上年相比，增加</w:t>
      </w:r>
      <w:r>
        <w:rPr>
          <w:rFonts w:ascii="仿宋" w:eastAsia="仿宋" w:hAnsi="仿宋" w:cs="仿宋"/>
        </w:rPr>
        <w:t>940.35</w:t>
      </w:r>
      <w:r>
        <w:rPr>
          <w:rFonts w:ascii="仿宋" w:eastAsia="仿宋" w:hAnsi="仿宋" w:cs="仿宋"/>
        </w:rPr>
        <w:t>万元，增长</w:t>
      </w:r>
      <w:r>
        <w:rPr>
          <w:rFonts w:ascii="仿宋" w:eastAsia="仿宋" w:hAnsi="仿宋" w:cs="仿宋"/>
        </w:rPr>
        <w:t>24.57%</w:t>
      </w:r>
      <w:r>
        <w:rPr>
          <w:rFonts w:ascii="仿宋" w:eastAsia="仿宋" w:hAnsi="仿宋" w:cs="仿宋"/>
        </w:rPr>
        <w:t>，变动原因：增加了人员经费。</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八、一般公共预算基本支出决算情况说明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年度一般公共预算财政拨款基本支出决算</w:t>
      </w:r>
      <w:r>
        <w:rPr>
          <w:rFonts w:ascii="仿宋" w:eastAsia="仿宋" w:hAnsi="仿宋" w:cs="仿宋"/>
        </w:rPr>
        <w:t>2,498.57</w:t>
      </w:r>
      <w:r>
        <w:rPr>
          <w:rFonts w:ascii="仿宋" w:eastAsia="仿宋" w:hAnsi="仿宋" w:cs="仿宋"/>
        </w:rPr>
        <w:t>万元，其中：</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（一）人员经费</w:t>
      </w:r>
      <w:r>
        <w:rPr>
          <w:rFonts w:ascii="楷体" w:eastAsia="楷体" w:hAnsi="楷体" w:cs="楷体"/>
        </w:rPr>
        <w:t>2,429.66</w:t>
      </w:r>
      <w:r>
        <w:rPr>
          <w:rFonts w:ascii="楷体" w:eastAsia="楷体" w:hAnsi="楷体" w:cs="楷体"/>
        </w:rPr>
        <w:t>万元。</w:t>
      </w:r>
      <w:r>
        <w:rPr>
          <w:rFonts w:ascii="仿宋" w:eastAsia="仿宋" w:hAnsi="仿宋" w:cs="仿宋"/>
        </w:rPr>
        <w:t>主要包括：基本工资、津贴补贴、绩效工资、机关事业单位基本养老保险缴费、职业年金缴费、职工基本医疗保险缴费、其他社会保障缴费、住房公积金、其他工资福利支出、退休费、抚恤金、其他对个人和家庭的补助。</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楷体" w:eastAsia="楷体" w:hAnsi="楷体" w:cs="楷体"/>
        </w:rPr>
        <w:t>（二）公用经费</w:t>
      </w:r>
      <w:r>
        <w:rPr>
          <w:rFonts w:ascii="楷体" w:eastAsia="楷体" w:hAnsi="楷体" w:cs="楷体"/>
        </w:rPr>
        <w:t>68.91</w:t>
      </w:r>
      <w:r>
        <w:rPr>
          <w:rFonts w:ascii="楷体" w:eastAsia="楷体" w:hAnsi="楷体" w:cs="楷体"/>
        </w:rPr>
        <w:t>万元。</w:t>
      </w:r>
      <w:r>
        <w:rPr>
          <w:rFonts w:ascii="仿宋" w:eastAsia="仿宋" w:hAnsi="仿宋" w:cs="仿宋"/>
        </w:rPr>
        <w:t>主要包括：办公费、印刷费、水费、邮电费、差旅费、培训费、公务接待费、工会经费、公务用车运行维护费、其他商品和服务支出。</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九、财政拨款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经费、会议费、培训费支出情况说明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（一）财政拨款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经费支出总体情况说明。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经费支出决算</w:t>
      </w:r>
      <w:r>
        <w:rPr>
          <w:rFonts w:ascii="仿宋" w:eastAsia="仿宋" w:hAnsi="仿宋" w:cs="仿宋"/>
        </w:rPr>
        <w:t>11.24</w:t>
      </w:r>
      <w:r>
        <w:rPr>
          <w:rFonts w:ascii="仿宋" w:eastAsia="仿宋" w:hAnsi="仿宋" w:cs="仿宋"/>
        </w:rPr>
        <w:t>万元（其中：一般公共预算支出</w:t>
      </w:r>
      <w:r>
        <w:rPr>
          <w:rFonts w:ascii="仿宋" w:eastAsia="仿宋" w:hAnsi="仿宋" w:cs="仿宋"/>
        </w:rPr>
        <w:t>11.24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万元）。与上年相比，增加</w:t>
      </w:r>
      <w:r>
        <w:rPr>
          <w:rFonts w:ascii="仿宋" w:eastAsia="仿宋" w:hAnsi="仿宋" w:cs="仿宋"/>
        </w:rPr>
        <w:t>0.76</w:t>
      </w:r>
      <w:r>
        <w:rPr>
          <w:rFonts w:ascii="仿宋" w:eastAsia="仿宋" w:hAnsi="仿宋" w:cs="仿宋"/>
        </w:rPr>
        <w:lastRenderedPageBreak/>
        <w:t>万元，变动原因：主要是加大燃气安全培训，燃气安全检查力度。其中，因公出国（境）费支出</w:t>
      </w:r>
      <w:r>
        <w:rPr>
          <w:rFonts w:ascii="仿宋" w:eastAsia="仿宋" w:hAnsi="仿宋" w:cs="仿宋"/>
        </w:rPr>
        <w:t>0</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0%</w:t>
      </w:r>
      <w:r>
        <w:rPr>
          <w:rFonts w:ascii="仿宋" w:eastAsia="仿宋" w:hAnsi="仿宋" w:cs="仿宋"/>
        </w:rPr>
        <w:t>；公务</w:t>
      </w:r>
      <w:r>
        <w:rPr>
          <w:rFonts w:ascii="仿宋" w:eastAsia="仿宋" w:hAnsi="仿宋" w:cs="仿宋"/>
        </w:rPr>
        <w:t>用车购置及运行维护费支出</w:t>
      </w:r>
      <w:r>
        <w:rPr>
          <w:rFonts w:ascii="仿宋" w:eastAsia="仿宋" w:hAnsi="仿宋" w:cs="仿宋"/>
        </w:rPr>
        <w:t>9.93</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88.42%</w:t>
      </w:r>
      <w:r>
        <w:rPr>
          <w:rFonts w:ascii="仿宋" w:eastAsia="仿宋" w:hAnsi="仿宋" w:cs="仿宋"/>
        </w:rPr>
        <w:t>；公务接待费支出</w:t>
      </w:r>
      <w:r>
        <w:rPr>
          <w:rFonts w:ascii="仿宋" w:eastAsia="仿宋" w:hAnsi="仿宋" w:cs="仿宋"/>
        </w:rPr>
        <w:t>1.3</w:t>
      </w:r>
      <w:r>
        <w:rPr>
          <w:rFonts w:ascii="仿宋" w:eastAsia="仿宋" w:hAnsi="仿宋" w:cs="仿宋"/>
        </w:rPr>
        <w:t>万元，占</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经费的</w:t>
      </w:r>
      <w:r>
        <w:rPr>
          <w:rFonts w:ascii="仿宋" w:eastAsia="仿宋" w:hAnsi="仿宋" w:cs="仿宋"/>
        </w:rPr>
        <w:t>11.58%</w:t>
      </w:r>
      <w:r>
        <w:rPr>
          <w:rFonts w:ascii="仿宋" w:eastAsia="仿宋" w:hAnsi="仿宋" w:cs="仿宋"/>
        </w:rPr>
        <w:t>。</w:t>
      </w:r>
      <w:r>
        <w:rPr>
          <w:rFonts w:ascii="仿宋" w:eastAsia="仿宋" w:hAnsi="仿宋" w:cs="仿宋"/>
        </w:rPr>
        <w:t>2023</w:t>
      </w:r>
      <w:r>
        <w:rPr>
          <w:rFonts w:ascii="仿宋" w:eastAsia="仿宋" w:hAnsi="仿宋" w:cs="仿宋"/>
        </w:rPr>
        <w:t>年度财政拨款</w:t>
      </w:r>
      <w:r>
        <w:rPr>
          <w:rFonts w:ascii="仿宋" w:eastAsia="仿宋" w:hAnsi="仿宋" w:cs="仿宋"/>
        </w:rPr>
        <w:t>“</w:t>
      </w:r>
      <w:r>
        <w:rPr>
          <w:rFonts w:ascii="仿宋" w:eastAsia="仿宋" w:hAnsi="仿宋" w:cs="仿宋"/>
        </w:rPr>
        <w:t>三公</w:t>
      </w:r>
      <w:r>
        <w:rPr>
          <w:rFonts w:ascii="仿宋" w:eastAsia="仿宋" w:hAnsi="仿宋" w:cs="仿宋"/>
        </w:rPr>
        <w:t>”</w:t>
      </w:r>
      <w:r>
        <w:rPr>
          <w:rFonts w:ascii="仿宋" w:eastAsia="仿宋" w:hAnsi="仿宋" w:cs="仿宋"/>
        </w:rPr>
        <w:t>经费支出预算</w:t>
      </w:r>
      <w:r>
        <w:rPr>
          <w:rFonts w:ascii="仿宋" w:eastAsia="仿宋" w:hAnsi="仿宋" w:cs="仿宋"/>
        </w:rPr>
        <w:t>11.24</w:t>
      </w:r>
      <w:r>
        <w:rPr>
          <w:rFonts w:ascii="仿宋" w:eastAsia="仿宋" w:hAnsi="仿宋" w:cs="仿宋"/>
        </w:rPr>
        <w:t>万元（其中：一般公共预算支出</w:t>
      </w:r>
      <w:r>
        <w:rPr>
          <w:rFonts w:ascii="仿宋" w:eastAsia="仿宋" w:hAnsi="仿宋" w:cs="仿宋"/>
        </w:rPr>
        <w:t>11.24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（二）财政拨款</w:t>
      </w:r>
      <w:r>
        <w:rPr>
          <w:rFonts w:ascii="仿宋" w:eastAsia="仿宋" w:hAnsi="仿宋" w:cs="仿宋"/>
          <w:b/>
        </w:rPr>
        <w:t>“</w:t>
      </w:r>
      <w:r>
        <w:rPr>
          <w:rFonts w:ascii="仿宋" w:eastAsia="仿宋" w:hAnsi="仿宋" w:cs="仿宋"/>
          <w:b/>
        </w:rPr>
        <w:t>三公</w:t>
      </w:r>
      <w:r>
        <w:rPr>
          <w:rFonts w:ascii="仿宋" w:eastAsia="仿宋" w:hAnsi="仿宋" w:cs="仿宋"/>
          <w:b/>
        </w:rPr>
        <w:t>”</w:t>
      </w:r>
      <w:r>
        <w:rPr>
          <w:rFonts w:ascii="仿宋" w:eastAsia="仿宋" w:hAnsi="仿宋" w:cs="仿宋"/>
          <w:b/>
        </w:rPr>
        <w:t>经费支出具体情况说明。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1</w:t>
      </w:r>
      <w:r>
        <w:rPr>
          <w:rFonts w:ascii="仿宋" w:eastAsia="仿宋" w:hAnsi="仿宋" w:cs="仿宋"/>
        </w:rPr>
        <w:t>．因公出国（境）费支出预算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w:t>
      </w:r>
      <w:r>
        <w:rPr>
          <w:rFonts w:ascii="仿宋" w:eastAsia="仿宋" w:hAnsi="仿宋" w:cs="仿宋"/>
        </w:rPr>
        <w:t>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，决算数与预算数相同。全年使用财政拨款涉及的出国（境）团组</w:t>
      </w:r>
      <w:r>
        <w:rPr>
          <w:rFonts w:ascii="仿宋" w:eastAsia="仿宋" w:hAnsi="仿宋" w:cs="仿宋"/>
        </w:rPr>
        <w:t>0</w:t>
      </w:r>
      <w:r>
        <w:rPr>
          <w:rFonts w:ascii="仿宋" w:eastAsia="仿宋" w:hAnsi="仿宋" w:cs="仿宋"/>
        </w:rPr>
        <w:t>个，累计</w:t>
      </w:r>
      <w:r>
        <w:rPr>
          <w:rFonts w:ascii="仿宋" w:eastAsia="仿宋" w:hAnsi="仿宋" w:cs="仿宋"/>
        </w:rPr>
        <w:t>0</w:t>
      </w:r>
      <w:r>
        <w:rPr>
          <w:rFonts w:ascii="仿宋" w:eastAsia="仿宋" w:hAnsi="仿宋" w:cs="仿宋"/>
        </w:rPr>
        <w:t>人次。</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w:t>
      </w:r>
      <w:r>
        <w:rPr>
          <w:rFonts w:ascii="仿宋" w:eastAsia="仿宋" w:hAnsi="仿宋" w:cs="仿宋"/>
        </w:rPr>
        <w:t>．公务用车购置及运行维护费支出预算</w:t>
      </w:r>
      <w:r>
        <w:rPr>
          <w:rFonts w:ascii="仿宋" w:eastAsia="仿宋" w:hAnsi="仿宋" w:cs="仿宋"/>
        </w:rPr>
        <w:t>9.93</w:t>
      </w:r>
      <w:r>
        <w:rPr>
          <w:rFonts w:ascii="仿宋" w:eastAsia="仿宋" w:hAnsi="仿宋" w:cs="仿宋"/>
        </w:rPr>
        <w:t>万元（其中：一般公共预算支出</w:t>
      </w:r>
      <w:r>
        <w:rPr>
          <w:rFonts w:ascii="仿宋" w:eastAsia="仿宋" w:hAnsi="仿宋" w:cs="仿宋"/>
        </w:rPr>
        <w:t>9.93</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9.93</w:t>
      </w:r>
      <w:r>
        <w:rPr>
          <w:rFonts w:ascii="仿宋" w:eastAsia="仿宋" w:hAnsi="仿宋" w:cs="仿宋"/>
        </w:rPr>
        <w:t>万元（其中：一般公共预算支出</w:t>
      </w:r>
      <w:r>
        <w:rPr>
          <w:rFonts w:ascii="仿宋" w:eastAsia="仿宋" w:hAnsi="仿宋" w:cs="仿宋"/>
        </w:rPr>
        <w:t>9.93</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w:t>
      </w:r>
      <w:r>
        <w:rPr>
          <w:rFonts w:ascii="仿宋" w:eastAsia="仿宋" w:hAnsi="仿宋" w:cs="仿宋"/>
        </w:rPr>
        <w:t>1</w:t>
      </w:r>
      <w:r>
        <w:rPr>
          <w:rFonts w:ascii="仿宋" w:eastAsia="仿宋" w:hAnsi="仿宋" w:cs="仿宋"/>
        </w:rPr>
        <w:t>）公务用车购置支出决算</w:t>
      </w:r>
      <w:r>
        <w:rPr>
          <w:rFonts w:ascii="仿宋" w:eastAsia="仿宋" w:hAnsi="仿宋" w:cs="仿宋"/>
        </w:rPr>
        <w:t>0</w:t>
      </w:r>
      <w:r>
        <w:rPr>
          <w:rFonts w:ascii="仿宋" w:eastAsia="仿宋" w:hAnsi="仿宋" w:cs="仿宋"/>
        </w:rPr>
        <w:t>万元。本年度使用财政拨款购置公务用车</w:t>
      </w:r>
      <w:r>
        <w:rPr>
          <w:rFonts w:ascii="仿宋" w:eastAsia="仿宋" w:hAnsi="仿宋" w:cs="仿宋"/>
        </w:rPr>
        <w:t>0</w:t>
      </w:r>
      <w:r>
        <w:rPr>
          <w:rFonts w:ascii="仿宋" w:eastAsia="仿宋" w:hAnsi="仿宋" w:cs="仿宋"/>
        </w:rPr>
        <w:t>辆。</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lastRenderedPageBreak/>
        <w:t>（</w:t>
      </w:r>
      <w:r>
        <w:rPr>
          <w:rFonts w:ascii="仿宋" w:eastAsia="仿宋" w:hAnsi="仿宋" w:cs="仿宋"/>
        </w:rPr>
        <w:t>2</w:t>
      </w:r>
      <w:r>
        <w:rPr>
          <w:rFonts w:ascii="仿宋" w:eastAsia="仿宋" w:hAnsi="仿宋" w:cs="仿宋"/>
        </w:rPr>
        <w:t>）公务用车运行维护费支出决算</w:t>
      </w:r>
      <w:r>
        <w:rPr>
          <w:rFonts w:ascii="仿宋" w:eastAsia="仿宋" w:hAnsi="仿宋" w:cs="仿宋"/>
        </w:rPr>
        <w:t>9.93</w:t>
      </w:r>
      <w:r>
        <w:rPr>
          <w:rFonts w:ascii="仿宋" w:eastAsia="仿宋" w:hAnsi="仿宋" w:cs="仿宋"/>
        </w:rPr>
        <w:t>万元。公务用车运行维护费主要用于按规定保留的公务用车的燃料费、维修费、过桥过路费、保险费、安全奖励费用等支出。截至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日，使用财政拨款开支的公务用车保有量为</w:t>
      </w:r>
      <w:r>
        <w:rPr>
          <w:rFonts w:ascii="仿宋" w:eastAsia="仿宋" w:hAnsi="仿宋" w:cs="仿宋"/>
        </w:rPr>
        <w:t>19</w:t>
      </w:r>
      <w:r>
        <w:rPr>
          <w:rFonts w:ascii="仿宋" w:eastAsia="仿宋" w:hAnsi="仿宋" w:cs="仿宋"/>
        </w:rPr>
        <w:t>辆。</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3</w:t>
      </w:r>
      <w:r>
        <w:rPr>
          <w:rFonts w:ascii="仿宋" w:eastAsia="仿宋" w:hAnsi="仿宋" w:cs="仿宋"/>
        </w:rPr>
        <w:t>．公务接待费支出预算</w:t>
      </w:r>
      <w:r>
        <w:rPr>
          <w:rFonts w:ascii="仿宋" w:eastAsia="仿宋" w:hAnsi="仿宋" w:cs="仿宋"/>
        </w:rPr>
        <w:t>1.3</w:t>
      </w:r>
      <w:r>
        <w:rPr>
          <w:rFonts w:ascii="仿宋" w:eastAsia="仿宋" w:hAnsi="仿宋" w:cs="仿宋"/>
        </w:rPr>
        <w:t>万元（其中：一般公共预算支出</w:t>
      </w:r>
      <w:r>
        <w:rPr>
          <w:rFonts w:ascii="仿宋" w:eastAsia="仿宋" w:hAnsi="仿宋" w:cs="仿宋"/>
        </w:rPr>
        <w:t>1.3</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1.3</w:t>
      </w:r>
      <w:r>
        <w:rPr>
          <w:rFonts w:ascii="仿宋" w:eastAsia="仿宋" w:hAnsi="仿宋" w:cs="仿宋"/>
        </w:rPr>
        <w:t>万元（其中：一般公共预算支出</w:t>
      </w:r>
      <w:r>
        <w:rPr>
          <w:rFonts w:ascii="仿宋" w:eastAsia="仿宋" w:hAnsi="仿宋" w:cs="仿宋"/>
        </w:rPr>
        <w:t>1.3</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，决算数与预算数相同。其中</w:t>
      </w:r>
      <w:r>
        <w:rPr>
          <w:rFonts w:ascii="仿宋" w:eastAsia="仿宋" w:hAnsi="仿宋" w:cs="仿宋"/>
        </w:rPr>
        <w:t>：国内公务接待支出</w:t>
      </w:r>
      <w:r>
        <w:rPr>
          <w:rFonts w:ascii="仿宋" w:eastAsia="仿宋" w:hAnsi="仿宋" w:cs="仿宋"/>
        </w:rPr>
        <w:t>1.3</w:t>
      </w:r>
      <w:r>
        <w:rPr>
          <w:rFonts w:ascii="仿宋" w:eastAsia="仿宋" w:hAnsi="仿宋" w:cs="仿宋"/>
        </w:rPr>
        <w:t>万元，接待</w:t>
      </w:r>
      <w:r>
        <w:rPr>
          <w:rFonts w:ascii="仿宋" w:eastAsia="仿宋" w:hAnsi="仿宋" w:cs="仿宋"/>
        </w:rPr>
        <w:t>11</w:t>
      </w:r>
      <w:r>
        <w:rPr>
          <w:rFonts w:ascii="仿宋" w:eastAsia="仿宋" w:hAnsi="仿宋" w:cs="仿宋"/>
        </w:rPr>
        <w:t>批次，</w:t>
      </w:r>
      <w:r>
        <w:rPr>
          <w:rFonts w:ascii="仿宋" w:eastAsia="仿宋" w:hAnsi="仿宋" w:cs="仿宋"/>
        </w:rPr>
        <w:t>138</w:t>
      </w:r>
      <w:r>
        <w:rPr>
          <w:rFonts w:ascii="仿宋" w:eastAsia="仿宋" w:hAnsi="仿宋" w:cs="仿宋"/>
        </w:rPr>
        <w:t>人次，开支内容：接待燃气安全检查等；国（境）外公务接待支出</w:t>
      </w:r>
      <w:r>
        <w:rPr>
          <w:rFonts w:ascii="仿宋" w:eastAsia="仿宋" w:hAnsi="仿宋" w:cs="仿宋"/>
        </w:rPr>
        <w:t>0</w:t>
      </w:r>
      <w:r>
        <w:rPr>
          <w:rFonts w:ascii="仿宋" w:eastAsia="仿宋" w:hAnsi="仿宋" w:cs="仿宋"/>
        </w:rPr>
        <w:t>万元，接待</w:t>
      </w:r>
      <w:r>
        <w:rPr>
          <w:rFonts w:ascii="仿宋" w:eastAsia="仿宋" w:hAnsi="仿宋" w:cs="仿宋"/>
        </w:rPr>
        <w:t>0</w:t>
      </w:r>
      <w:r>
        <w:rPr>
          <w:rFonts w:ascii="仿宋" w:eastAsia="仿宋" w:hAnsi="仿宋" w:cs="仿宋"/>
        </w:rPr>
        <w:t>批次，</w:t>
      </w:r>
      <w:r>
        <w:rPr>
          <w:rFonts w:ascii="仿宋" w:eastAsia="仿宋" w:hAnsi="仿宋" w:cs="仿宋"/>
        </w:rPr>
        <w:t>0</w:t>
      </w:r>
      <w:r>
        <w:rPr>
          <w:rFonts w:ascii="仿宋" w:eastAsia="仿宋" w:hAnsi="仿宋" w:cs="仿宋"/>
        </w:rPr>
        <w:t>人次。</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（三）财政拨款会议费支出决算情况说明。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年度财政拨款会议费支出预算</w:t>
      </w:r>
      <w:r>
        <w:rPr>
          <w:rFonts w:ascii="仿宋" w:eastAsia="仿宋" w:hAnsi="仿宋" w:cs="仿宋"/>
        </w:rPr>
        <w:t>0.5</w:t>
      </w:r>
      <w:r>
        <w:rPr>
          <w:rFonts w:ascii="仿宋" w:eastAsia="仿宋" w:hAnsi="仿宋" w:cs="仿宋"/>
        </w:rPr>
        <w:t>万元（其中：一般公共预算支出</w:t>
      </w:r>
      <w:r>
        <w:rPr>
          <w:rFonts w:ascii="仿宋" w:eastAsia="仿宋" w:hAnsi="仿宋" w:cs="仿宋"/>
        </w:rPr>
        <w:t>0.5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0.5</w:t>
      </w:r>
      <w:r>
        <w:rPr>
          <w:rFonts w:ascii="仿宋" w:eastAsia="仿宋" w:hAnsi="仿宋" w:cs="仿宋"/>
        </w:rPr>
        <w:t>万元（其中：一般公共预算支出</w:t>
      </w:r>
      <w:r>
        <w:rPr>
          <w:rFonts w:ascii="仿宋" w:eastAsia="仿宋" w:hAnsi="仿宋" w:cs="仿宋"/>
        </w:rPr>
        <w:t>0.5</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年度全年召开会议</w:t>
      </w:r>
      <w:r>
        <w:rPr>
          <w:rFonts w:ascii="仿宋" w:eastAsia="仿宋" w:hAnsi="仿宋" w:cs="仿宋"/>
        </w:rPr>
        <w:t>1</w:t>
      </w:r>
      <w:r>
        <w:rPr>
          <w:rFonts w:ascii="仿宋" w:eastAsia="仿宋" w:hAnsi="仿宋" w:cs="仿宋"/>
        </w:rPr>
        <w:t>个，参加会议</w:t>
      </w:r>
      <w:r>
        <w:rPr>
          <w:rFonts w:ascii="仿宋" w:eastAsia="仿宋" w:hAnsi="仿宋" w:cs="仿宋"/>
        </w:rPr>
        <w:t>50</w:t>
      </w:r>
      <w:r>
        <w:rPr>
          <w:rFonts w:ascii="仿宋" w:eastAsia="仿宋" w:hAnsi="仿宋" w:cs="仿宋"/>
        </w:rPr>
        <w:t>人次，开支内容：召开燃气安全会议。</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（四）财政拨款培训费支出决算情况说明。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年度财政拨款培训费支出预算</w:t>
      </w:r>
      <w:r>
        <w:rPr>
          <w:rFonts w:ascii="仿宋" w:eastAsia="仿宋" w:hAnsi="仿宋" w:cs="仿宋"/>
        </w:rPr>
        <w:t>0.34</w:t>
      </w:r>
      <w:r>
        <w:rPr>
          <w:rFonts w:ascii="仿宋" w:eastAsia="仿宋" w:hAnsi="仿宋" w:cs="仿宋"/>
        </w:rPr>
        <w:t>万元（其中：一</w:t>
      </w:r>
      <w:r>
        <w:rPr>
          <w:rFonts w:ascii="仿宋" w:eastAsia="仿宋" w:hAnsi="仿宋" w:cs="仿宋"/>
        </w:rPr>
        <w:lastRenderedPageBreak/>
        <w:t>般公共预算支出</w:t>
      </w:r>
      <w:r>
        <w:rPr>
          <w:rFonts w:ascii="仿宋" w:eastAsia="仿宋" w:hAnsi="仿宋" w:cs="仿宋"/>
        </w:rPr>
        <w:t>0.34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万元），支出决算</w:t>
      </w:r>
      <w:r>
        <w:rPr>
          <w:rFonts w:ascii="仿宋" w:eastAsia="仿宋" w:hAnsi="仿宋" w:cs="仿宋"/>
        </w:rPr>
        <w:t>0.34</w:t>
      </w:r>
      <w:r>
        <w:rPr>
          <w:rFonts w:ascii="仿宋" w:eastAsia="仿宋" w:hAnsi="仿宋" w:cs="仿宋"/>
        </w:rPr>
        <w:t>万元（其中：一般公共预算支出</w:t>
      </w:r>
      <w:r>
        <w:rPr>
          <w:rFonts w:ascii="仿宋" w:eastAsia="仿宋" w:hAnsi="仿宋" w:cs="仿宋"/>
        </w:rPr>
        <w:t>0.34</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万元），完成调整后预算的</w:t>
      </w:r>
      <w:r>
        <w:rPr>
          <w:rFonts w:ascii="仿宋" w:eastAsia="仿宋" w:hAnsi="仿宋" w:cs="仿宋"/>
        </w:rPr>
        <w:t>100%</w:t>
      </w:r>
      <w:r>
        <w:rPr>
          <w:rFonts w:ascii="仿宋" w:eastAsia="仿宋" w:hAnsi="仿宋" w:cs="仿宋"/>
        </w:rPr>
        <w:t>，决算数与预算数相同。</w:t>
      </w:r>
      <w:r>
        <w:rPr>
          <w:rFonts w:ascii="仿宋" w:eastAsia="仿宋" w:hAnsi="仿宋" w:cs="仿宋"/>
        </w:rPr>
        <w:t>2023</w:t>
      </w:r>
      <w:r>
        <w:rPr>
          <w:rFonts w:ascii="仿宋" w:eastAsia="仿宋" w:hAnsi="仿宋" w:cs="仿宋"/>
        </w:rPr>
        <w:t>年度全年组织培训</w:t>
      </w:r>
      <w:r>
        <w:rPr>
          <w:rFonts w:ascii="仿宋" w:eastAsia="仿宋" w:hAnsi="仿宋" w:cs="仿宋"/>
        </w:rPr>
        <w:t>3</w:t>
      </w:r>
      <w:r>
        <w:rPr>
          <w:rFonts w:ascii="仿宋" w:eastAsia="仿宋" w:hAnsi="仿宋" w:cs="仿宋"/>
        </w:rPr>
        <w:t>个，组织培训</w:t>
      </w:r>
      <w:r>
        <w:rPr>
          <w:rFonts w:ascii="仿宋" w:eastAsia="仿宋" w:hAnsi="仿宋" w:cs="仿宋"/>
        </w:rPr>
        <w:t>161</w:t>
      </w:r>
      <w:r>
        <w:rPr>
          <w:rFonts w:ascii="仿宋" w:eastAsia="仿宋" w:hAnsi="仿宋" w:cs="仿宋"/>
        </w:rPr>
        <w:t>人次，开支内容：继续教育等。</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十、政府性基金预算财政拨款支出决算情况说明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年度政府性</w:t>
      </w:r>
      <w:r>
        <w:rPr>
          <w:rFonts w:ascii="仿宋" w:eastAsia="仿宋" w:hAnsi="仿宋" w:cs="仿宋"/>
        </w:rPr>
        <w:t>基金预算财政拨款支出决算</w:t>
      </w:r>
      <w:r>
        <w:rPr>
          <w:rFonts w:ascii="仿宋" w:eastAsia="仿宋" w:hAnsi="仿宋" w:cs="仿宋"/>
        </w:rPr>
        <w:t>533.52</w:t>
      </w:r>
      <w:r>
        <w:rPr>
          <w:rFonts w:ascii="仿宋" w:eastAsia="仿宋" w:hAnsi="仿宋" w:cs="仿宋"/>
        </w:rPr>
        <w:t>万元。与上年相比，增加</w:t>
      </w:r>
      <w:r>
        <w:rPr>
          <w:rFonts w:ascii="仿宋" w:eastAsia="仿宋" w:hAnsi="仿宋" w:cs="仿宋"/>
        </w:rPr>
        <w:t>356.92</w:t>
      </w:r>
      <w:r>
        <w:rPr>
          <w:rFonts w:ascii="仿宋" w:eastAsia="仿宋" w:hAnsi="仿宋" w:cs="仿宋"/>
        </w:rPr>
        <w:t>万元，增长</w:t>
      </w:r>
      <w:r>
        <w:rPr>
          <w:rFonts w:ascii="仿宋" w:eastAsia="仿宋" w:hAnsi="仿宋" w:cs="仿宋"/>
        </w:rPr>
        <w:t>202.11%</w:t>
      </w:r>
      <w:r>
        <w:rPr>
          <w:rFonts w:ascii="仿宋" w:eastAsia="仿宋" w:hAnsi="仿宋" w:cs="仿宋"/>
        </w:rPr>
        <w:t>，变动原因：城市基础配套费安排的支出增加。</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十一、国有资本经营预算财政拨款支出决算情况说明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年度国有资本经营预算财政拨款支出决算</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十二、财政拨款机关运行经费支出决算情况说明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年度机关运行经费支出决算</w:t>
      </w:r>
      <w:r>
        <w:rPr>
          <w:rFonts w:ascii="仿宋" w:eastAsia="仿宋" w:hAnsi="仿宋" w:cs="仿宋"/>
        </w:rPr>
        <w:t>0</w:t>
      </w:r>
      <w:r>
        <w:rPr>
          <w:rFonts w:ascii="仿宋" w:eastAsia="仿宋" w:hAnsi="仿宋" w:cs="仿宋"/>
        </w:rPr>
        <w:t>万元（其中：一般公共预算支出</w:t>
      </w:r>
      <w:r>
        <w:rPr>
          <w:rFonts w:ascii="仿宋" w:eastAsia="仿宋" w:hAnsi="仿宋" w:cs="仿宋"/>
        </w:rPr>
        <w:t>0</w:t>
      </w:r>
      <w:r>
        <w:rPr>
          <w:rFonts w:ascii="仿宋" w:eastAsia="仿宋" w:hAnsi="仿宋" w:cs="仿宋"/>
        </w:rPr>
        <w:t>万元；政府性基金预算支出</w:t>
      </w:r>
      <w:r>
        <w:rPr>
          <w:rFonts w:ascii="仿宋" w:eastAsia="仿宋" w:hAnsi="仿宋" w:cs="仿宋"/>
        </w:rPr>
        <w:t>0</w:t>
      </w:r>
      <w:r>
        <w:rPr>
          <w:rFonts w:ascii="仿宋" w:eastAsia="仿宋" w:hAnsi="仿宋" w:cs="仿宋"/>
        </w:rPr>
        <w:t>万元；国有资本经营预算支出</w:t>
      </w:r>
      <w:r>
        <w:rPr>
          <w:rFonts w:ascii="仿宋" w:eastAsia="仿宋" w:hAnsi="仿宋" w:cs="仿宋"/>
        </w:rPr>
        <w:t>0</w:t>
      </w:r>
      <w:r>
        <w:rPr>
          <w:rFonts w:ascii="仿宋" w:eastAsia="仿宋" w:hAnsi="仿宋" w:cs="仿宋"/>
        </w:rPr>
        <w:t>万元）。与上年决算数相同。</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十三、政府采购支出决算情况说明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年度政府采购支出总额</w:t>
      </w:r>
      <w:r>
        <w:rPr>
          <w:rFonts w:ascii="仿宋" w:eastAsia="仿宋" w:hAnsi="仿宋" w:cs="仿宋"/>
        </w:rPr>
        <w:t>51</w:t>
      </w:r>
      <w:r>
        <w:rPr>
          <w:rFonts w:ascii="仿宋" w:eastAsia="仿宋" w:hAnsi="仿宋" w:cs="仿宋"/>
        </w:rPr>
        <w:t>.82</w:t>
      </w:r>
      <w:r>
        <w:rPr>
          <w:rFonts w:ascii="仿宋" w:eastAsia="仿宋" w:hAnsi="仿宋" w:cs="仿宋"/>
        </w:rPr>
        <w:t>万元，其中：政府采购货物支出</w:t>
      </w:r>
      <w:r>
        <w:rPr>
          <w:rFonts w:ascii="仿宋" w:eastAsia="仿宋" w:hAnsi="仿宋" w:cs="仿宋"/>
        </w:rPr>
        <w:t>0</w:t>
      </w:r>
      <w:r>
        <w:rPr>
          <w:rFonts w:ascii="仿宋" w:eastAsia="仿宋" w:hAnsi="仿宋" w:cs="仿宋"/>
        </w:rPr>
        <w:t>万元、政府采购工程支出</w:t>
      </w:r>
      <w:r>
        <w:rPr>
          <w:rFonts w:ascii="仿宋" w:eastAsia="仿宋" w:hAnsi="仿宋" w:cs="仿宋"/>
        </w:rPr>
        <w:t>0</w:t>
      </w:r>
      <w:r>
        <w:rPr>
          <w:rFonts w:ascii="仿宋" w:eastAsia="仿宋" w:hAnsi="仿宋" w:cs="仿宋"/>
        </w:rPr>
        <w:t>万元、政府采购服务支出</w:t>
      </w:r>
      <w:r>
        <w:rPr>
          <w:rFonts w:ascii="仿宋" w:eastAsia="仿宋" w:hAnsi="仿宋" w:cs="仿宋"/>
        </w:rPr>
        <w:t>51.82</w:t>
      </w:r>
      <w:r>
        <w:rPr>
          <w:rFonts w:ascii="仿宋" w:eastAsia="仿宋" w:hAnsi="仿宋" w:cs="仿宋"/>
        </w:rPr>
        <w:t>万元。政府采购授予中小企业合同金额</w:t>
      </w:r>
      <w:r>
        <w:rPr>
          <w:rFonts w:ascii="仿宋" w:eastAsia="仿宋" w:hAnsi="仿宋" w:cs="仿宋"/>
        </w:rPr>
        <w:t>0</w:t>
      </w:r>
      <w:r>
        <w:rPr>
          <w:rFonts w:ascii="仿宋" w:eastAsia="仿宋" w:hAnsi="仿宋" w:cs="仿宋"/>
        </w:rPr>
        <w:t>万元，占政府采购支出总额的</w:t>
      </w:r>
      <w:r>
        <w:rPr>
          <w:rFonts w:ascii="仿宋" w:eastAsia="仿宋" w:hAnsi="仿宋" w:cs="仿宋"/>
        </w:rPr>
        <w:t>0%</w:t>
      </w:r>
      <w:r>
        <w:rPr>
          <w:rFonts w:ascii="仿宋" w:eastAsia="仿宋" w:hAnsi="仿宋" w:cs="仿宋"/>
        </w:rPr>
        <w:t>，其中：授予小微企业合同金额</w:t>
      </w:r>
      <w:r>
        <w:rPr>
          <w:rFonts w:ascii="仿宋" w:eastAsia="仿宋" w:hAnsi="仿宋" w:cs="仿宋"/>
        </w:rPr>
        <w:t>0</w:t>
      </w:r>
      <w:r>
        <w:rPr>
          <w:rFonts w:ascii="仿宋" w:eastAsia="仿宋" w:hAnsi="仿宋" w:cs="仿宋"/>
        </w:rPr>
        <w:t>万元。</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lastRenderedPageBreak/>
        <w:t>十四、国有资产占用情况说明</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截至</w:t>
      </w:r>
      <w:r>
        <w:rPr>
          <w:rFonts w:ascii="仿宋" w:eastAsia="仿宋" w:hAnsi="仿宋" w:cs="仿宋"/>
        </w:rPr>
        <w:t>2023</w:t>
      </w:r>
      <w:r>
        <w:rPr>
          <w:rFonts w:ascii="仿宋" w:eastAsia="仿宋" w:hAnsi="仿宋" w:cs="仿宋"/>
        </w:rPr>
        <w:t>年</w:t>
      </w:r>
      <w:r>
        <w:rPr>
          <w:rFonts w:ascii="仿宋" w:eastAsia="仿宋" w:hAnsi="仿宋" w:cs="仿宋"/>
        </w:rPr>
        <w:t>12</w:t>
      </w:r>
      <w:r>
        <w:rPr>
          <w:rFonts w:ascii="仿宋" w:eastAsia="仿宋" w:hAnsi="仿宋" w:cs="仿宋"/>
        </w:rPr>
        <w:t>月</w:t>
      </w:r>
      <w:r>
        <w:rPr>
          <w:rFonts w:ascii="仿宋" w:eastAsia="仿宋" w:hAnsi="仿宋" w:cs="仿宋"/>
        </w:rPr>
        <w:t>31</w:t>
      </w:r>
      <w:r>
        <w:rPr>
          <w:rFonts w:ascii="仿宋" w:eastAsia="仿宋" w:hAnsi="仿宋" w:cs="仿宋"/>
        </w:rPr>
        <w:t>日，本单位共有车辆</w:t>
      </w:r>
      <w:r>
        <w:rPr>
          <w:rFonts w:ascii="仿宋" w:eastAsia="仿宋" w:hAnsi="仿宋" w:cs="仿宋"/>
        </w:rPr>
        <w:t>19</w:t>
      </w:r>
      <w:r>
        <w:rPr>
          <w:rFonts w:ascii="仿宋" w:eastAsia="仿宋" w:hAnsi="仿宋" w:cs="仿宋"/>
        </w:rPr>
        <w:t>辆，其中：副部</w:t>
      </w:r>
      <w:r>
        <w:rPr>
          <w:rFonts w:ascii="仿宋" w:eastAsia="仿宋" w:hAnsi="仿宋" w:cs="仿宋"/>
        </w:rPr>
        <w:t>(</w:t>
      </w:r>
      <w:r>
        <w:rPr>
          <w:rFonts w:ascii="仿宋" w:eastAsia="仿宋" w:hAnsi="仿宋" w:cs="仿宋"/>
        </w:rPr>
        <w:t>省</w:t>
      </w:r>
      <w:r>
        <w:rPr>
          <w:rFonts w:ascii="仿宋" w:eastAsia="仿宋" w:hAnsi="仿宋" w:cs="仿宋"/>
        </w:rPr>
        <w:t>)</w:t>
      </w:r>
      <w:r>
        <w:rPr>
          <w:rFonts w:ascii="仿宋" w:eastAsia="仿宋" w:hAnsi="仿宋" w:cs="仿宋"/>
        </w:rPr>
        <w:t>级及以上领导用车</w:t>
      </w:r>
      <w:r>
        <w:rPr>
          <w:rFonts w:ascii="仿宋" w:eastAsia="仿宋" w:hAnsi="仿宋" w:cs="仿宋"/>
        </w:rPr>
        <w:t>0</w:t>
      </w:r>
      <w:r>
        <w:rPr>
          <w:rFonts w:ascii="仿宋" w:eastAsia="仿宋" w:hAnsi="仿宋" w:cs="仿宋"/>
        </w:rPr>
        <w:t>辆、主要领导干部用车</w:t>
      </w:r>
      <w:r>
        <w:rPr>
          <w:rFonts w:ascii="仿宋" w:eastAsia="仿宋" w:hAnsi="仿宋" w:cs="仿宋"/>
        </w:rPr>
        <w:t>0</w:t>
      </w:r>
      <w:r>
        <w:rPr>
          <w:rFonts w:ascii="仿宋" w:eastAsia="仿宋" w:hAnsi="仿宋" w:cs="仿宋"/>
        </w:rPr>
        <w:t>辆、机要通信用车</w:t>
      </w:r>
      <w:r>
        <w:rPr>
          <w:rFonts w:ascii="仿宋" w:eastAsia="仿宋" w:hAnsi="仿宋" w:cs="仿宋"/>
        </w:rPr>
        <w:t>0</w:t>
      </w:r>
      <w:r>
        <w:rPr>
          <w:rFonts w:ascii="仿宋" w:eastAsia="仿宋" w:hAnsi="仿宋" w:cs="仿宋"/>
        </w:rPr>
        <w:t>辆、应急保障用车</w:t>
      </w:r>
      <w:r>
        <w:rPr>
          <w:rFonts w:ascii="仿宋" w:eastAsia="仿宋" w:hAnsi="仿宋" w:cs="仿宋"/>
        </w:rPr>
        <w:t>0</w:t>
      </w:r>
      <w:r>
        <w:rPr>
          <w:rFonts w:ascii="仿宋" w:eastAsia="仿宋" w:hAnsi="仿宋" w:cs="仿宋"/>
        </w:rPr>
        <w:t>辆、执法执勤用车</w:t>
      </w:r>
      <w:r>
        <w:rPr>
          <w:rFonts w:ascii="仿宋" w:eastAsia="仿宋" w:hAnsi="仿宋" w:cs="仿宋"/>
        </w:rPr>
        <w:t>0</w:t>
      </w:r>
      <w:r>
        <w:rPr>
          <w:rFonts w:ascii="仿宋" w:eastAsia="仿宋" w:hAnsi="仿宋" w:cs="仿宋"/>
        </w:rPr>
        <w:t>辆、特种专业技术用车</w:t>
      </w:r>
      <w:r>
        <w:rPr>
          <w:rFonts w:ascii="仿宋" w:eastAsia="仿宋" w:hAnsi="仿宋" w:cs="仿宋"/>
        </w:rPr>
        <w:t>0</w:t>
      </w:r>
      <w:r>
        <w:rPr>
          <w:rFonts w:ascii="仿宋" w:eastAsia="仿宋" w:hAnsi="仿宋" w:cs="仿宋"/>
        </w:rPr>
        <w:t>辆、离退休干部用车</w:t>
      </w:r>
      <w:r>
        <w:rPr>
          <w:rFonts w:ascii="仿宋" w:eastAsia="仿宋" w:hAnsi="仿宋" w:cs="仿宋"/>
        </w:rPr>
        <w:t>0</w:t>
      </w:r>
      <w:r>
        <w:rPr>
          <w:rFonts w:ascii="仿宋" w:eastAsia="仿宋" w:hAnsi="仿宋" w:cs="仿宋"/>
        </w:rPr>
        <w:t>辆、其他用车</w:t>
      </w:r>
      <w:r>
        <w:rPr>
          <w:rFonts w:ascii="仿宋" w:eastAsia="仿宋" w:hAnsi="仿宋" w:cs="仿宋"/>
        </w:rPr>
        <w:t>19</w:t>
      </w:r>
      <w:r>
        <w:rPr>
          <w:rFonts w:ascii="仿宋" w:eastAsia="仿宋" w:hAnsi="仿宋" w:cs="仿宋"/>
        </w:rPr>
        <w:t>辆；单价</w:t>
      </w:r>
      <w:r>
        <w:rPr>
          <w:rFonts w:ascii="仿宋" w:eastAsia="仿宋" w:hAnsi="仿宋" w:cs="仿宋"/>
        </w:rPr>
        <w:t>50</w:t>
      </w:r>
      <w:r>
        <w:rPr>
          <w:rFonts w:ascii="仿宋" w:eastAsia="仿宋" w:hAnsi="仿宋" w:cs="仿宋"/>
        </w:rPr>
        <w:t>万元（含）以上的通用设备</w:t>
      </w:r>
      <w:r>
        <w:rPr>
          <w:rFonts w:ascii="仿宋" w:eastAsia="仿宋" w:hAnsi="仿宋" w:cs="仿宋"/>
        </w:rPr>
        <w:t>2</w:t>
      </w:r>
      <w:r>
        <w:rPr>
          <w:rFonts w:ascii="仿宋" w:eastAsia="仿宋" w:hAnsi="仿宋" w:cs="仿宋"/>
        </w:rPr>
        <w:t>台（套），单价</w:t>
      </w:r>
      <w:r>
        <w:rPr>
          <w:rFonts w:ascii="仿宋" w:eastAsia="仿宋" w:hAnsi="仿宋" w:cs="仿宋"/>
        </w:rPr>
        <w:t>100</w:t>
      </w:r>
      <w:r>
        <w:rPr>
          <w:rFonts w:ascii="仿宋" w:eastAsia="仿宋" w:hAnsi="仿宋" w:cs="仿宋"/>
        </w:rPr>
        <w:t>万元（含）以</w:t>
      </w:r>
      <w:r>
        <w:rPr>
          <w:rFonts w:ascii="仿宋" w:eastAsia="仿宋" w:hAnsi="仿宋" w:cs="仿宋"/>
        </w:rPr>
        <w:t>上的专用设备</w:t>
      </w:r>
      <w:r>
        <w:rPr>
          <w:rFonts w:ascii="仿宋" w:eastAsia="仿宋" w:hAnsi="仿宋" w:cs="仿宋"/>
        </w:rPr>
        <w:t>0</w:t>
      </w:r>
      <w:r>
        <w:rPr>
          <w:rFonts w:ascii="仿宋" w:eastAsia="仿宋" w:hAnsi="仿宋" w:cs="仿宋"/>
        </w:rPr>
        <w:t>台（套）。</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62"/>
        <w:jc w:val="both"/>
        <w:rPr>
          <w:rFonts w:ascii="仿宋" w:eastAsia="仿宋" w:hAnsi="仿宋" w:cs="仿宋"/>
          <w:lang w:val="en-US"/>
        </w:rPr>
      </w:pPr>
      <w:r>
        <w:rPr>
          <w:rFonts w:ascii="仿宋" w:eastAsia="仿宋" w:hAnsi="仿宋" w:cs="仿宋"/>
          <w:b/>
        </w:rPr>
        <w:t>十五、预算绩效评价工作开展情况</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2023</w:t>
      </w:r>
      <w:r>
        <w:rPr>
          <w:rFonts w:ascii="仿宋" w:eastAsia="仿宋" w:hAnsi="仿宋" w:cs="仿宋"/>
        </w:rPr>
        <w:t>年度，本单位共</w:t>
      </w:r>
      <w:r>
        <w:rPr>
          <w:rFonts w:ascii="仿宋" w:eastAsia="仿宋" w:hAnsi="仿宋" w:cs="仿宋"/>
        </w:rPr>
        <w:t>0</w:t>
      </w:r>
      <w:r>
        <w:rPr>
          <w:rFonts w:ascii="仿宋" w:eastAsia="仿宋" w:hAnsi="仿宋" w:cs="仿宋"/>
        </w:rPr>
        <w:t>个项目开展了财政重点绩效评价，涉及财政性资金合计</w:t>
      </w:r>
      <w:r>
        <w:rPr>
          <w:rFonts w:ascii="仿宋" w:eastAsia="仿宋" w:hAnsi="仿宋" w:cs="仿宋"/>
        </w:rPr>
        <w:t>0</w:t>
      </w:r>
      <w:r>
        <w:rPr>
          <w:rFonts w:ascii="仿宋" w:eastAsia="仿宋" w:hAnsi="仿宋" w:cs="仿宋"/>
        </w:rPr>
        <w:t>万元；本单位未开展单位整体支出财政重点绩效评价，涉及财政性资金</w:t>
      </w:r>
      <w:r>
        <w:rPr>
          <w:rFonts w:ascii="仿宋" w:eastAsia="仿宋" w:hAnsi="仿宋" w:cs="仿宋"/>
        </w:rPr>
        <w:t>0</w:t>
      </w:r>
      <w:r>
        <w:rPr>
          <w:rFonts w:ascii="仿宋" w:eastAsia="仿宋" w:hAnsi="仿宋" w:cs="仿宋"/>
        </w:rPr>
        <w:t>万元。</w:t>
      </w:r>
    </w:p>
    <w:p w:rsidR="005C2FD0" w:rsidRDefault="006026FB">
      <w:pPr>
        <w:pStyle w:val="a4"/>
        <w:tabs>
          <w:tab w:val="left" w:pos="3864"/>
          <w:tab w:val="left" w:pos="6248"/>
          <w:tab w:val="left" w:pos="7386"/>
        </w:tabs>
        <w:overflowPunct w:val="0"/>
        <w:spacing w:before="1" w:line="360" w:lineRule="auto"/>
        <w:ind w:leftChars="200" w:left="462" w:right="420" w:firstLineChars="206" w:firstLine="659"/>
        <w:jc w:val="both"/>
        <w:rPr>
          <w:rFonts w:ascii="仿宋" w:eastAsia="仿宋" w:hAnsi="仿宋" w:cs="仿宋"/>
          <w:lang w:val="en-US"/>
        </w:rPr>
      </w:pPr>
      <w:r>
        <w:rPr>
          <w:rFonts w:ascii="仿宋" w:eastAsia="仿宋" w:hAnsi="仿宋" w:cs="仿宋"/>
        </w:rPr>
        <w:t>本单位共对</w:t>
      </w:r>
      <w:r>
        <w:rPr>
          <w:rFonts w:ascii="仿宋" w:eastAsia="仿宋" w:hAnsi="仿宋" w:cs="仿宋"/>
        </w:rPr>
        <w:t>2023</w:t>
      </w:r>
      <w:r>
        <w:rPr>
          <w:rFonts w:ascii="仿宋" w:eastAsia="仿宋" w:hAnsi="仿宋" w:cs="仿宋"/>
        </w:rPr>
        <w:t>年度已实施完成的</w:t>
      </w:r>
      <w:r>
        <w:rPr>
          <w:rFonts w:ascii="仿宋" w:eastAsia="仿宋" w:hAnsi="仿宋" w:cs="仿宋"/>
        </w:rPr>
        <w:t>5</w:t>
      </w:r>
      <w:r>
        <w:rPr>
          <w:rFonts w:ascii="仿宋" w:eastAsia="仿宋" w:hAnsi="仿宋" w:cs="仿宋"/>
        </w:rPr>
        <w:t>个项目开展了绩效自评价，涉及财政性资金合计</w:t>
      </w:r>
      <w:r>
        <w:rPr>
          <w:rFonts w:ascii="仿宋" w:eastAsia="仿宋" w:hAnsi="仿宋" w:cs="仿宋"/>
        </w:rPr>
        <w:t>1,970.84</w:t>
      </w:r>
      <w:r>
        <w:rPr>
          <w:rFonts w:ascii="仿宋" w:eastAsia="仿宋" w:hAnsi="仿宋" w:cs="仿宋"/>
        </w:rPr>
        <w:t>万元；本单位共开展</w:t>
      </w:r>
      <w:r>
        <w:rPr>
          <w:rFonts w:ascii="仿宋" w:eastAsia="仿宋" w:hAnsi="仿宋" w:cs="仿宋"/>
        </w:rPr>
        <w:t>1</w:t>
      </w:r>
      <w:r>
        <w:rPr>
          <w:rFonts w:ascii="仿宋" w:eastAsia="仿宋" w:hAnsi="仿宋" w:cs="仿宋"/>
        </w:rPr>
        <w:t>项单位整体支出绩效自评价，涉及财政性资金合计</w:t>
      </w:r>
      <w:r>
        <w:rPr>
          <w:rFonts w:ascii="仿宋" w:eastAsia="仿宋" w:hAnsi="仿宋" w:cs="仿宋"/>
        </w:rPr>
        <w:t>5,300.81</w:t>
      </w:r>
      <w:r>
        <w:rPr>
          <w:rFonts w:ascii="仿宋" w:eastAsia="仿宋" w:hAnsi="仿宋" w:cs="仿宋"/>
        </w:rPr>
        <w:t>万元。</w:t>
      </w:r>
    </w:p>
    <w:p w:rsidR="005C2FD0" w:rsidRDefault="006026FB">
      <w:pPr>
        <w:pStyle w:val="4"/>
        <w:tabs>
          <w:tab w:val="left" w:pos="3077"/>
        </w:tabs>
        <w:spacing w:line="616" w:lineRule="exact"/>
        <w:rPr>
          <w:rFonts w:ascii="宋体" w:eastAsia="宋体" w:hAnsi="宋体" w:cs="宋体"/>
          <w:b/>
          <w:bCs/>
        </w:rPr>
      </w:pPr>
      <w:r>
        <w:rPr>
          <w:rFonts w:ascii="宋体" w:eastAsia="宋体" w:hAnsi="宋体" w:cs="宋体" w:hint="eastAsia"/>
          <w:b/>
          <w:bCs/>
        </w:rPr>
        <w:t>第四部分</w:t>
      </w:r>
      <w:r>
        <w:rPr>
          <w:rFonts w:ascii="宋体" w:eastAsia="宋体" w:hAnsi="宋体" w:cs="宋体" w:hint="eastAsia"/>
          <w:b/>
          <w:bCs/>
        </w:rPr>
        <w:t xml:space="preserve"> </w:t>
      </w:r>
      <w:r>
        <w:rPr>
          <w:rFonts w:ascii="宋体" w:eastAsia="宋体" w:hAnsi="宋体" w:cs="宋体" w:hint="eastAsia"/>
          <w:b/>
          <w:bCs/>
        </w:rPr>
        <w:t>名词</w:t>
      </w:r>
      <w:r>
        <w:rPr>
          <w:rFonts w:ascii="宋体" w:eastAsia="宋体" w:hAnsi="宋体" w:cs="宋体" w:hint="eastAsia"/>
          <w:b/>
          <w:bCs/>
          <w:color w:val="000000"/>
          <w:lang w:eastAsia="ar-SA"/>
        </w:rPr>
        <w:t>解释</w:t>
      </w:r>
    </w:p>
    <w:p w:rsidR="005C2FD0" w:rsidRDefault="005C2FD0">
      <w:pPr>
        <w:pStyle w:val="a4"/>
        <w:tabs>
          <w:tab w:val="left" w:pos="3864"/>
          <w:tab w:val="left" w:pos="6248"/>
          <w:tab w:val="left" w:pos="7386"/>
        </w:tabs>
        <w:ind w:leftChars="200" w:left="462" w:firstLineChars="206" w:firstLine="659"/>
        <w:jc w:val="both"/>
        <w:rPr>
          <w:rFonts w:ascii="仿宋" w:eastAsia="仿宋" w:hAnsi="仿宋" w:cs="仿宋"/>
        </w:rPr>
      </w:pP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一、财政拨款收入</w:t>
      </w:r>
      <w:r>
        <w:rPr>
          <w:rFonts w:ascii="仿宋" w:eastAsia="仿宋" w:hAnsi="仿宋" w:cs="仿宋"/>
          <w:b/>
        </w:rPr>
        <w:t>：</w:t>
      </w:r>
      <w:r>
        <w:rPr>
          <w:rFonts w:ascii="仿宋" w:eastAsia="仿宋" w:hAnsi="仿宋" w:cs="仿宋" w:hint="eastAsia"/>
        </w:rPr>
        <w:t>指单位从同级财政部门取得的各类财政拨款，包括一般公共预算财政拨款、政府性基金预算财政拨款、国有资本经营预算财政拨款。</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二、上级补助收入</w:t>
      </w:r>
      <w:r>
        <w:rPr>
          <w:rFonts w:ascii="仿宋" w:eastAsia="仿宋" w:hAnsi="仿宋" w:cs="仿宋"/>
          <w:b/>
        </w:rPr>
        <w:t>：</w:t>
      </w:r>
      <w:r>
        <w:rPr>
          <w:rFonts w:ascii="仿宋" w:eastAsia="仿宋" w:hAnsi="仿宋" w:cs="仿宋" w:hint="eastAsia"/>
        </w:rPr>
        <w:t>指事业单位从主管部门和上级单位取得的非财政补助收入。</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三、财政专户管理教育收费</w:t>
      </w:r>
      <w:r>
        <w:rPr>
          <w:rFonts w:ascii="仿宋" w:eastAsia="仿宋" w:hAnsi="仿宋" w:cs="仿宋"/>
          <w:b/>
        </w:rPr>
        <w:t>：</w:t>
      </w:r>
      <w:r>
        <w:rPr>
          <w:rFonts w:ascii="仿宋" w:eastAsia="仿宋" w:hAnsi="仿宋" w:cs="仿宋" w:hint="eastAsia"/>
        </w:rPr>
        <w:t>指缴入财政专户、实行专项</w:t>
      </w:r>
      <w:r>
        <w:rPr>
          <w:rFonts w:ascii="仿宋" w:eastAsia="仿宋" w:hAnsi="仿宋" w:cs="仿宋" w:hint="eastAsia"/>
        </w:rPr>
        <w:lastRenderedPageBreak/>
        <w:t>管理的高中以上学费、住宿费、高校委托培养费、函大、电大、夜大及短训班培训费等教育收费。</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四、事业收入</w:t>
      </w:r>
      <w:r>
        <w:rPr>
          <w:rFonts w:ascii="仿宋" w:eastAsia="仿宋" w:hAnsi="仿宋" w:cs="仿宋"/>
          <w:b/>
        </w:rPr>
        <w:t>：</w:t>
      </w:r>
      <w:r>
        <w:rPr>
          <w:rFonts w:ascii="仿宋" w:eastAsia="仿宋" w:hAnsi="仿宋" w:cs="仿宋" w:hint="eastAsia"/>
        </w:rPr>
        <w:t>指事业单位开展专业业务活动及其辅助活动取得的收入。</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五、经营收入</w:t>
      </w:r>
      <w:r>
        <w:rPr>
          <w:rFonts w:ascii="仿宋" w:eastAsia="仿宋" w:hAnsi="仿宋" w:cs="仿宋"/>
          <w:b/>
        </w:rPr>
        <w:t>：</w:t>
      </w:r>
      <w:r>
        <w:rPr>
          <w:rFonts w:ascii="仿宋" w:eastAsia="仿宋" w:hAnsi="仿宋" w:cs="仿宋" w:hint="eastAsia"/>
        </w:rPr>
        <w:t>指事业单位在专业业务活动及其辅助活动之外开展非独立核算经营活动取得的收入。</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六、附属单位上缴收入</w:t>
      </w:r>
      <w:r>
        <w:rPr>
          <w:rFonts w:ascii="仿宋" w:eastAsia="仿宋" w:hAnsi="仿宋" w:cs="仿宋"/>
          <w:b/>
        </w:rPr>
        <w:t>：</w:t>
      </w:r>
      <w:r>
        <w:rPr>
          <w:rFonts w:ascii="仿宋" w:eastAsia="仿宋" w:hAnsi="仿宋" w:cs="仿宋" w:hint="eastAsia"/>
        </w:rPr>
        <w:t>指事业</w:t>
      </w:r>
      <w:r>
        <w:rPr>
          <w:rFonts w:ascii="仿宋" w:eastAsia="仿宋" w:hAnsi="仿宋" w:cs="仿宋" w:hint="eastAsia"/>
        </w:rPr>
        <w:t>单位附属独立核算单位按照有关规定上缴的收入。</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七、其他收入</w:t>
      </w:r>
      <w:r>
        <w:rPr>
          <w:rFonts w:ascii="仿宋" w:eastAsia="仿宋" w:hAnsi="仿宋" w:cs="仿宋"/>
          <w:b/>
        </w:rPr>
        <w:t>：</w:t>
      </w:r>
      <w:r>
        <w:rPr>
          <w:rFonts w:ascii="仿宋" w:eastAsia="仿宋" w:hAnsi="仿宋" w:cs="仿宋" w:hint="eastAsia"/>
        </w:rPr>
        <w:t>指单位取得的除上述“财政拨款收入”、</w:t>
      </w:r>
      <w:r>
        <w:rPr>
          <w:rFonts w:ascii="仿宋" w:eastAsia="仿宋" w:hAnsi="仿宋" w:cs="仿宋" w:hint="eastAsia"/>
        </w:rPr>
        <w:t xml:space="preserve"> </w:t>
      </w:r>
      <w:r>
        <w:rPr>
          <w:rFonts w:ascii="仿宋" w:eastAsia="仿宋" w:hAnsi="仿宋" w:cs="仿宋" w:hint="eastAsia"/>
        </w:rPr>
        <w:t>“上级补助收入”、“事业收入”、“经营收入”、“附属单位上缴收入”等以外的各项收入。</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八、使用非财政拨款结余</w:t>
      </w:r>
      <w:r>
        <w:rPr>
          <w:rFonts w:ascii="仿宋" w:eastAsia="仿宋" w:hAnsi="仿宋" w:cs="仿宋"/>
          <w:b/>
        </w:rPr>
        <w:t>：</w:t>
      </w:r>
      <w:r>
        <w:rPr>
          <w:rFonts w:ascii="仿宋" w:eastAsia="仿宋" w:hAnsi="仿宋" w:cs="仿宋" w:hint="eastAsia"/>
        </w:rPr>
        <w:t>指事业单位按照预算管理要求使用非财政拨款结余（原事业基金）弥补当年收支差额的数额。</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九、年初结转和结余</w:t>
      </w:r>
      <w:r>
        <w:rPr>
          <w:rFonts w:ascii="仿宋" w:eastAsia="仿宋" w:hAnsi="仿宋" w:cs="仿宋"/>
          <w:b/>
        </w:rPr>
        <w:t>：</w:t>
      </w:r>
      <w:r>
        <w:rPr>
          <w:rFonts w:ascii="仿宋" w:eastAsia="仿宋" w:hAnsi="仿宋" w:cs="仿宋" w:hint="eastAsia"/>
        </w:rPr>
        <w:t>指单位上年结转本年使用的基本支出结转、项目支出结转和结余、经营结余。</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十、结余分配</w:t>
      </w:r>
      <w:r>
        <w:rPr>
          <w:rFonts w:ascii="仿宋" w:eastAsia="仿宋" w:hAnsi="仿宋" w:cs="仿宋"/>
          <w:b/>
        </w:rPr>
        <w:t>：</w:t>
      </w:r>
      <w:r>
        <w:rPr>
          <w:rFonts w:ascii="仿宋" w:eastAsia="仿宋" w:hAnsi="仿宋" w:cs="仿宋" w:hint="eastAsia"/>
        </w:rPr>
        <w:t>指事业单位按规定缴纳的所得税以及从非财政拨款结余中提取各类结余的情况。</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十一、年末结转和结余资金</w:t>
      </w:r>
      <w:r>
        <w:rPr>
          <w:rFonts w:ascii="仿宋" w:eastAsia="仿宋" w:hAnsi="仿宋" w:cs="仿宋"/>
          <w:b/>
        </w:rPr>
        <w:t>：</w:t>
      </w:r>
      <w:r>
        <w:rPr>
          <w:rFonts w:ascii="仿宋" w:eastAsia="仿宋" w:hAnsi="仿宋" w:cs="仿宋" w:hint="eastAsia"/>
        </w:rPr>
        <w:t>指单位结转下年的基</w:t>
      </w:r>
      <w:r>
        <w:rPr>
          <w:rFonts w:ascii="仿宋" w:eastAsia="仿宋" w:hAnsi="仿宋" w:cs="仿宋" w:hint="eastAsia"/>
        </w:rPr>
        <w:t>本支出结转、项目支出结转和结余、经营结余。</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十二、基本支出</w:t>
      </w:r>
      <w:r>
        <w:rPr>
          <w:rFonts w:ascii="仿宋" w:eastAsia="仿宋" w:hAnsi="仿宋" w:cs="仿宋"/>
          <w:b/>
        </w:rPr>
        <w:t>：</w:t>
      </w:r>
      <w:r>
        <w:rPr>
          <w:rFonts w:ascii="仿宋" w:eastAsia="仿宋" w:hAnsi="仿宋" w:cs="仿宋" w:hint="eastAsia"/>
        </w:rPr>
        <w:t>指为保障机构正常运转、完成日常工作任务所发生的支出，包括人员经费和公用经费。</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十三、项目支出</w:t>
      </w:r>
      <w:r>
        <w:rPr>
          <w:rFonts w:ascii="仿宋" w:eastAsia="仿宋" w:hAnsi="仿宋" w:cs="仿宋"/>
          <w:b/>
        </w:rPr>
        <w:t>：</w:t>
      </w:r>
      <w:r>
        <w:rPr>
          <w:rFonts w:ascii="仿宋" w:eastAsia="仿宋" w:hAnsi="仿宋" w:cs="仿宋" w:hint="eastAsia"/>
        </w:rPr>
        <w:t>指在为完成特定的工作任务和事业发展目标所发生的支出。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十四、上缴上级支出</w:t>
      </w:r>
      <w:r>
        <w:rPr>
          <w:rFonts w:ascii="仿宋" w:eastAsia="仿宋" w:hAnsi="仿宋" w:cs="仿宋"/>
          <w:b/>
        </w:rPr>
        <w:t>：</w:t>
      </w:r>
      <w:r>
        <w:rPr>
          <w:rFonts w:ascii="仿宋" w:eastAsia="仿宋" w:hAnsi="仿宋" w:cs="仿宋" w:hint="eastAsia"/>
        </w:rPr>
        <w:t>指事业单位按照财政部门和主管部门的规定上缴上级单位的支出。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十五、经营支出</w:t>
      </w:r>
      <w:r>
        <w:rPr>
          <w:rFonts w:ascii="仿宋" w:eastAsia="仿宋" w:hAnsi="仿宋" w:cs="仿宋"/>
          <w:b/>
        </w:rPr>
        <w:t>：</w:t>
      </w:r>
      <w:r>
        <w:rPr>
          <w:rFonts w:ascii="仿宋" w:eastAsia="仿宋" w:hAnsi="仿宋" w:cs="仿宋" w:hint="eastAsia"/>
        </w:rPr>
        <w:t>指事业单位在专业业务活动及其辅助活动之外开展非独立核算经营活动发生的支出。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十六、对附属单位补助支出</w:t>
      </w:r>
      <w:r>
        <w:rPr>
          <w:rFonts w:ascii="仿宋" w:eastAsia="仿宋" w:hAnsi="仿宋" w:cs="仿宋"/>
          <w:b/>
        </w:rPr>
        <w:t>：</w:t>
      </w:r>
      <w:r>
        <w:rPr>
          <w:rFonts w:ascii="仿宋" w:eastAsia="仿宋" w:hAnsi="仿宋" w:cs="仿宋" w:hint="eastAsia"/>
        </w:rPr>
        <w:t>指事业单位用财政拨款收入之外的收入对附属单位补助发生的支出。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十七、“三公”经费</w:t>
      </w:r>
      <w:r>
        <w:rPr>
          <w:rFonts w:ascii="仿宋" w:eastAsia="仿宋" w:hAnsi="仿宋" w:cs="仿宋"/>
          <w:b/>
        </w:rPr>
        <w:t>：</w:t>
      </w:r>
      <w:r>
        <w:rPr>
          <w:rFonts w:ascii="仿宋" w:eastAsia="仿宋" w:hAnsi="仿宋" w:cs="仿宋" w:hint="eastAsia"/>
        </w:rPr>
        <w:t>指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牌照费）以及按规定保留的公务用车燃料费、维修费、过路过桥费、保险费、安全奖励费用等支出；公务接待费反映单位按规定开支的各类公务接待（含外宾接待）费用。</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十八、机关运行经费</w:t>
      </w:r>
      <w:r>
        <w:rPr>
          <w:rFonts w:ascii="仿宋" w:eastAsia="仿宋" w:hAnsi="仿宋" w:cs="仿宋"/>
          <w:b/>
        </w:rPr>
        <w:t>：</w:t>
      </w:r>
      <w:r>
        <w:rPr>
          <w:rFonts w:ascii="仿宋" w:eastAsia="仿宋" w:hAnsi="仿宋" w:cs="仿宋" w:hint="eastAsia"/>
        </w:rPr>
        <w:t>指行政单位（含参照公务员法管理的事业单位）使用财政拨款安排的基本支出中的公用经费支出，</w:t>
      </w:r>
      <w:r>
        <w:rPr>
          <w:rFonts w:ascii="仿宋" w:eastAsia="仿宋" w:hAnsi="仿宋" w:cs="仿宋" w:hint="eastAsia"/>
        </w:rPr>
        <w:t>包括办公及印刷费、邮电费、差旅费、会议费、福利费、日常维修费、专用材料及一般设备购置费、办公用房水电费、办公用房取暖费、办公用房物业管理费、公务用车运行维护费及其他费用。</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lastRenderedPageBreak/>
        <w:t>十九、社会保障和就业支出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行政事业单位养老支出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事业单位离退休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反映事业单位开支的离退休经费。</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二十、卫生健康支出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行政事业单位医疗</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公务员医疗补助</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反映财政部门安排的公务员医疗补助经费。</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二十一、城乡社区支出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一般行政管理事务</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反映行政单位（包括实行公务员管理的事业单位）未单独</w:t>
      </w:r>
      <w:r>
        <w:rPr>
          <w:rFonts w:ascii="仿宋" w:eastAsia="仿宋" w:hAnsi="仿宋" w:cs="仿宋" w:hint="eastAsia"/>
        </w:rPr>
        <w:t>设置项级科目的其他项目支出。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二十二、城乡社区支出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城乡社区管理事务</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其他城乡社区管理事务支出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反映除上述项目以外其他用于城乡社区管理事务方面的支出。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二十三、城乡社区支出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城市基础设施配套费安排的支出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其他城市基础设施配套费安排的支出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反映上述项目以外的城市基础设施配套费支出。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二十四、城乡社区支出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其他城乡社区支出</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反映除上述项目以外其他用于城乡社区方面的支出。</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二十五、住房保障支出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住房公积金</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反映行政事业单位按人力资源和社会保障部、财政部规定的基本工资和津贴补贴以及规定比例为职工缴纳的住房公积金。</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二十六、住房保障支出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提租补贴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反映按房改政策规定的标准，行政事业单位向职工（含</w:t>
      </w:r>
      <w:r>
        <w:rPr>
          <w:rFonts w:ascii="仿宋" w:eastAsia="仿宋" w:hAnsi="仿宋" w:cs="仿宋" w:hint="eastAsia"/>
        </w:rPr>
        <w:lastRenderedPageBreak/>
        <w:t>离退休人员）发放的租金补贴。</w:t>
      </w:r>
    </w:p>
    <w:p w:rsidR="005C2FD0" w:rsidRDefault="006026FB">
      <w:pPr>
        <w:pStyle w:val="a4"/>
        <w:tabs>
          <w:tab w:val="left" w:pos="3864"/>
          <w:tab w:val="left" w:pos="6248"/>
          <w:tab w:val="left" w:pos="7386"/>
        </w:tabs>
        <w:spacing w:line="360" w:lineRule="auto"/>
        <w:ind w:leftChars="200" w:left="462" w:rightChars="229" w:right="529" w:firstLineChars="206" w:firstLine="662"/>
        <w:jc w:val="both"/>
        <w:rPr>
          <w:rFonts w:ascii="仿宋" w:eastAsia="仿宋" w:hAnsi="仿宋" w:cs="仿宋"/>
        </w:rPr>
      </w:pPr>
      <w:r>
        <w:rPr>
          <w:rFonts w:ascii="仿宋" w:eastAsia="仿宋" w:hAnsi="仿宋" w:cs="仿宋" w:hint="eastAsia"/>
          <w:b/>
          <w:bCs/>
        </w:rPr>
        <w:t>二十七、住房保障支出</w:t>
      </w:r>
      <w:r>
        <w:rPr>
          <w:rFonts w:ascii="仿宋" w:eastAsia="仿宋" w:hAnsi="仿宋" w:cs="仿宋" w:hint="eastAsia"/>
          <w:b/>
          <w:bCs/>
        </w:rPr>
        <w:t>(</w:t>
      </w:r>
      <w:r>
        <w:rPr>
          <w:rFonts w:ascii="仿宋" w:eastAsia="仿宋" w:hAnsi="仿宋" w:cs="仿宋" w:hint="eastAsia"/>
          <w:b/>
          <w:bCs/>
        </w:rPr>
        <w:t>类</w:t>
      </w:r>
      <w:r>
        <w:rPr>
          <w:rFonts w:ascii="仿宋" w:eastAsia="仿宋" w:hAnsi="仿宋" w:cs="仿宋" w:hint="eastAsia"/>
          <w:b/>
          <w:bCs/>
        </w:rPr>
        <w:t>)</w:t>
      </w:r>
      <w:r>
        <w:rPr>
          <w:rFonts w:ascii="仿宋" w:eastAsia="仿宋" w:hAnsi="仿宋" w:cs="仿宋" w:hint="eastAsia"/>
          <w:b/>
          <w:bCs/>
        </w:rPr>
        <w:t>住房改革支出</w:t>
      </w:r>
      <w:r>
        <w:rPr>
          <w:rFonts w:ascii="仿宋" w:eastAsia="仿宋" w:hAnsi="仿宋" w:cs="仿宋" w:hint="eastAsia"/>
          <w:b/>
          <w:bCs/>
        </w:rPr>
        <w:t>(</w:t>
      </w:r>
      <w:r>
        <w:rPr>
          <w:rFonts w:ascii="仿宋" w:eastAsia="仿宋" w:hAnsi="仿宋" w:cs="仿宋" w:hint="eastAsia"/>
          <w:b/>
          <w:bCs/>
        </w:rPr>
        <w:t>款</w:t>
      </w:r>
      <w:r>
        <w:rPr>
          <w:rFonts w:ascii="仿宋" w:eastAsia="仿宋" w:hAnsi="仿宋" w:cs="仿宋" w:hint="eastAsia"/>
          <w:b/>
          <w:bCs/>
        </w:rPr>
        <w:t>)</w:t>
      </w:r>
      <w:r>
        <w:rPr>
          <w:rFonts w:ascii="仿宋" w:eastAsia="仿宋" w:hAnsi="仿宋" w:cs="仿宋" w:hint="eastAsia"/>
          <w:b/>
          <w:bCs/>
        </w:rPr>
        <w:t>购房补贴</w:t>
      </w:r>
      <w:r>
        <w:rPr>
          <w:rFonts w:ascii="仿宋" w:eastAsia="仿宋" w:hAnsi="仿宋" w:cs="仿宋" w:hint="eastAsia"/>
          <w:b/>
          <w:bCs/>
        </w:rPr>
        <w:t>(</w:t>
      </w:r>
      <w:r>
        <w:rPr>
          <w:rFonts w:ascii="仿宋" w:eastAsia="仿宋" w:hAnsi="仿宋" w:cs="仿宋" w:hint="eastAsia"/>
          <w:b/>
          <w:bCs/>
        </w:rPr>
        <w:t>项</w:t>
      </w:r>
      <w:r>
        <w:rPr>
          <w:rFonts w:ascii="仿宋" w:eastAsia="仿宋" w:hAnsi="仿宋" w:cs="仿宋" w:hint="eastAsia"/>
          <w:b/>
          <w:bCs/>
        </w:rPr>
        <w:t>)</w:t>
      </w:r>
      <w:r>
        <w:rPr>
          <w:rFonts w:ascii="仿宋" w:eastAsia="仿宋" w:hAnsi="仿宋" w:cs="仿宋"/>
          <w:b/>
        </w:rPr>
        <w:t>：</w:t>
      </w:r>
      <w:r>
        <w:rPr>
          <w:rFonts w:ascii="仿宋" w:eastAsia="仿宋" w:hAnsi="仿宋" w:cs="仿宋" w:hint="eastAsia"/>
        </w:rPr>
        <w:t>反映按房改政策规定，行政事业单位向符合条件职工（含离退休人员）、军队</w:t>
      </w:r>
      <w:r>
        <w:rPr>
          <w:rFonts w:ascii="仿宋" w:eastAsia="仿宋" w:hAnsi="仿宋" w:cs="仿宋" w:hint="eastAsia"/>
        </w:rPr>
        <w:t>(</w:t>
      </w:r>
      <w:r>
        <w:rPr>
          <w:rFonts w:ascii="仿宋" w:eastAsia="仿宋" w:hAnsi="仿宋" w:cs="仿宋" w:hint="eastAsia"/>
        </w:rPr>
        <w:t>含武警</w:t>
      </w:r>
      <w:r>
        <w:rPr>
          <w:rFonts w:ascii="仿宋" w:eastAsia="仿宋" w:hAnsi="仿宋" w:cs="仿宋" w:hint="eastAsia"/>
        </w:rPr>
        <w:t>)</w:t>
      </w:r>
      <w:r>
        <w:rPr>
          <w:rFonts w:ascii="仿宋" w:eastAsia="仿宋" w:hAnsi="仿宋" w:cs="仿宋" w:hint="eastAsia"/>
        </w:rPr>
        <w:t>向转役复员离退休人员发放的用于购买住房的补贴。</w:t>
      </w:r>
    </w:p>
    <w:sectPr w:rsidR="005C2FD0">
      <w:pgSz w:w="11906" w:h="16838"/>
      <w:pgMar w:top="1440" w:right="1080" w:bottom="1440" w:left="1080" w:header="170" w:footer="280" w:gutter="0"/>
      <w:pgNumType w:fmt="numberInDash"/>
      <w:cols w:space="720"/>
      <w:formProt w:val="0"/>
      <w:docGrid w:linePitch="10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6FB" w:rsidRDefault="006026FB">
      <w:r>
        <w:separator/>
      </w:r>
    </w:p>
  </w:endnote>
  <w:endnote w:type="continuationSeparator" w:id="0">
    <w:p w:rsidR="006026FB" w:rsidRDefault="0060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6"/>
    <w:family w:val="roman"/>
    <w:pitch w:val="default"/>
    <w:sig w:usb0="00000000" w:usb1="00000000" w:usb2="0000003F" w:usb3="00000000" w:csb0="603F01FF" w:csb1="FFFF0000"/>
  </w:font>
  <w:font w:name="Liberation Sans">
    <w:altName w:val="宋体"/>
    <w:charset w:val="86"/>
    <w:family w:val="roman"/>
    <w:pitch w:val="default"/>
    <w:sig w:usb0="00000000" w:usb1="00000000" w:usb2="00000021" w:usb3="00000000" w:csb0="600001BF" w:csb1="DFF70000"/>
  </w:font>
  <w:font w:name="Liberation Mono">
    <w:altName w:val="宋体"/>
    <w:charset w:val="86"/>
    <w:family w:val="roman"/>
    <w:pitch w:val="default"/>
    <w:sig w:usb0="00000000" w:usb1="00000000" w:usb2="00000001" w:usb3="00000000" w:csb0="600001BF" w:csb1="DFF70000"/>
  </w:font>
  <w:font w:name="新宋体">
    <w:panose1 w:val="02010609030101010101"/>
    <w:charset w:val="86"/>
    <w:family w:val="modern"/>
    <w:pitch w:val="fixed"/>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73" type="#_x0000_t202" style="position:absolute;left:0;text-align:left;margin-left:0;margin-top:0;width:2in;height:2in;z-index:251651584;mso-wrap-style:none;mso-position-horizontal:center;mso-position-horizontal-relative:margin;mso-width-relative:page;mso-height-relative:page" filled="f" stroked="f">
          <v:textbox style="mso-fit-shape-to-text:t" inset="0,0,0,0">
            <w:txbxContent>
              <w:p w:rsidR="005C2FD0" w:rsidRDefault="006026FB">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B227D4">
                  <w:rPr>
                    <w:rFonts w:ascii="黑体" w:eastAsia="黑体" w:hAnsi="黑体" w:cs="黑体"/>
                    <w:noProof/>
                  </w:rPr>
                  <w:t>- 1 -</w:t>
                </w:r>
                <w:r>
                  <w:rPr>
                    <w:rFonts w:ascii="黑体" w:eastAsia="黑体" w:hAnsi="黑体" w:cs="黑体" w:hint="eastAsia"/>
                  </w:rPr>
                  <w:fldChar w:fldCharType="end"/>
                </w:r>
              </w:p>
            </w:txbxContent>
          </v:textbox>
          <w10:wrap anchorx="margin"/>
        </v:shape>
      </w:pic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0" type="#_x0000_t202" style="position:absolute;left:0;text-align:left;margin-left:0;margin-top:0;width:2in;height:2in;z-index:251660800;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- 20 -</w:t>
                </w:r>
                <w:r>
                  <w:rPr>
                    <w:rFonts w:hint="eastAsia"/>
                  </w:rPr>
                  <w:fldChar w:fldCharType="end"/>
                </w:r>
              </w:p>
            </w:txbxContent>
          </v:textbox>
          <w10:wrap anchorx="margin"/>
        </v:shape>
      </w:pic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1" type="#_x0000_t202" style="position:absolute;left:0;text-align:left;margin-left:0;margin-top:0;width:2in;height:2in;z-index:251661824;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- 23 -</w:t>
                </w:r>
                <w:r>
                  <w:rPr>
                    <w:rFonts w:hint="eastAsia"/>
                  </w:rPr>
                  <w:fldChar w:fldCharType="end"/>
                </w:r>
              </w:p>
            </w:txbxContent>
          </v:textbox>
          <w10:wrap anchorx="margin"/>
        </v:shape>
      </w:pic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2" type="#_x0000_t202" style="position:absolute;left:0;text-align:left;margin-left:0;margin-top:0;width:2in;height:2in;z-index:251662848;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- 25 -</w:t>
                </w:r>
                <w:r>
                  <w:rPr>
                    <w:rFonts w:hint="eastAsia"/>
                  </w:rPr>
                  <w:fldChar w:fldCharType="end"/>
                </w:r>
              </w:p>
            </w:txbxContent>
          </v:textbox>
          <w10:wrap anchorx="margin"/>
        </v:shape>
      </w:pic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6" type="#_x0000_t202" style="position:absolute;left:0;text-align:left;margin-left:0;margin-top:0;width:2in;height:2in;z-index:251663872;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- 42 -</w:t>
                </w:r>
                <w:r>
                  <w:rPr>
                    <w:rFonts w:hint="eastAsia"/>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rPr>
        <w:rFonts w:ascii="黑体" w:eastAsia="黑体" w:hAnsi="黑体" w:cs="黑体"/>
      </w:rPr>
    </w:pPr>
    <w:r>
      <w:rPr>
        <w:rFonts w:ascii="黑体" w:eastAsia="黑体" w:hAnsi="黑体" w:cs="黑体"/>
      </w:rPr>
      <w:pict>
        <v:shapetype id="_x0000_t202" coordsize="21600,21600" o:spt="202" path="m,l,21600r21600,l21600,xe">
          <v:stroke joinstyle="miter"/>
          <v:path gradientshapeok="t" o:connecttype="rect"/>
        </v:shapetype>
        <v:shape id="_x0000_s3089" type="#_x0000_t202" style="position:absolute;left:0;text-align:left;margin-left:0;margin-top:0;width:2in;height:2in;z-index:251652608;mso-wrap-style:none;mso-position-horizontal:center;mso-position-horizontal-relative:margin;mso-width-relative:page;mso-height-relative:page" filled="f" stroked="f">
          <v:textbox style="mso-fit-shape-to-text:t" inset="0,0,0,0">
            <w:txbxContent>
              <w:p w:rsidR="005C2FD0" w:rsidRDefault="006026FB">
                <w:pPr>
                  <w:pStyle w:val="a5"/>
                  <w:rPr>
                    <w:rFonts w:ascii="黑体" w:eastAsia="黑体" w:hAnsi="黑体" w:cs="黑体"/>
                  </w:rPr>
                </w:pPr>
                <w:r>
                  <w:rPr>
                    <w:rFonts w:ascii="黑体" w:eastAsia="黑体" w:hAnsi="黑体" w:cs="黑体" w:hint="eastAsia"/>
                  </w:rPr>
                  <w:fldChar w:fldCharType="begin"/>
                </w:r>
                <w:r>
                  <w:rPr>
                    <w:rFonts w:ascii="黑体" w:eastAsia="黑体" w:hAnsi="黑体" w:cs="黑体" w:hint="eastAsia"/>
                  </w:rPr>
                  <w:instrText xml:space="preserve"> PAGE  \* MERGEFORMAT </w:instrText>
                </w:r>
                <w:r>
                  <w:rPr>
                    <w:rFonts w:ascii="黑体" w:eastAsia="黑体" w:hAnsi="黑体" w:cs="黑体" w:hint="eastAsia"/>
                  </w:rPr>
                  <w:fldChar w:fldCharType="separate"/>
                </w:r>
                <w:r w:rsidR="00B227D4">
                  <w:rPr>
                    <w:rFonts w:ascii="黑体" w:eastAsia="黑体" w:hAnsi="黑体" w:cs="黑体"/>
                    <w:noProof/>
                  </w:rPr>
                  <w:t>- 5 -</w:t>
                </w:r>
                <w:r>
                  <w:rPr>
                    <w:rFonts w:ascii="黑体" w:eastAsia="黑体" w:hAnsi="黑体" w:cs="黑体"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7" type="#_x0000_t202" style="position:absolute;left:0;text-align:left;margin-left:0;margin-top:0;width:2in;height:2in;z-index:251653632;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- 8 -</w:t>
                </w:r>
                <w:r>
                  <w:rPr>
                    <w:rFonts w:hint="eastAsia"/>
                  </w:rP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88" type="#_x0000_t202" style="position:absolute;left:0;text-align:left;margin-left:0;margin-top:0;width:2in;height:2in;z-index:251654656;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- 9 -</w:t>
                </w:r>
                <w:r>
                  <w:rPr>
                    <w:rFonts w:hint="eastAsia"/>
                  </w:rP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75" type="#_x0000_t202" style="position:absolute;left:0;text-align:left;margin-left:0;margin-top:0;width:2in;height:2in;z-index:251655680;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- 11 -</w:t>
                </w:r>
                <w:r>
                  <w:rPr>
                    <w:rFonts w:hint="eastAsia"/>
                  </w:rPr>
                  <w:fldChar w:fldCharType="end"/>
                </w:r>
              </w:p>
            </w:txbxContent>
          </v:textbox>
          <w10:wrap anchorx="margin"/>
        </v:shape>
      </w:pic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76" type="#_x0000_t202" style="position:absolute;left:0;text-align:left;margin-left:0;margin-top:0;width:2in;height:2in;z-index:251656704;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- 13 -</w:t>
                </w:r>
                <w:r>
                  <w:rPr>
                    <w:rFonts w:hint="eastAsia"/>
                  </w:rPr>
                  <w:fldChar w:fldCharType="end"/>
                </w:r>
              </w:p>
            </w:txbxContent>
          </v:textbox>
          <w10:wrap anchorx="margin"/>
        </v:shape>
      </w:pic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77" type="#_x0000_t202" style="position:absolute;left:0;text-align:left;margin-left:0;margin-top:0;width:2in;height:2in;z-index:251657728;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- 15 -</w:t>
                </w:r>
                <w:r>
                  <w:rPr>
                    <w:rFonts w:hint="eastAsia"/>
                  </w:rPr>
                  <w:fldChar w:fldCharType="end"/>
                </w:r>
              </w:p>
            </w:txbxContent>
          </v:textbox>
          <w10:wrap anchorx="margin"/>
        </v:shape>
      </w:pic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78" type="#_x0000_t202" style="position:absolute;left:0;text-align:left;margin-left:0;margin-top:0;width:2in;height:2in;z-index:251658752;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- 18 -</w:t>
                </w:r>
                <w:r>
                  <w:rPr>
                    <w:rFonts w:hint="eastAsia"/>
                  </w:rPr>
                  <w:fldChar w:fldCharType="end"/>
                </w:r>
              </w:p>
            </w:txbxContent>
          </v:textbox>
          <w10:wrap anchorx="margin"/>
        </v:shape>
      </w:pic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5"/>
      <w:jc w:val="center"/>
    </w:pPr>
    <w:r>
      <w:pict>
        <v:shapetype id="_x0000_t202" coordsize="21600,21600" o:spt="202" path="m,l,21600r21600,l21600,xe">
          <v:stroke joinstyle="miter"/>
          <v:path gradientshapeok="t" o:connecttype="rect"/>
        </v:shapetype>
        <v:shape id="_x0000_s3079" type="#_x0000_t202" style="position:absolute;left:0;text-align:left;margin-left:0;margin-top:0;width:2in;height:2in;z-index:251659776;mso-wrap-style:none;mso-position-horizontal:center;mso-position-horizontal-relative:margin;mso-width-relative:page;mso-height-relative:page" filled="f" stroked="f">
          <v:textbox style="mso-fit-shape-to-text:t" inset="0,0,0,0">
            <w:txbxContent>
              <w:p w:rsidR="005C2FD0" w:rsidRDefault="006026FB">
                <w:pPr>
                  <w:pStyle w:val="a5"/>
                </w:pPr>
                <w:r>
                  <w:rPr>
                    <w:rFonts w:hint="eastAsia"/>
                  </w:rPr>
                  <w:fldChar w:fldCharType="begin"/>
                </w:r>
                <w:r>
                  <w:rPr>
                    <w:rFonts w:hint="eastAsia"/>
                  </w:rPr>
                  <w:instrText xml:space="preserve"> PAGE  \* MERGEFORMAT </w:instrText>
                </w:r>
                <w:r>
                  <w:rPr>
                    <w:rFonts w:hint="eastAsia"/>
                  </w:rPr>
                  <w:fldChar w:fldCharType="separate"/>
                </w:r>
                <w:r w:rsidR="00B227D4">
                  <w:rPr>
                    <w:noProof/>
                  </w:rPr>
                  <w:t>- 19 -</w:t>
                </w:r>
                <w:r>
                  <w:rPr>
                    <w:rFonts w:hint="eastAsia"/>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6FB" w:rsidRDefault="006026FB">
      <w:r>
        <w:separator/>
      </w:r>
    </w:p>
  </w:footnote>
  <w:footnote w:type="continuationSeparator" w:id="0">
    <w:p w:rsidR="006026FB" w:rsidRDefault="006026F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6026FB">
    <w:pPr>
      <w:pStyle w:val="a6"/>
      <w:pBdr>
        <w:bottom w:val="single" w:sz="4" w:space="1" w:color="000000"/>
      </w:pBdr>
      <w:jc w:val="both"/>
      <w:rPr>
        <w:lang w:val="en-US"/>
      </w:rPr>
    </w:pPr>
    <w:r>
      <w:rPr>
        <w:rFonts w:hint="eastAsia"/>
        <w:lang w:val="en-US"/>
      </w:rPr>
      <w:t>常州市市政工程管理中心</w:t>
    </w:r>
    <w:r>
      <w:t>2023</w:t>
    </w:r>
    <w:r>
      <w:rPr>
        <w:rFonts w:hint="eastAsia"/>
        <w:lang w:val="en-US"/>
      </w:rPr>
      <w:t>年度</w:t>
    </w:r>
    <w:r>
      <w:t>单位决算公开</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FD0" w:rsidRDefault="005C2FD0">
    <w:pPr>
      <w:pStyle w:val="a6"/>
      <w:pBdr>
        <w:bottom w:val="none" w:sz="0" w:space="1"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0"/>
  <w:autoHyphenation/>
  <w:noPunctuationKerning/>
  <w:characterSpacingControl w:val="doNotCompress"/>
  <w:hdrShapeDefaults>
    <o:shapedefaults v:ext="edit" spidmax="3090"/>
    <o:shapelayout v:ext="edit">
      <o:idmap v:ext="edit" data="2,3"/>
    </o:shapelayout>
  </w:hdrShapeDefault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OTZhZDYyZDRkNjBlM2JhZTAwNWZjYTM1ZGFmNGQwMjEifQ=="/>
  </w:docVars>
  <w:rsids>
    <w:rsidRoot w:val="005C2FD0"/>
    <w:rsid w:val="DBEED555"/>
    <w:rsid w:val="00064984"/>
    <w:rsid w:val="00071789"/>
    <w:rsid w:val="000C024B"/>
    <w:rsid w:val="000F12AB"/>
    <w:rsid w:val="001C31F9"/>
    <w:rsid w:val="002E63B1"/>
    <w:rsid w:val="00407CA7"/>
    <w:rsid w:val="00413AD8"/>
    <w:rsid w:val="004C0647"/>
    <w:rsid w:val="005C2FD0"/>
    <w:rsid w:val="006026FB"/>
    <w:rsid w:val="00671ED7"/>
    <w:rsid w:val="00672164"/>
    <w:rsid w:val="006732F1"/>
    <w:rsid w:val="007C0F2D"/>
    <w:rsid w:val="008322BB"/>
    <w:rsid w:val="00867423"/>
    <w:rsid w:val="008B5B05"/>
    <w:rsid w:val="009965EA"/>
    <w:rsid w:val="00A6752E"/>
    <w:rsid w:val="00B227D4"/>
    <w:rsid w:val="00B92181"/>
    <w:rsid w:val="00BD7F33"/>
    <w:rsid w:val="00C15920"/>
    <w:rsid w:val="00C82582"/>
    <w:rsid w:val="00FA3233"/>
    <w:rsid w:val="010F1E77"/>
    <w:rsid w:val="01536131"/>
    <w:rsid w:val="01657C13"/>
    <w:rsid w:val="01714809"/>
    <w:rsid w:val="017240DE"/>
    <w:rsid w:val="01875334"/>
    <w:rsid w:val="018E7014"/>
    <w:rsid w:val="019803DB"/>
    <w:rsid w:val="01C22655"/>
    <w:rsid w:val="01C61170"/>
    <w:rsid w:val="01D4677F"/>
    <w:rsid w:val="01F17DF5"/>
    <w:rsid w:val="01FA65AD"/>
    <w:rsid w:val="01FF1E15"/>
    <w:rsid w:val="02005B8D"/>
    <w:rsid w:val="021F4E94"/>
    <w:rsid w:val="023277C7"/>
    <w:rsid w:val="02377801"/>
    <w:rsid w:val="02420B21"/>
    <w:rsid w:val="02443CCC"/>
    <w:rsid w:val="0247556A"/>
    <w:rsid w:val="02624152"/>
    <w:rsid w:val="026604FF"/>
    <w:rsid w:val="027F398B"/>
    <w:rsid w:val="0284231A"/>
    <w:rsid w:val="02987B74"/>
    <w:rsid w:val="02A822D0"/>
    <w:rsid w:val="02AF69EA"/>
    <w:rsid w:val="02B14230"/>
    <w:rsid w:val="02C378BB"/>
    <w:rsid w:val="02C92423"/>
    <w:rsid w:val="02D43672"/>
    <w:rsid w:val="02DD471D"/>
    <w:rsid w:val="02E5431C"/>
    <w:rsid w:val="02E8449D"/>
    <w:rsid w:val="02F0175E"/>
    <w:rsid w:val="02F513AC"/>
    <w:rsid w:val="02FE6DAE"/>
    <w:rsid w:val="03005360"/>
    <w:rsid w:val="03060F81"/>
    <w:rsid w:val="03121471"/>
    <w:rsid w:val="033F3F8A"/>
    <w:rsid w:val="034C108A"/>
    <w:rsid w:val="03673847"/>
    <w:rsid w:val="03690F36"/>
    <w:rsid w:val="03793778"/>
    <w:rsid w:val="037E4FBC"/>
    <w:rsid w:val="03802AE2"/>
    <w:rsid w:val="039F7320"/>
    <w:rsid w:val="03F86EFB"/>
    <w:rsid w:val="04137DFA"/>
    <w:rsid w:val="04156348"/>
    <w:rsid w:val="04212517"/>
    <w:rsid w:val="04461F7D"/>
    <w:rsid w:val="044E689B"/>
    <w:rsid w:val="0458580D"/>
    <w:rsid w:val="045E5FB7"/>
    <w:rsid w:val="04820ADC"/>
    <w:rsid w:val="048408D1"/>
    <w:rsid w:val="049256F0"/>
    <w:rsid w:val="0495610D"/>
    <w:rsid w:val="04C730A4"/>
    <w:rsid w:val="04DA4474"/>
    <w:rsid w:val="04DF580C"/>
    <w:rsid w:val="04E946A2"/>
    <w:rsid w:val="04EA46EB"/>
    <w:rsid w:val="05185546"/>
    <w:rsid w:val="052126A9"/>
    <w:rsid w:val="05247FC3"/>
    <w:rsid w:val="05346113"/>
    <w:rsid w:val="05423E9C"/>
    <w:rsid w:val="05600A24"/>
    <w:rsid w:val="05656433"/>
    <w:rsid w:val="05685F23"/>
    <w:rsid w:val="056A1C9B"/>
    <w:rsid w:val="057525F6"/>
    <w:rsid w:val="05843580"/>
    <w:rsid w:val="05856AD5"/>
    <w:rsid w:val="058C526F"/>
    <w:rsid w:val="05AB4AE4"/>
    <w:rsid w:val="05AB7BBE"/>
    <w:rsid w:val="05BD2716"/>
    <w:rsid w:val="05BE6B06"/>
    <w:rsid w:val="05C432C0"/>
    <w:rsid w:val="05C73A91"/>
    <w:rsid w:val="05DB04A3"/>
    <w:rsid w:val="05DB339C"/>
    <w:rsid w:val="05E80F9E"/>
    <w:rsid w:val="05F04613"/>
    <w:rsid w:val="05FE3016"/>
    <w:rsid w:val="06006806"/>
    <w:rsid w:val="060D1C4C"/>
    <w:rsid w:val="061C50DF"/>
    <w:rsid w:val="062B491C"/>
    <w:rsid w:val="06417385"/>
    <w:rsid w:val="06423C78"/>
    <w:rsid w:val="064A6451"/>
    <w:rsid w:val="064C13A1"/>
    <w:rsid w:val="06542957"/>
    <w:rsid w:val="0681129C"/>
    <w:rsid w:val="06824DC3"/>
    <w:rsid w:val="0695552F"/>
    <w:rsid w:val="069B5E85"/>
    <w:rsid w:val="06C87B62"/>
    <w:rsid w:val="06E710CA"/>
    <w:rsid w:val="06EB2968"/>
    <w:rsid w:val="06F23CF7"/>
    <w:rsid w:val="07293490"/>
    <w:rsid w:val="072A453E"/>
    <w:rsid w:val="073A470E"/>
    <w:rsid w:val="07520D7A"/>
    <w:rsid w:val="075575FE"/>
    <w:rsid w:val="07580A5A"/>
    <w:rsid w:val="07656047"/>
    <w:rsid w:val="077C711D"/>
    <w:rsid w:val="078F7797"/>
    <w:rsid w:val="079361A1"/>
    <w:rsid w:val="07AE39F0"/>
    <w:rsid w:val="07BE007D"/>
    <w:rsid w:val="07C509DD"/>
    <w:rsid w:val="080041F1"/>
    <w:rsid w:val="08031AA7"/>
    <w:rsid w:val="0806186F"/>
    <w:rsid w:val="080C528C"/>
    <w:rsid w:val="080F6B2A"/>
    <w:rsid w:val="08214CF0"/>
    <w:rsid w:val="083B723A"/>
    <w:rsid w:val="084A5DB4"/>
    <w:rsid w:val="08582C83"/>
    <w:rsid w:val="085D1644"/>
    <w:rsid w:val="0860441B"/>
    <w:rsid w:val="08694955"/>
    <w:rsid w:val="08913758"/>
    <w:rsid w:val="08A333FC"/>
    <w:rsid w:val="08D342E7"/>
    <w:rsid w:val="08E003AE"/>
    <w:rsid w:val="08E93645"/>
    <w:rsid w:val="08FC0605"/>
    <w:rsid w:val="09165D85"/>
    <w:rsid w:val="091D32CD"/>
    <w:rsid w:val="0947142F"/>
    <w:rsid w:val="095F763D"/>
    <w:rsid w:val="096204B4"/>
    <w:rsid w:val="0969226A"/>
    <w:rsid w:val="096B0C35"/>
    <w:rsid w:val="09891979"/>
    <w:rsid w:val="098926B4"/>
    <w:rsid w:val="09896468"/>
    <w:rsid w:val="09931095"/>
    <w:rsid w:val="09984875"/>
    <w:rsid w:val="09B3067A"/>
    <w:rsid w:val="09E82283"/>
    <w:rsid w:val="09EB3C7D"/>
    <w:rsid w:val="09F00295"/>
    <w:rsid w:val="09F032D5"/>
    <w:rsid w:val="09F45579"/>
    <w:rsid w:val="09F6640F"/>
    <w:rsid w:val="09FE0C6E"/>
    <w:rsid w:val="0A112BB9"/>
    <w:rsid w:val="0A1D215F"/>
    <w:rsid w:val="0A2639C8"/>
    <w:rsid w:val="0A2D2344"/>
    <w:rsid w:val="0A3F45FE"/>
    <w:rsid w:val="0A434869"/>
    <w:rsid w:val="0A516F86"/>
    <w:rsid w:val="0A6273E5"/>
    <w:rsid w:val="0A636CB9"/>
    <w:rsid w:val="0A7F08D2"/>
    <w:rsid w:val="0A964BFD"/>
    <w:rsid w:val="0A9D666F"/>
    <w:rsid w:val="0AAC5ED9"/>
    <w:rsid w:val="0ADA70C2"/>
    <w:rsid w:val="0AFD463B"/>
    <w:rsid w:val="0B05614C"/>
    <w:rsid w:val="0B134992"/>
    <w:rsid w:val="0B160131"/>
    <w:rsid w:val="0B2B4189"/>
    <w:rsid w:val="0B392278"/>
    <w:rsid w:val="0B675A67"/>
    <w:rsid w:val="0B6B4077"/>
    <w:rsid w:val="0B752A0F"/>
    <w:rsid w:val="0B813D25"/>
    <w:rsid w:val="0B89728A"/>
    <w:rsid w:val="0B9E71AD"/>
    <w:rsid w:val="0BAC43D1"/>
    <w:rsid w:val="0BB91287"/>
    <w:rsid w:val="0BBA4FFF"/>
    <w:rsid w:val="0BCD6A8D"/>
    <w:rsid w:val="0BCF6DAD"/>
    <w:rsid w:val="0BD87EAC"/>
    <w:rsid w:val="0BE46B89"/>
    <w:rsid w:val="0BF41C52"/>
    <w:rsid w:val="0C047996"/>
    <w:rsid w:val="0C0E112C"/>
    <w:rsid w:val="0C1337D7"/>
    <w:rsid w:val="0C2215AA"/>
    <w:rsid w:val="0C64719F"/>
    <w:rsid w:val="0C6536DB"/>
    <w:rsid w:val="0C797590"/>
    <w:rsid w:val="0C9B273A"/>
    <w:rsid w:val="0CA00951"/>
    <w:rsid w:val="0CBD0903"/>
    <w:rsid w:val="0CC51EAD"/>
    <w:rsid w:val="0CD230A9"/>
    <w:rsid w:val="0CD65166"/>
    <w:rsid w:val="0CDB2BBC"/>
    <w:rsid w:val="0CE84C0B"/>
    <w:rsid w:val="0CEF2113"/>
    <w:rsid w:val="0CEF2581"/>
    <w:rsid w:val="0D05225F"/>
    <w:rsid w:val="0D1424ED"/>
    <w:rsid w:val="0D261419"/>
    <w:rsid w:val="0D42705A"/>
    <w:rsid w:val="0D545049"/>
    <w:rsid w:val="0D617032"/>
    <w:rsid w:val="0D673696"/>
    <w:rsid w:val="0D6C5D61"/>
    <w:rsid w:val="0D760FDB"/>
    <w:rsid w:val="0D766D04"/>
    <w:rsid w:val="0D7F345D"/>
    <w:rsid w:val="0D991370"/>
    <w:rsid w:val="0DAC0D2B"/>
    <w:rsid w:val="0DAD6BC9"/>
    <w:rsid w:val="0DBA3094"/>
    <w:rsid w:val="0DD06A00"/>
    <w:rsid w:val="0DDF0D4D"/>
    <w:rsid w:val="0DFC3CDF"/>
    <w:rsid w:val="0DFD772C"/>
    <w:rsid w:val="0DFF5826"/>
    <w:rsid w:val="0E0A51F9"/>
    <w:rsid w:val="0E1F1C4F"/>
    <w:rsid w:val="0E27451D"/>
    <w:rsid w:val="0E4806AD"/>
    <w:rsid w:val="0E52151F"/>
    <w:rsid w:val="0E5E7568"/>
    <w:rsid w:val="0E601E8E"/>
    <w:rsid w:val="0E662847"/>
    <w:rsid w:val="0E854C8B"/>
    <w:rsid w:val="0E8D69FB"/>
    <w:rsid w:val="0E94230E"/>
    <w:rsid w:val="0E946F22"/>
    <w:rsid w:val="0EA37FCC"/>
    <w:rsid w:val="0EB75826"/>
    <w:rsid w:val="0EE7610B"/>
    <w:rsid w:val="0EF65551"/>
    <w:rsid w:val="0EFE25F0"/>
    <w:rsid w:val="0F111837"/>
    <w:rsid w:val="0F135152"/>
    <w:rsid w:val="0F256D3C"/>
    <w:rsid w:val="0F711E78"/>
    <w:rsid w:val="0F807B33"/>
    <w:rsid w:val="0F8C6CB2"/>
    <w:rsid w:val="0F8F17E6"/>
    <w:rsid w:val="0FB029A1"/>
    <w:rsid w:val="0FB02B15"/>
    <w:rsid w:val="0FB21F29"/>
    <w:rsid w:val="0FB47D1E"/>
    <w:rsid w:val="0FCE598D"/>
    <w:rsid w:val="0FD77F2D"/>
    <w:rsid w:val="0FD849C7"/>
    <w:rsid w:val="0FE03B0E"/>
    <w:rsid w:val="0FE663C2"/>
    <w:rsid w:val="0FEF37CA"/>
    <w:rsid w:val="100928FC"/>
    <w:rsid w:val="10093E5F"/>
    <w:rsid w:val="101A62D4"/>
    <w:rsid w:val="10260EB5"/>
    <w:rsid w:val="1027035F"/>
    <w:rsid w:val="102A2753"/>
    <w:rsid w:val="102A69EF"/>
    <w:rsid w:val="102C3484"/>
    <w:rsid w:val="103D6600"/>
    <w:rsid w:val="10463305"/>
    <w:rsid w:val="106204CB"/>
    <w:rsid w:val="1068327B"/>
    <w:rsid w:val="1069097D"/>
    <w:rsid w:val="10703EDE"/>
    <w:rsid w:val="108C6F6A"/>
    <w:rsid w:val="10A90FB7"/>
    <w:rsid w:val="10B95885"/>
    <w:rsid w:val="10F845FF"/>
    <w:rsid w:val="11092167"/>
    <w:rsid w:val="110C3973"/>
    <w:rsid w:val="110D47B0"/>
    <w:rsid w:val="11110225"/>
    <w:rsid w:val="111930E1"/>
    <w:rsid w:val="111E1B8C"/>
    <w:rsid w:val="11252430"/>
    <w:rsid w:val="112E0021"/>
    <w:rsid w:val="1143676B"/>
    <w:rsid w:val="11471791"/>
    <w:rsid w:val="117C1012"/>
    <w:rsid w:val="11872569"/>
    <w:rsid w:val="118B7221"/>
    <w:rsid w:val="11AB09B5"/>
    <w:rsid w:val="11B7025F"/>
    <w:rsid w:val="11C36B1F"/>
    <w:rsid w:val="11C52DC5"/>
    <w:rsid w:val="11E46932"/>
    <w:rsid w:val="11F221C7"/>
    <w:rsid w:val="11F2605E"/>
    <w:rsid w:val="11F724E3"/>
    <w:rsid w:val="122227BF"/>
    <w:rsid w:val="12313173"/>
    <w:rsid w:val="12313682"/>
    <w:rsid w:val="12437AFC"/>
    <w:rsid w:val="127A1044"/>
    <w:rsid w:val="128157F4"/>
    <w:rsid w:val="12AA36D7"/>
    <w:rsid w:val="12B566A2"/>
    <w:rsid w:val="12C448B1"/>
    <w:rsid w:val="12D32267"/>
    <w:rsid w:val="12E60488"/>
    <w:rsid w:val="12F05187"/>
    <w:rsid w:val="13142710"/>
    <w:rsid w:val="1335650B"/>
    <w:rsid w:val="133E1FA2"/>
    <w:rsid w:val="13871C6A"/>
    <w:rsid w:val="139377AA"/>
    <w:rsid w:val="13A44407"/>
    <w:rsid w:val="13A46379"/>
    <w:rsid w:val="13BD743A"/>
    <w:rsid w:val="13E2730D"/>
    <w:rsid w:val="13F85ED3"/>
    <w:rsid w:val="140626B0"/>
    <w:rsid w:val="140C350F"/>
    <w:rsid w:val="14207DA2"/>
    <w:rsid w:val="142101C9"/>
    <w:rsid w:val="143164E8"/>
    <w:rsid w:val="14341A45"/>
    <w:rsid w:val="146856DB"/>
    <w:rsid w:val="146B3433"/>
    <w:rsid w:val="14795A57"/>
    <w:rsid w:val="147C72F5"/>
    <w:rsid w:val="14933F94"/>
    <w:rsid w:val="14A34882"/>
    <w:rsid w:val="14A95C11"/>
    <w:rsid w:val="14AA0D30"/>
    <w:rsid w:val="14BA3B44"/>
    <w:rsid w:val="14CD6BF6"/>
    <w:rsid w:val="14EE3158"/>
    <w:rsid w:val="1504334D"/>
    <w:rsid w:val="15085477"/>
    <w:rsid w:val="152578C2"/>
    <w:rsid w:val="154755A3"/>
    <w:rsid w:val="15664CCA"/>
    <w:rsid w:val="156C1118"/>
    <w:rsid w:val="159E0364"/>
    <w:rsid w:val="15A959CF"/>
    <w:rsid w:val="15B93CF7"/>
    <w:rsid w:val="15D36B14"/>
    <w:rsid w:val="15F07F9B"/>
    <w:rsid w:val="16053674"/>
    <w:rsid w:val="16146EAD"/>
    <w:rsid w:val="161A451C"/>
    <w:rsid w:val="161E395E"/>
    <w:rsid w:val="1621543B"/>
    <w:rsid w:val="163E1726"/>
    <w:rsid w:val="16565924"/>
    <w:rsid w:val="167F1A6B"/>
    <w:rsid w:val="16971C37"/>
    <w:rsid w:val="16A448E1"/>
    <w:rsid w:val="16BE14E7"/>
    <w:rsid w:val="16BE34FA"/>
    <w:rsid w:val="16DA6212"/>
    <w:rsid w:val="16ED632E"/>
    <w:rsid w:val="1705386D"/>
    <w:rsid w:val="170A0BE8"/>
    <w:rsid w:val="170D692B"/>
    <w:rsid w:val="1717031D"/>
    <w:rsid w:val="17367C2F"/>
    <w:rsid w:val="17451C21"/>
    <w:rsid w:val="175D47C3"/>
    <w:rsid w:val="176B2704"/>
    <w:rsid w:val="178C5AA1"/>
    <w:rsid w:val="178D35C8"/>
    <w:rsid w:val="17BC2D29"/>
    <w:rsid w:val="17EC4792"/>
    <w:rsid w:val="18025D64"/>
    <w:rsid w:val="1808589E"/>
    <w:rsid w:val="181B6E25"/>
    <w:rsid w:val="18272F04"/>
    <w:rsid w:val="183F0D66"/>
    <w:rsid w:val="1847137D"/>
    <w:rsid w:val="18473583"/>
    <w:rsid w:val="18585984"/>
    <w:rsid w:val="188B47DF"/>
    <w:rsid w:val="18916DBC"/>
    <w:rsid w:val="18AA3C15"/>
    <w:rsid w:val="18BA5D81"/>
    <w:rsid w:val="18C07826"/>
    <w:rsid w:val="18C77023"/>
    <w:rsid w:val="18E45469"/>
    <w:rsid w:val="18EE62E8"/>
    <w:rsid w:val="18FD3C01"/>
    <w:rsid w:val="190E24E6"/>
    <w:rsid w:val="19195D82"/>
    <w:rsid w:val="193033EC"/>
    <w:rsid w:val="19322678"/>
    <w:rsid w:val="194A216C"/>
    <w:rsid w:val="19517451"/>
    <w:rsid w:val="19562DE7"/>
    <w:rsid w:val="19603977"/>
    <w:rsid w:val="196D1879"/>
    <w:rsid w:val="19810F0A"/>
    <w:rsid w:val="199D3E22"/>
    <w:rsid w:val="19A676CD"/>
    <w:rsid w:val="19B34CEE"/>
    <w:rsid w:val="19C57B31"/>
    <w:rsid w:val="19CE54E8"/>
    <w:rsid w:val="19DA0E66"/>
    <w:rsid w:val="1A051B3B"/>
    <w:rsid w:val="1A0868DE"/>
    <w:rsid w:val="1A386BB6"/>
    <w:rsid w:val="1A3E0B9C"/>
    <w:rsid w:val="1A5A0D30"/>
    <w:rsid w:val="1A641248"/>
    <w:rsid w:val="1A6B178B"/>
    <w:rsid w:val="1A6E7911"/>
    <w:rsid w:val="1AA11864"/>
    <w:rsid w:val="1ABF618E"/>
    <w:rsid w:val="1AD90120"/>
    <w:rsid w:val="1AEB035A"/>
    <w:rsid w:val="1AF0114F"/>
    <w:rsid w:val="1AF61156"/>
    <w:rsid w:val="1B114FF8"/>
    <w:rsid w:val="1B136BC2"/>
    <w:rsid w:val="1B1C5890"/>
    <w:rsid w:val="1B2C6156"/>
    <w:rsid w:val="1B363B76"/>
    <w:rsid w:val="1B394ECA"/>
    <w:rsid w:val="1B4D379A"/>
    <w:rsid w:val="1B612DA1"/>
    <w:rsid w:val="1B6F2A95"/>
    <w:rsid w:val="1B7011A6"/>
    <w:rsid w:val="1B894395"/>
    <w:rsid w:val="1BC84BF9"/>
    <w:rsid w:val="1BDD4B1E"/>
    <w:rsid w:val="1BE008E5"/>
    <w:rsid w:val="1BE426E0"/>
    <w:rsid w:val="1BEF5EDC"/>
    <w:rsid w:val="1BF3045F"/>
    <w:rsid w:val="1C171374"/>
    <w:rsid w:val="1C324768"/>
    <w:rsid w:val="1C383244"/>
    <w:rsid w:val="1C4928ED"/>
    <w:rsid w:val="1C6E7E6B"/>
    <w:rsid w:val="1C706707"/>
    <w:rsid w:val="1C881C55"/>
    <w:rsid w:val="1C8C6E3B"/>
    <w:rsid w:val="1C8F4549"/>
    <w:rsid w:val="1C9B1094"/>
    <w:rsid w:val="1C9D7829"/>
    <w:rsid w:val="1CA25487"/>
    <w:rsid w:val="1CC01D49"/>
    <w:rsid w:val="1CCB706C"/>
    <w:rsid w:val="1CD36541"/>
    <w:rsid w:val="1CD53375"/>
    <w:rsid w:val="1CD770E1"/>
    <w:rsid w:val="1CDF3C35"/>
    <w:rsid w:val="1CDF48C5"/>
    <w:rsid w:val="1CED64E7"/>
    <w:rsid w:val="1CF10155"/>
    <w:rsid w:val="1CF655C7"/>
    <w:rsid w:val="1CF70CE3"/>
    <w:rsid w:val="1D083787"/>
    <w:rsid w:val="1D0E4D1B"/>
    <w:rsid w:val="1D1B1576"/>
    <w:rsid w:val="1D201166"/>
    <w:rsid w:val="1D235D75"/>
    <w:rsid w:val="1D464944"/>
    <w:rsid w:val="1D5A4782"/>
    <w:rsid w:val="1D623037"/>
    <w:rsid w:val="1D660B43"/>
    <w:rsid w:val="1D672CB3"/>
    <w:rsid w:val="1D7C0925"/>
    <w:rsid w:val="1D817975"/>
    <w:rsid w:val="1D951979"/>
    <w:rsid w:val="1DAF110E"/>
    <w:rsid w:val="1DB61054"/>
    <w:rsid w:val="1DC835AB"/>
    <w:rsid w:val="1DC94431"/>
    <w:rsid w:val="1DD41F50"/>
    <w:rsid w:val="1DF7725D"/>
    <w:rsid w:val="1DFC15A1"/>
    <w:rsid w:val="1DFC3255"/>
    <w:rsid w:val="1DFD14A7"/>
    <w:rsid w:val="1E107489"/>
    <w:rsid w:val="1E120047"/>
    <w:rsid w:val="1E2456FC"/>
    <w:rsid w:val="1E387717"/>
    <w:rsid w:val="1E426EBA"/>
    <w:rsid w:val="1E5227F5"/>
    <w:rsid w:val="1E5B1486"/>
    <w:rsid w:val="1E6037E4"/>
    <w:rsid w:val="1E6C2CB1"/>
    <w:rsid w:val="1E86604F"/>
    <w:rsid w:val="1E8B2478"/>
    <w:rsid w:val="1EA55F87"/>
    <w:rsid w:val="1EAB38DD"/>
    <w:rsid w:val="1EB06519"/>
    <w:rsid w:val="1EBB4C20"/>
    <w:rsid w:val="1EC57AB3"/>
    <w:rsid w:val="1ECE40F1"/>
    <w:rsid w:val="1EEE7042"/>
    <w:rsid w:val="1EEF2C2E"/>
    <w:rsid w:val="1EF87EC0"/>
    <w:rsid w:val="1EF93282"/>
    <w:rsid w:val="1EFC05DA"/>
    <w:rsid w:val="1F242409"/>
    <w:rsid w:val="1F260691"/>
    <w:rsid w:val="1F274302"/>
    <w:rsid w:val="1F2F1476"/>
    <w:rsid w:val="1F342CDC"/>
    <w:rsid w:val="1F364345"/>
    <w:rsid w:val="1F3C055E"/>
    <w:rsid w:val="1F3F5AEF"/>
    <w:rsid w:val="1F5350F7"/>
    <w:rsid w:val="1F5838AB"/>
    <w:rsid w:val="1F65551D"/>
    <w:rsid w:val="1F721347"/>
    <w:rsid w:val="1F724421"/>
    <w:rsid w:val="1F8B39C7"/>
    <w:rsid w:val="1F925C1F"/>
    <w:rsid w:val="1FA17CC2"/>
    <w:rsid w:val="1FAE057F"/>
    <w:rsid w:val="1FB77434"/>
    <w:rsid w:val="1FCB1131"/>
    <w:rsid w:val="1FD866E0"/>
    <w:rsid w:val="1FEA282E"/>
    <w:rsid w:val="1FF73CD4"/>
    <w:rsid w:val="1FF92872"/>
    <w:rsid w:val="1FFE4976"/>
    <w:rsid w:val="20054643"/>
    <w:rsid w:val="200945DD"/>
    <w:rsid w:val="200B03E4"/>
    <w:rsid w:val="200E293D"/>
    <w:rsid w:val="201802D4"/>
    <w:rsid w:val="20362A4E"/>
    <w:rsid w:val="2043516B"/>
    <w:rsid w:val="204A1446"/>
    <w:rsid w:val="20571955"/>
    <w:rsid w:val="20594713"/>
    <w:rsid w:val="20632091"/>
    <w:rsid w:val="20834EBA"/>
    <w:rsid w:val="20900DEF"/>
    <w:rsid w:val="209B6228"/>
    <w:rsid w:val="20B61DE1"/>
    <w:rsid w:val="20CA13E8"/>
    <w:rsid w:val="20CA3D8E"/>
    <w:rsid w:val="20D245C5"/>
    <w:rsid w:val="20E47858"/>
    <w:rsid w:val="20EE2134"/>
    <w:rsid w:val="20F375E8"/>
    <w:rsid w:val="20F544F1"/>
    <w:rsid w:val="211508B6"/>
    <w:rsid w:val="21182154"/>
    <w:rsid w:val="21206CAA"/>
    <w:rsid w:val="2127683B"/>
    <w:rsid w:val="213F3B84"/>
    <w:rsid w:val="2148186B"/>
    <w:rsid w:val="21776D10"/>
    <w:rsid w:val="218F0CEB"/>
    <w:rsid w:val="21A47E8B"/>
    <w:rsid w:val="21B52099"/>
    <w:rsid w:val="21E262C3"/>
    <w:rsid w:val="21EA64FE"/>
    <w:rsid w:val="223236E9"/>
    <w:rsid w:val="223F0861"/>
    <w:rsid w:val="224A27E1"/>
    <w:rsid w:val="224D407F"/>
    <w:rsid w:val="22543660"/>
    <w:rsid w:val="225F78FB"/>
    <w:rsid w:val="227347E3"/>
    <w:rsid w:val="227D4749"/>
    <w:rsid w:val="22B66C67"/>
    <w:rsid w:val="22B96619"/>
    <w:rsid w:val="22C34214"/>
    <w:rsid w:val="22C9349D"/>
    <w:rsid w:val="22CF4CB9"/>
    <w:rsid w:val="22E5714F"/>
    <w:rsid w:val="23073234"/>
    <w:rsid w:val="23153D35"/>
    <w:rsid w:val="231859C4"/>
    <w:rsid w:val="233651B2"/>
    <w:rsid w:val="233C5C01"/>
    <w:rsid w:val="235A2EF8"/>
    <w:rsid w:val="23655593"/>
    <w:rsid w:val="237044C9"/>
    <w:rsid w:val="23873CA0"/>
    <w:rsid w:val="23A668C2"/>
    <w:rsid w:val="23B5012E"/>
    <w:rsid w:val="23B50BF5"/>
    <w:rsid w:val="23C6058D"/>
    <w:rsid w:val="23CC2CE3"/>
    <w:rsid w:val="23E97DD8"/>
    <w:rsid w:val="23F81D1C"/>
    <w:rsid w:val="24004EF0"/>
    <w:rsid w:val="242552B4"/>
    <w:rsid w:val="242D23BA"/>
    <w:rsid w:val="24361C71"/>
    <w:rsid w:val="244514B2"/>
    <w:rsid w:val="245222E6"/>
    <w:rsid w:val="2455798C"/>
    <w:rsid w:val="246851A0"/>
    <w:rsid w:val="246E4FE1"/>
    <w:rsid w:val="247771B1"/>
    <w:rsid w:val="24797436"/>
    <w:rsid w:val="24893698"/>
    <w:rsid w:val="248A0DA1"/>
    <w:rsid w:val="248B0DC9"/>
    <w:rsid w:val="24AC7248"/>
    <w:rsid w:val="24B228BF"/>
    <w:rsid w:val="24BC54EC"/>
    <w:rsid w:val="24DE364C"/>
    <w:rsid w:val="24EF440E"/>
    <w:rsid w:val="25007ACF"/>
    <w:rsid w:val="25076767"/>
    <w:rsid w:val="25191A92"/>
    <w:rsid w:val="25290357"/>
    <w:rsid w:val="253C3B25"/>
    <w:rsid w:val="25513E86"/>
    <w:rsid w:val="255F5B0A"/>
    <w:rsid w:val="25664EB1"/>
    <w:rsid w:val="257302A1"/>
    <w:rsid w:val="2573629D"/>
    <w:rsid w:val="257B7E43"/>
    <w:rsid w:val="25A7022D"/>
    <w:rsid w:val="25B06295"/>
    <w:rsid w:val="25C32FD6"/>
    <w:rsid w:val="25C603D0"/>
    <w:rsid w:val="25E1520A"/>
    <w:rsid w:val="25E2513A"/>
    <w:rsid w:val="25F45922"/>
    <w:rsid w:val="25FD2F48"/>
    <w:rsid w:val="261E645E"/>
    <w:rsid w:val="262E21CA"/>
    <w:rsid w:val="26713F63"/>
    <w:rsid w:val="26753166"/>
    <w:rsid w:val="267B561B"/>
    <w:rsid w:val="267C5A99"/>
    <w:rsid w:val="2682148D"/>
    <w:rsid w:val="26832765"/>
    <w:rsid w:val="268D22B5"/>
    <w:rsid w:val="269240CC"/>
    <w:rsid w:val="269A47B4"/>
    <w:rsid w:val="269E759F"/>
    <w:rsid w:val="26A526DC"/>
    <w:rsid w:val="26A5448A"/>
    <w:rsid w:val="26BF5BA2"/>
    <w:rsid w:val="26CB1A16"/>
    <w:rsid w:val="26D96B5A"/>
    <w:rsid w:val="26EC7F5B"/>
    <w:rsid w:val="27016CF5"/>
    <w:rsid w:val="27175BDC"/>
    <w:rsid w:val="271B299E"/>
    <w:rsid w:val="271E071C"/>
    <w:rsid w:val="272B00CD"/>
    <w:rsid w:val="27381EB7"/>
    <w:rsid w:val="275E5E47"/>
    <w:rsid w:val="276C4FA7"/>
    <w:rsid w:val="27924AA1"/>
    <w:rsid w:val="27942BC4"/>
    <w:rsid w:val="27962E21"/>
    <w:rsid w:val="279768B3"/>
    <w:rsid w:val="279A19EA"/>
    <w:rsid w:val="27B169B4"/>
    <w:rsid w:val="27B21745"/>
    <w:rsid w:val="27B32BD6"/>
    <w:rsid w:val="27B45C73"/>
    <w:rsid w:val="27B911ED"/>
    <w:rsid w:val="27D27F60"/>
    <w:rsid w:val="27E744FA"/>
    <w:rsid w:val="27F83B89"/>
    <w:rsid w:val="27FE146D"/>
    <w:rsid w:val="28037CCB"/>
    <w:rsid w:val="28321D4D"/>
    <w:rsid w:val="283E36E3"/>
    <w:rsid w:val="283F446A"/>
    <w:rsid w:val="284675E2"/>
    <w:rsid w:val="284E0B22"/>
    <w:rsid w:val="28543497"/>
    <w:rsid w:val="28630B61"/>
    <w:rsid w:val="286C012F"/>
    <w:rsid w:val="286E4D4F"/>
    <w:rsid w:val="289B5942"/>
    <w:rsid w:val="28B77612"/>
    <w:rsid w:val="28BB465F"/>
    <w:rsid w:val="28D728F5"/>
    <w:rsid w:val="28E55011"/>
    <w:rsid w:val="28F25980"/>
    <w:rsid w:val="29012269"/>
    <w:rsid w:val="291451AB"/>
    <w:rsid w:val="29157417"/>
    <w:rsid w:val="29285E0F"/>
    <w:rsid w:val="294477FD"/>
    <w:rsid w:val="2947617E"/>
    <w:rsid w:val="29505C1F"/>
    <w:rsid w:val="296323DA"/>
    <w:rsid w:val="297158AB"/>
    <w:rsid w:val="29807966"/>
    <w:rsid w:val="299D065B"/>
    <w:rsid w:val="29B50FF4"/>
    <w:rsid w:val="29C02FCD"/>
    <w:rsid w:val="29C63807"/>
    <w:rsid w:val="29EB45D3"/>
    <w:rsid w:val="2A0312F6"/>
    <w:rsid w:val="2A07685B"/>
    <w:rsid w:val="2A0A72B2"/>
    <w:rsid w:val="2A102562"/>
    <w:rsid w:val="2A125E2D"/>
    <w:rsid w:val="2A250422"/>
    <w:rsid w:val="2A2569D8"/>
    <w:rsid w:val="2A2F7528"/>
    <w:rsid w:val="2A3E46F3"/>
    <w:rsid w:val="2A5F36CE"/>
    <w:rsid w:val="2A613F70"/>
    <w:rsid w:val="2A7975D0"/>
    <w:rsid w:val="2A7B46D0"/>
    <w:rsid w:val="2A7E694A"/>
    <w:rsid w:val="2A88405F"/>
    <w:rsid w:val="2AB54EB7"/>
    <w:rsid w:val="2AC03F74"/>
    <w:rsid w:val="2AC86999"/>
    <w:rsid w:val="2ACD4D90"/>
    <w:rsid w:val="2ADC43C4"/>
    <w:rsid w:val="2AE07B98"/>
    <w:rsid w:val="2AE337D3"/>
    <w:rsid w:val="2B057BED"/>
    <w:rsid w:val="2B1B36C2"/>
    <w:rsid w:val="2B3C1AAA"/>
    <w:rsid w:val="2B77216D"/>
    <w:rsid w:val="2B7A42C1"/>
    <w:rsid w:val="2B82668D"/>
    <w:rsid w:val="2B8C19B3"/>
    <w:rsid w:val="2B9A7EB4"/>
    <w:rsid w:val="2BB8407D"/>
    <w:rsid w:val="2BBE24DE"/>
    <w:rsid w:val="2BBF0C02"/>
    <w:rsid w:val="2BC270C8"/>
    <w:rsid w:val="2BDD28EB"/>
    <w:rsid w:val="2BE5357A"/>
    <w:rsid w:val="2BEC66B7"/>
    <w:rsid w:val="2BF43094"/>
    <w:rsid w:val="2BF909AA"/>
    <w:rsid w:val="2BFC0D12"/>
    <w:rsid w:val="2C016606"/>
    <w:rsid w:val="2C0757B7"/>
    <w:rsid w:val="2C153E60"/>
    <w:rsid w:val="2C1E422F"/>
    <w:rsid w:val="2C3818FC"/>
    <w:rsid w:val="2C5950A4"/>
    <w:rsid w:val="2C660130"/>
    <w:rsid w:val="2C70553A"/>
    <w:rsid w:val="2C73502A"/>
    <w:rsid w:val="2CAD3317"/>
    <w:rsid w:val="2CB9711D"/>
    <w:rsid w:val="2CDA0C05"/>
    <w:rsid w:val="2CEA52EC"/>
    <w:rsid w:val="2CF3363A"/>
    <w:rsid w:val="2D000C25"/>
    <w:rsid w:val="2D0F4DB4"/>
    <w:rsid w:val="2D2D36A5"/>
    <w:rsid w:val="2D365B16"/>
    <w:rsid w:val="2D4B38B1"/>
    <w:rsid w:val="2D5646DC"/>
    <w:rsid w:val="2D584691"/>
    <w:rsid w:val="2D6D2070"/>
    <w:rsid w:val="2D9708A4"/>
    <w:rsid w:val="2D9D0838"/>
    <w:rsid w:val="2D9E1C33"/>
    <w:rsid w:val="2DB652A4"/>
    <w:rsid w:val="2DB943B8"/>
    <w:rsid w:val="2DBA2F11"/>
    <w:rsid w:val="2DBB2419"/>
    <w:rsid w:val="2DBF7001"/>
    <w:rsid w:val="2DC26166"/>
    <w:rsid w:val="2DCF44E2"/>
    <w:rsid w:val="2DD13DB6"/>
    <w:rsid w:val="2DD903A8"/>
    <w:rsid w:val="2DEA2F76"/>
    <w:rsid w:val="2DF041FF"/>
    <w:rsid w:val="2DF05F6F"/>
    <w:rsid w:val="2DF76E1B"/>
    <w:rsid w:val="2DFD2DFD"/>
    <w:rsid w:val="2E020414"/>
    <w:rsid w:val="2E10357E"/>
    <w:rsid w:val="2E177A17"/>
    <w:rsid w:val="2E1B30B3"/>
    <w:rsid w:val="2E310CF9"/>
    <w:rsid w:val="2E3E487D"/>
    <w:rsid w:val="2E41360C"/>
    <w:rsid w:val="2E450300"/>
    <w:rsid w:val="2E607FBE"/>
    <w:rsid w:val="2E615CAF"/>
    <w:rsid w:val="2E64456A"/>
    <w:rsid w:val="2E7264C5"/>
    <w:rsid w:val="2E7653DE"/>
    <w:rsid w:val="2E842882"/>
    <w:rsid w:val="2E8C6A3D"/>
    <w:rsid w:val="2EB508B8"/>
    <w:rsid w:val="2ED71BB4"/>
    <w:rsid w:val="2EF47A31"/>
    <w:rsid w:val="2F04472C"/>
    <w:rsid w:val="2F066396"/>
    <w:rsid w:val="2F2220C8"/>
    <w:rsid w:val="2F2655A5"/>
    <w:rsid w:val="2F30138F"/>
    <w:rsid w:val="2F5628C1"/>
    <w:rsid w:val="2F666780"/>
    <w:rsid w:val="2F6C2646"/>
    <w:rsid w:val="2F715851"/>
    <w:rsid w:val="2F81781A"/>
    <w:rsid w:val="2F8310E0"/>
    <w:rsid w:val="2FBA6AB0"/>
    <w:rsid w:val="2FDA5233"/>
    <w:rsid w:val="30186987"/>
    <w:rsid w:val="30383160"/>
    <w:rsid w:val="30396B3B"/>
    <w:rsid w:val="303D3D8D"/>
    <w:rsid w:val="30410449"/>
    <w:rsid w:val="304B34C7"/>
    <w:rsid w:val="304C3BC8"/>
    <w:rsid w:val="306F3884"/>
    <w:rsid w:val="30817D16"/>
    <w:rsid w:val="308C6F5A"/>
    <w:rsid w:val="3095731D"/>
    <w:rsid w:val="30977539"/>
    <w:rsid w:val="30AE1C64"/>
    <w:rsid w:val="30B654E5"/>
    <w:rsid w:val="30B73737"/>
    <w:rsid w:val="30C65728"/>
    <w:rsid w:val="30D06AF0"/>
    <w:rsid w:val="30DC1248"/>
    <w:rsid w:val="30E16401"/>
    <w:rsid w:val="30F229C1"/>
    <w:rsid w:val="30F93D50"/>
    <w:rsid w:val="310149B3"/>
    <w:rsid w:val="31175F84"/>
    <w:rsid w:val="313C3C3D"/>
    <w:rsid w:val="31405015"/>
    <w:rsid w:val="31537EEC"/>
    <w:rsid w:val="31591892"/>
    <w:rsid w:val="316F0F32"/>
    <w:rsid w:val="31736100"/>
    <w:rsid w:val="31750446"/>
    <w:rsid w:val="31773981"/>
    <w:rsid w:val="318F234F"/>
    <w:rsid w:val="319C6FC9"/>
    <w:rsid w:val="3205097C"/>
    <w:rsid w:val="3219245E"/>
    <w:rsid w:val="323677EC"/>
    <w:rsid w:val="32382656"/>
    <w:rsid w:val="323827BE"/>
    <w:rsid w:val="3240775C"/>
    <w:rsid w:val="32495754"/>
    <w:rsid w:val="32541D1E"/>
    <w:rsid w:val="32601BAD"/>
    <w:rsid w:val="32605AA8"/>
    <w:rsid w:val="32615E04"/>
    <w:rsid w:val="326849A2"/>
    <w:rsid w:val="326B0F6E"/>
    <w:rsid w:val="327B69E7"/>
    <w:rsid w:val="328126D8"/>
    <w:rsid w:val="3284589B"/>
    <w:rsid w:val="32847649"/>
    <w:rsid w:val="32A04DB4"/>
    <w:rsid w:val="32BB4137"/>
    <w:rsid w:val="32C57C62"/>
    <w:rsid w:val="32D07FAA"/>
    <w:rsid w:val="32DE0BF1"/>
    <w:rsid w:val="32E158F1"/>
    <w:rsid w:val="33031007"/>
    <w:rsid w:val="330A1B9B"/>
    <w:rsid w:val="331C3D26"/>
    <w:rsid w:val="33341058"/>
    <w:rsid w:val="333472C1"/>
    <w:rsid w:val="33501C21"/>
    <w:rsid w:val="3361588C"/>
    <w:rsid w:val="33797999"/>
    <w:rsid w:val="338032CF"/>
    <w:rsid w:val="339F17B8"/>
    <w:rsid w:val="339F3BDD"/>
    <w:rsid w:val="33A9773C"/>
    <w:rsid w:val="33BE302F"/>
    <w:rsid w:val="33CE4708"/>
    <w:rsid w:val="33D00CCC"/>
    <w:rsid w:val="33DE722D"/>
    <w:rsid w:val="33E93AE7"/>
    <w:rsid w:val="33FB47B2"/>
    <w:rsid w:val="33FE062C"/>
    <w:rsid w:val="34000F51"/>
    <w:rsid w:val="34056B2D"/>
    <w:rsid w:val="340D123D"/>
    <w:rsid w:val="340D402A"/>
    <w:rsid w:val="34117F4A"/>
    <w:rsid w:val="34157A69"/>
    <w:rsid w:val="342F04EE"/>
    <w:rsid w:val="343278F3"/>
    <w:rsid w:val="343773FE"/>
    <w:rsid w:val="344352BB"/>
    <w:rsid w:val="34565015"/>
    <w:rsid w:val="345F13D2"/>
    <w:rsid w:val="346614E2"/>
    <w:rsid w:val="346F44E7"/>
    <w:rsid w:val="3477121B"/>
    <w:rsid w:val="34833930"/>
    <w:rsid w:val="348576A9"/>
    <w:rsid w:val="34880F47"/>
    <w:rsid w:val="34C33940"/>
    <w:rsid w:val="34CC177B"/>
    <w:rsid w:val="34CE5612"/>
    <w:rsid w:val="34CF786E"/>
    <w:rsid w:val="34D67F04"/>
    <w:rsid w:val="34DA288E"/>
    <w:rsid w:val="34E07C21"/>
    <w:rsid w:val="34E11C57"/>
    <w:rsid w:val="34E43EEA"/>
    <w:rsid w:val="34F47C15"/>
    <w:rsid w:val="34F540BD"/>
    <w:rsid w:val="34FF3C2C"/>
    <w:rsid w:val="35063B46"/>
    <w:rsid w:val="35095EB0"/>
    <w:rsid w:val="351C3CD0"/>
    <w:rsid w:val="352F1E92"/>
    <w:rsid w:val="353763F9"/>
    <w:rsid w:val="353C79F3"/>
    <w:rsid w:val="353F5F9A"/>
    <w:rsid w:val="35600779"/>
    <w:rsid w:val="35657FED"/>
    <w:rsid w:val="35976ED7"/>
    <w:rsid w:val="35977693"/>
    <w:rsid w:val="35980087"/>
    <w:rsid w:val="35B84DAB"/>
    <w:rsid w:val="35C52894"/>
    <w:rsid w:val="35D07049"/>
    <w:rsid w:val="35F036ED"/>
    <w:rsid w:val="35FB5BA7"/>
    <w:rsid w:val="36021E5F"/>
    <w:rsid w:val="36327AC4"/>
    <w:rsid w:val="3634601F"/>
    <w:rsid w:val="36496AF6"/>
    <w:rsid w:val="36547421"/>
    <w:rsid w:val="365E6403"/>
    <w:rsid w:val="367251E5"/>
    <w:rsid w:val="36826596"/>
    <w:rsid w:val="36903B9D"/>
    <w:rsid w:val="369736C3"/>
    <w:rsid w:val="36C301B0"/>
    <w:rsid w:val="36C40C39"/>
    <w:rsid w:val="36C95739"/>
    <w:rsid w:val="36D6243D"/>
    <w:rsid w:val="36DE6128"/>
    <w:rsid w:val="36DE6652"/>
    <w:rsid w:val="36F01751"/>
    <w:rsid w:val="36FD0B04"/>
    <w:rsid w:val="370275A1"/>
    <w:rsid w:val="3709636F"/>
    <w:rsid w:val="370C2D55"/>
    <w:rsid w:val="370E7E29"/>
    <w:rsid w:val="37215DAE"/>
    <w:rsid w:val="372633C5"/>
    <w:rsid w:val="372F7F54"/>
    <w:rsid w:val="37425D25"/>
    <w:rsid w:val="374754B1"/>
    <w:rsid w:val="374E45F3"/>
    <w:rsid w:val="37624933"/>
    <w:rsid w:val="37710FF7"/>
    <w:rsid w:val="377870D5"/>
    <w:rsid w:val="378C7B63"/>
    <w:rsid w:val="37C01AB5"/>
    <w:rsid w:val="37C357B7"/>
    <w:rsid w:val="37C8480D"/>
    <w:rsid w:val="38107733"/>
    <w:rsid w:val="38156F95"/>
    <w:rsid w:val="38246750"/>
    <w:rsid w:val="382A0C93"/>
    <w:rsid w:val="382E7411"/>
    <w:rsid w:val="38552071"/>
    <w:rsid w:val="385F25BB"/>
    <w:rsid w:val="386609E8"/>
    <w:rsid w:val="387B2A25"/>
    <w:rsid w:val="38997BC6"/>
    <w:rsid w:val="38A0575D"/>
    <w:rsid w:val="38A14437"/>
    <w:rsid w:val="38AC16A8"/>
    <w:rsid w:val="38B577A9"/>
    <w:rsid w:val="38B74C05"/>
    <w:rsid w:val="38CC421D"/>
    <w:rsid w:val="38D16635"/>
    <w:rsid w:val="38D373E7"/>
    <w:rsid w:val="38E52E0C"/>
    <w:rsid w:val="38FA57F0"/>
    <w:rsid w:val="3936186D"/>
    <w:rsid w:val="395104A1"/>
    <w:rsid w:val="39514E0B"/>
    <w:rsid w:val="39566F53"/>
    <w:rsid w:val="395941C6"/>
    <w:rsid w:val="39693A3D"/>
    <w:rsid w:val="397905D6"/>
    <w:rsid w:val="39864DE3"/>
    <w:rsid w:val="39976270"/>
    <w:rsid w:val="399C32F4"/>
    <w:rsid w:val="399D5638"/>
    <w:rsid w:val="39B41C18"/>
    <w:rsid w:val="39B653E7"/>
    <w:rsid w:val="39C538F9"/>
    <w:rsid w:val="39CF5727"/>
    <w:rsid w:val="39D210D0"/>
    <w:rsid w:val="39D31839"/>
    <w:rsid w:val="39D7425E"/>
    <w:rsid w:val="39F2758E"/>
    <w:rsid w:val="39F82FB1"/>
    <w:rsid w:val="3A086DB2"/>
    <w:rsid w:val="3A1C273B"/>
    <w:rsid w:val="3A255D6F"/>
    <w:rsid w:val="3A291776"/>
    <w:rsid w:val="3A2B2AA0"/>
    <w:rsid w:val="3A30455A"/>
    <w:rsid w:val="3A43382A"/>
    <w:rsid w:val="3A51108A"/>
    <w:rsid w:val="3A5C534F"/>
    <w:rsid w:val="3A604CCB"/>
    <w:rsid w:val="3A667F7C"/>
    <w:rsid w:val="3A6711EA"/>
    <w:rsid w:val="3A6B021B"/>
    <w:rsid w:val="3A6C27C7"/>
    <w:rsid w:val="3A7D77A0"/>
    <w:rsid w:val="3A7E7CFE"/>
    <w:rsid w:val="3A95616C"/>
    <w:rsid w:val="3AB03D58"/>
    <w:rsid w:val="3AC0143A"/>
    <w:rsid w:val="3AE72E6B"/>
    <w:rsid w:val="3AF31112"/>
    <w:rsid w:val="3AF71C4F"/>
    <w:rsid w:val="3B0C28E2"/>
    <w:rsid w:val="3B325752"/>
    <w:rsid w:val="3B4113F9"/>
    <w:rsid w:val="3B4503AF"/>
    <w:rsid w:val="3B4B164C"/>
    <w:rsid w:val="3B4C0F20"/>
    <w:rsid w:val="3B4F0A10"/>
    <w:rsid w:val="3B5E513D"/>
    <w:rsid w:val="3B6E2308"/>
    <w:rsid w:val="3B700B9E"/>
    <w:rsid w:val="3B7A70C3"/>
    <w:rsid w:val="3B8C568A"/>
    <w:rsid w:val="3B8C6B52"/>
    <w:rsid w:val="3B9265F7"/>
    <w:rsid w:val="3BB36501"/>
    <w:rsid w:val="3BC10F8A"/>
    <w:rsid w:val="3BCA0430"/>
    <w:rsid w:val="3BD66A3C"/>
    <w:rsid w:val="3BDC3F68"/>
    <w:rsid w:val="3BDD601C"/>
    <w:rsid w:val="3BE21884"/>
    <w:rsid w:val="3C0D7BA2"/>
    <w:rsid w:val="3C1464E6"/>
    <w:rsid w:val="3C1F3B0A"/>
    <w:rsid w:val="3C2F5079"/>
    <w:rsid w:val="3C3814A4"/>
    <w:rsid w:val="3C3D7460"/>
    <w:rsid w:val="3C616C4D"/>
    <w:rsid w:val="3C6248AD"/>
    <w:rsid w:val="3C795D45"/>
    <w:rsid w:val="3C820BF8"/>
    <w:rsid w:val="3C9A772E"/>
    <w:rsid w:val="3CB974FB"/>
    <w:rsid w:val="3CD16A6C"/>
    <w:rsid w:val="3CFC0724"/>
    <w:rsid w:val="3CFF2A56"/>
    <w:rsid w:val="3D015D3A"/>
    <w:rsid w:val="3D083C3D"/>
    <w:rsid w:val="3D0F0BF5"/>
    <w:rsid w:val="3D254DA7"/>
    <w:rsid w:val="3D31435C"/>
    <w:rsid w:val="3D367754"/>
    <w:rsid w:val="3D4D01FD"/>
    <w:rsid w:val="3D8116F1"/>
    <w:rsid w:val="3D842DB5"/>
    <w:rsid w:val="3D927E3F"/>
    <w:rsid w:val="3DB41B96"/>
    <w:rsid w:val="3DD76D85"/>
    <w:rsid w:val="3DD83ABF"/>
    <w:rsid w:val="3DD86A9B"/>
    <w:rsid w:val="3DDA437C"/>
    <w:rsid w:val="3DEE4511"/>
    <w:rsid w:val="3DF461A3"/>
    <w:rsid w:val="3E03072B"/>
    <w:rsid w:val="3E0B6234"/>
    <w:rsid w:val="3E0C4997"/>
    <w:rsid w:val="3E104487"/>
    <w:rsid w:val="3E1516BF"/>
    <w:rsid w:val="3E201151"/>
    <w:rsid w:val="3E54572C"/>
    <w:rsid w:val="3E600BB4"/>
    <w:rsid w:val="3E704F26"/>
    <w:rsid w:val="3E726EF0"/>
    <w:rsid w:val="3E8A2129"/>
    <w:rsid w:val="3E8C3990"/>
    <w:rsid w:val="3EA90437"/>
    <w:rsid w:val="3EC534C3"/>
    <w:rsid w:val="3EDA4D3F"/>
    <w:rsid w:val="3F0B745A"/>
    <w:rsid w:val="3F1708AB"/>
    <w:rsid w:val="3F8A0269"/>
    <w:rsid w:val="3F8A3D39"/>
    <w:rsid w:val="3F8D0174"/>
    <w:rsid w:val="3F95226A"/>
    <w:rsid w:val="3F987717"/>
    <w:rsid w:val="3FD23300"/>
    <w:rsid w:val="3FF47042"/>
    <w:rsid w:val="3FF54785"/>
    <w:rsid w:val="3FFC0AB7"/>
    <w:rsid w:val="3FFF0B26"/>
    <w:rsid w:val="4001677D"/>
    <w:rsid w:val="400445D6"/>
    <w:rsid w:val="4015659C"/>
    <w:rsid w:val="401D268F"/>
    <w:rsid w:val="40271F5C"/>
    <w:rsid w:val="403D5DB4"/>
    <w:rsid w:val="40444047"/>
    <w:rsid w:val="40452250"/>
    <w:rsid w:val="40501155"/>
    <w:rsid w:val="405229A9"/>
    <w:rsid w:val="40534AFF"/>
    <w:rsid w:val="406D3E12"/>
    <w:rsid w:val="408175F7"/>
    <w:rsid w:val="40955117"/>
    <w:rsid w:val="409E45E2"/>
    <w:rsid w:val="40A52125"/>
    <w:rsid w:val="40AE436A"/>
    <w:rsid w:val="40B61FF8"/>
    <w:rsid w:val="40C7171A"/>
    <w:rsid w:val="40D724A1"/>
    <w:rsid w:val="40DB5220"/>
    <w:rsid w:val="40E72D37"/>
    <w:rsid w:val="40E8793D"/>
    <w:rsid w:val="40EF4827"/>
    <w:rsid w:val="4114603C"/>
    <w:rsid w:val="413E57AF"/>
    <w:rsid w:val="415A1391"/>
    <w:rsid w:val="415E5B0A"/>
    <w:rsid w:val="41801923"/>
    <w:rsid w:val="41965A41"/>
    <w:rsid w:val="41970D49"/>
    <w:rsid w:val="41A25D3E"/>
    <w:rsid w:val="41B92A4F"/>
    <w:rsid w:val="41C964B4"/>
    <w:rsid w:val="41D13F2D"/>
    <w:rsid w:val="41D517BE"/>
    <w:rsid w:val="41D5429B"/>
    <w:rsid w:val="41F92ABD"/>
    <w:rsid w:val="41FC1B6A"/>
    <w:rsid w:val="42332E3A"/>
    <w:rsid w:val="423C4D26"/>
    <w:rsid w:val="42416CF7"/>
    <w:rsid w:val="424D1C7F"/>
    <w:rsid w:val="425846A6"/>
    <w:rsid w:val="426137A1"/>
    <w:rsid w:val="42624E34"/>
    <w:rsid w:val="427F218F"/>
    <w:rsid w:val="42840AD6"/>
    <w:rsid w:val="42870A90"/>
    <w:rsid w:val="428B63CF"/>
    <w:rsid w:val="42AF67D0"/>
    <w:rsid w:val="42BC0E70"/>
    <w:rsid w:val="42C245CE"/>
    <w:rsid w:val="42C35F6C"/>
    <w:rsid w:val="42CE53D3"/>
    <w:rsid w:val="42CF6F4F"/>
    <w:rsid w:val="42DD0E52"/>
    <w:rsid w:val="42F25C9A"/>
    <w:rsid w:val="43055AE1"/>
    <w:rsid w:val="430976F7"/>
    <w:rsid w:val="431A0C24"/>
    <w:rsid w:val="43284021"/>
    <w:rsid w:val="432D1637"/>
    <w:rsid w:val="434E1C20"/>
    <w:rsid w:val="43620283"/>
    <w:rsid w:val="4363286E"/>
    <w:rsid w:val="437101AA"/>
    <w:rsid w:val="43741014"/>
    <w:rsid w:val="43A73BE3"/>
    <w:rsid w:val="43AE7A7E"/>
    <w:rsid w:val="43B01826"/>
    <w:rsid w:val="43C7383A"/>
    <w:rsid w:val="43CA157C"/>
    <w:rsid w:val="43CF502D"/>
    <w:rsid w:val="43E8521C"/>
    <w:rsid w:val="43FD36FF"/>
    <w:rsid w:val="440B02B4"/>
    <w:rsid w:val="441C5080"/>
    <w:rsid w:val="44233849"/>
    <w:rsid w:val="44496945"/>
    <w:rsid w:val="446B500C"/>
    <w:rsid w:val="448508DF"/>
    <w:rsid w:val="44BF18A2"/>
    <w:rsid w:val="44CF71AB"/>
    <w:rsid w:val="44E23735"/>
    <w:rsid w:val="44E26451"/>
    <w:rsid w:val="44E67CEF"/>
    <w:rsid w:val="44EA77F7"/>
    <w:rsid w:val="4517434D"/>
    <w:rsid w:val="45357785"/>
    <w:rsid w:val="45387766"/>
    <w:rsid w:val="453A760F"/>
    <w:rsid w:val="45491A3E"/>
    <w:rsid w:val="45503B28"/>
    <w:rsid w:val="45853082"/>
    <w:rsid w:val="45857508"/>
    <w:rsid w:val="45891F3C"/>
    <w:rsid w:val="4590274A"/>
    <w:rsid w:val="45905EAD"/>
    <w:rsid w:val="45A32084"/>
    <w:rsid w:val="45A8769B"/>
    <w:rsid w:val="45C344D5"/>
    <w:rsid w:val="45C864B7"/>
    <w:rsid w:val="45D264C6"/>
    <w:rsid w:val="45ED50AE"/>
    <w:rsid w:val="45FD0891"/>
    <w:rsid w:val="46185D52"/>
    <w:rsid w:val="46192347"/>
    <w:rsid w:val="46252A99"/>
    <w:rsid w:val="462C285E"/>
    <w:rsid w:val="4639249F"/>
    <w:rsid w:val="463A0304"/>
    <w:rsid w:val="464A4975"/>
    <w:rsid w:val="465670F7"/>
    <w:rsid w:val="4665558C"/>
    <w:rsid w:val="467C2D95"/>
    <w:rsid w:val="46805F22"/>
    <w:rsid w:val="468477C0"/>
    <w:rsid w:val="4689127A"/>
    <w:rsid w:val="4695468D"/>
    <w:rsid w:val="469A6A31"/>
    <w:rsid w:val="46C73B51"/>
    <w:rsid w:val="46CA3A9F"/>
    <w:rsid w:val="46D83FB0"/>
    <w:rsid w:val="46F25071"/>
    <w:rsid w:val="471553B4"/>
    <w:rsid w:val="471E6457"/>
    <w:rsid w:val="471F398D"/>
    <w:rsid w:val="47232D85"/>
    <w:rsid w:val="475F6267"/>
    <w:rsid w:val="4760207C"/>
    <w:rsid w:val="4766336A"/>
    <w:rsid w:val="47743C9D"/>
    <w:rsid w:val="478657BA"/>
    <w:rsid w:val="478B55A3"/>
    <w:rsid w:val="47906F17"/>
    <w:rsid w:val="479A7A31"/>
    <w:rsid w:val="479B1699"/>
    <w:rsid w:val="47A10846"/>
    <w:rsid w:val="47AF51BF"/>
    <w:rsid w:val="47B81E12"/>
    <w:rsid w:val="47C12FC5"/>
    <w:rsid w:val="47D03B18"/>
    <w:rsid w:val="47DB1D58"/>
    <w:rsid w:val="47ED29D3"/>
    <w:rsid w:val="47EF74A3"/>
    <w:rsid w:val="47F50C9B"/>
    <w:rsid w:val="480C5CBF"/>
    <w:rsid w:val="480F1D14"/>
    <w:rsid w:val="4834394A"/>
    <w:rsid w:val="48390A7E"/>
    <w:rsid w:val="48515DC8"/>
    <w:rsid w:val="48531B40"/>
    <w:rsid w:val="485A65F3"/>
    <w:rsid w:val="48987720"/>
    <w:rsid w:val="489B34E7"/>
    <w:rsid w:val="489D4A92"/>
    <w:rsid w:val="48AA0D47"/>
    <w:rsid w:val="48AB437A"/>
    <w:rsid w:val="48B63E7D"/>
    <w:rsid w:val="48BB5E99"/>
    <w:rsid w:val="48C7608A"/>
    <w:rsid w:val="48E704DA"/>
    <w:rsid w:val="48E709AB"/>
    <w:rsid w:val="48FD1AAC"/>
    <w:rsid w:val="49074129"/>
    <w:rsid w:val="491C4628"/>
    <w:rsid w:val="491E413A"/>
    <w:rsid w:val="492B5D1A"/>
    <w:rsid w:val="49356195"/>
    <w:rsid w:val="493E72F4"/>
    <w:rsid w:val="49477CA3"/>
    <w:rsid w:val="495105E0"/>
    <w:rsid w:val="495530D2"/>
    <w:rsid w:val="495D4FB7"/>
    <w:rsid w:val="495F0F47"/>
    <w:rsid w:val="497F0713"/>
    <w:rsid w:val="49850611"/>
    <w:rsid w:val="49902920"/>
    <w:rsid w:val="499C3073"/>
    <w:rsid w:val="49B4660E"/>
    <w:rsid w:val="49E47F0A"/>
    <w:rsid w:val="4A221E06"/>
    <w:rsid w:val="4A2C05A1"/>
    <w:rsid w:val="4A487A49"/>
    <w:rsid w:val="4A563B69"/>
    <w:rsid w:val="4A661827"/>
    <w:rsid w:val="4A77137D"/>
    <w:rsid w:val="4A995804"/>
    <w:rsid w:val="4A9D3546"/>
    <w:rsid w:val="4AAA5C63"/>
    <w:rsid w:val="4AAC19DB"/>
    <w:rsid w:val="4ABE4002"/>
    <w:rsid w:val="4AD3789D"/>
    <w:rsid w:val="4AE61558"/>
    <w:rsid w:val="4AE629A4"/>
    <w:rsid w:val="4AF93679"/>
    <w:rsid w:val="4B1E0386"/>
    <w:rsid w:val="4B2B6DA4"/>
    <w:rsid w:val="4B327DA5"/>
    <w:rsid w:val="4B483ECE"/>
    <w:rsid w:val="4B4D5DE5"/>
    <w:rsid w:val="4B53713F"/>
    <w:rsid w:val="4B5918B4"/>
    <w:rsid w:val="4B5E178B"/>
    <w:rsid w:val="4B7A3887"/>
    <w:rsid w:val="4B7D53C9"/>
    <w:rsid w:val="4B85293F"/>
    <w:rsid w:val="4B902502"/>
    <w:rsid w:val="4B9B344B"/>
    <w:rsid w:val="4BA44460"/>
    <w:rsid w:val="4BDB55FA"/>
    <w:rsid w:val="4BF70A34"/>
    <w:rsid w:val="4C017B05"/>
    <w:rsid w:val="4C0849EF"/>
    <w:rsid w:val="4C125927"/>
    <w:rsid w:val="4C3A3FC8"/>
    <w:rsid w:val="4C3D55C6"/>
    <w:rsid w:val="4C520360"/>
    <w:rsid w:val="4C583BC9"/>
    <w:rsid w:val="4C667A5B"/>
    <w:rsid w:val="4C823BCA"/>
    <w:rsid w:val="4C8C73CE"/>
    <w:rsid w:val="4C9F1330"/>
    <w:rsid w:val="4CA23096"/>
    <w:rsid w:val="4CAB3457"/>
    <w:rsid w:val="4CAF57B3"/>
    <w:rsid w:val="4CD82614"/>
    <w:rsid w:val="4CEA67EB"/>
    <w:rsid w:val="4CF124C7"/>
    <w:rsid w:val="4CF70170"/>
    <w:rsid w:val="4CF907DC"/>
    <w:rsid w:val="4CFA619E"/>
    <w:rsid w:val="4CFD777A"/>
    <w:rsid w:val="4D043409"/>
    <w:rsid w:val="4D201110"/>
    <w:rsid w:val="4D3431C7"/>
    <w:rsid w:val="4D526F59"/>
    <w:rsid w:val="4D650150"/>
    <w:rsid w:val="4D7F0CE1"/>
    <w:rsid w:val="4D981DA3"/>
    <w:rsid w:val="4D9A5B1B"/>
    <w:rsid w:val="4D9C7AE5"/>
    <w:rsid w:val="4DA229B3"/>
    <w:rsid w:val="4DB35F12"/>
    <w:rsid w:val="4DE03AC2"/>
    <w:rsid w:val="4DE1199C"/>
    <w:rsid w:val="4DEF02BD"/>
    <w:rsid w:val="4DFB0EC4"/>
    <w:rsid w:val="4E0336C0"/>
    <w:rsid w:val="4E0D72D8"/>
    <w:rsid w:val="4E125FF9"/>
    <w:rsid w:val="4E214868"/>
    <w:rsid w:val="4E274307"/>
    <w:rsid w:val="4E383ED6"/>
    <w:rsid w:val="4E3B5C73"/>
    <w:rsid w:val="4E560D60"/>
    <w:rsid w:val="4E564593"/>
    <w:rsid w:val="4E703F51"/>
    <w:rsid w:val="4E802F63"/>
    <w:rsid w:val="4E8A5B90"/>
    <w:rsid w:val="4E942C0A"/>
    <w:rsid w:val="4E98220D"/>
    <w:rsid w:val="4EA67471"/>
    <w:rsid w:val="4EB7399D"/>
    <w:rsid w:val="4EB96475"/>
    <w:rsid w:val="4EC372F3"/>
    <w:rsid w:val="4ECD2716"/>
    <w:rsid w:val="4ED35788"/>
    <w:rsid w:val="4EE73AF5"/>
    <w:rsid w:val="4EE84EA5"/>
    <w:rsid w:val="4EEE4AF5"/>
    <w:rsid w:val="4F0B544D"/>
    <w:rsid w:val="4F0C0C9A"/>
    <w:rsid w:val="4F165675"/>
    <w:rsid w:val="4F301FB1"/>
    <w:rsid w:val="4F473A81"/>
    <w:rsid w:val="4F4F7329"/>
    <w:rsid w:val="4F5260B5"/>
    <w:rsid w:val="4F5543EF"/>
    <w:rsid w:val="4F56624C"/>
    <w:rsid w:val="4F58224C"/>
    <w:rsid w:val="4F5A7FFE"/>
    <w:rsid w:val="4F5B752C"/>
    <w:rsid w:val="4F5F701C"/>
    <w:rsid w:val="4F7A3E56"/>
    <w:rsid w:val="4F846A83"/>
    <w:rsid w:val="4F8B2726"/>
    <w:rsid w:val="4F8B4457"/>
    <w:rsid w:val="4FA41146"/>
    <w:rsid w:val="4FA90297"/>
    <w:rsid w:val="4FD80B7D"/>
    <w:rsid w:val="4FDA01F8"/>
    <w:rsid w:val="4FE561E5"/>
    <w:rsid w:val="4FF221C3"/>
    <w:rsid w:val="4FF27E90"/>
    <w:rsid w:val="4FF5172F"/>
    <w:rsid w:val="4FFA0634"/>
    <w:rsid w:val="500032A2"/>
    <w:rsid w:val="50146059"/>
    <w:rsid w:val="504E08AD"/>
    <w:rsid w:val="50575F45"/>
    <w:rsid w:val="505C4D01"/>
    <w:rsid w:val="506F4A92"/>
    <w:rsid w:val="507419FE"/>
    <w:rsid w:val="507C1E50"/>
    <w:rsid w:val="508B1CA1"/>
    <w:rsid w:val="50901457"/>
    <w:rsid w:val="509E5922"/>
    <w:rsid w:val="50A54F03"/>
    <w:rsid w:val="50AA168D"/>
    <w:rsid w:val="50AF4B30"/>
    <w:rsid w:val="50BC5CDC"/>
    <w:rsid w:val="50CA2BBB"/>
    <w:rsid w:val="50E74C38"/>
    <w:rsid w:val="50FC089B"/>
    <w:rsid w:val="50FD0D89"/>
    <w:rsid w:val="50FE2865"/>
    <w:rsid w:val="51024103"/>
    <w:rsid w:val="51025571"/>
    <w:rsid w:val="51071719"/>
    <w:rsid w:val="510819A0"/>
    <w:rsid w:val="51200E5F"/>
    <w:rsid w:val="5123009E"/>
    <w:rsid w:val="512C2CA7"/>
    <w:rsid w:val="512D289E"/>
    <w:rsid w:val="514152FB"/>
    <w:rsid w:val="51434ED1"/>
    <w:rsid w:val="5147420C"/>
    <w:rsid w:val="514D0397"/>
    <w:rsid w:val="51595CED"/>
    <w:rsid w:val="516445A0"/>
    <w:rsid w:val="518956A9"/>
    <w:rsid w:val="51E101BC"/>
    <w:rsid w:val="521D4F6D"/>
    <w:rsid w:val="523A416D"/>
    <w:rsid w:val="52490C2A"/>
    <w:rsid w:val="5253273C"/>
    <w:rsid w:val="525505B5"/>
    <w:rsid w:val="5261544F"/>
    <w:rsid w:val="529414C0"/>
    <w:rsid w:val="52A01E26"/>
    <w:rsid w:val="52A52223"/>
    <w:rsid w:val="52B97CAE"/>
    <w:rsid w:val="52C504FB"/>
    <w:rsid w:val="52DC6BD6"/>
    <w:rsid w:val="52E13756"/>
    <w:rsid w:val="52E65840"/>
    <w:rsid w:val="52EF5C2D"/>
    <w:rsid w:val="52EF6909"/>
    <w:rsid w:val="52F47582"/>
    <w:rsid w:val="5311687F"/>
    <w:rsid w:val="531E71EE"/>
    <w:rsid w:val="5322283B"/>
    <w:rsid w:val="53230361"/>
    <w:rsid w:val="536270DB"/>
    <w:rsid w:val="5371534A"/>
    <w:rsid w:val="53720C63"/>
    <w:rsid w:val="53764934"/>
    <w:rsid w:val="537700D3"/>
    <w:rsid w:val="537A4622"/>
    <w:rsid w:val="53811681"/>
    <w:rsid w:val="538A520F"/>
    <w:rsid w:val="53933E3F"/>
    <w:rsid w:val="53AC4A7F"/>
    <w:rsid w:val="53B418CC"/>
    <w:rsid w:val="53F32910"/>
    <w:rsid w:val="53F4098D"/>
    <w:rsid w:val="53FC3AD9"/>
    <w:rsid w:val="53FE04C8"/>
    <w:rsid w:val="54206BE2"/>
    <w:rsid w:val="54297BB6"/>
    <w:rsid w:val="542B571F"/>
    <w:rsid w:val="54336DD4"/>
    <w:rsid w:val="543660C2"/>
    <w:rsid w:val="54375971"/>
    <w:rsid w:val="54453F00"/>
    <w:rsid w:val="544D196D"/>
    <w:rsid w:val="54723C7D"/>
    <w:rsid w:val="5478326E"/>
    <w:rsid w:val="547F6951"/>
    <w:rsid w:val="54854CE2"/>
    <w:rsid w:val="548965FC"/>
    <w:rsid w:val="548E5CAE"/>
    <w:rsid w:val="54905064"/>
    <w:rsid w:val="54931516"/>
    <w:rsid w:val="549F015A"/>
    <w:rsid w:val="54AF503F"/>
    <w:rsid w:val="54B25E40"/>
    <w:rsid w:val="54D730B0"/>
    <w:rsid w:val="54E812EA"/>
    <w:rsid w:val="54F76B5C"/>
    <w:rsid w:val="55020A87"/>
    <w:rsid w:val="550341FE"/>
    <w:rsid w:val="55042014"/>
    <w:rsid w:val="55210479"/>
    <w:rsid w:val="552A209A"/>
    <w:rsid w:val="55393BB8"/>
    <w:rsid w:val="55517407"/>
    <w:rsid w:val="55614C5E"/>
    <w:rsid w:val="556C5FEF"/>
    <w:rsid w:val="5572737D"/>
    <w:rsid w:val="55823A64"/>
    <w:rsid w:val="558C2621"/>
    <w:rsid w:val="55AD3652"/>
    <w:rsid w:val="55B9606B"/>
    <w:rsid w:val="55DE0E54"/>
    <w:rsid w:val="55EE4C56"/>
    <w:rsid w:val="55FF52A6"/>
    <w:rsid w:val="5633198E"/>
    <w:rsid w:val="563E5469"/>
    <w:rsid w:val="565A053D"/>
    <w:rsid w:val="566919C6"/>
    <w:rsid w:val="566C5546"/>
    <w:rsid w:val="56745BC9"/>
    <w:rsid w:val="568832FC"/>
    <w:rsid w:val="56907775"/>
    <w:rsid w:val="56C1236A"/>
    <w:rsid w:val="56CD56FA"/>
    <w:rsid w:val="56CF2CF8"/>
    <w:rsid w:val="56E34EAC"/>
    <w:rsid w:val="57016C0B"/>
    <w:rsid w:val="570203D1"/>
    <w:rsid w:val="571159E3"/>
    <w:rsid w:val="571D3ABE"/>
    <w:rsid w:val="571F6B78"/>
    <w:rsid w:val="57340D8E"/>
    <w:rsid w:val="57452F9B"/>
    <w:rsid w:val="57645BA3"/>
    <w:rsid w:val="576A1B6C"/>
    <w:rsid w:val="57805D82"/>
    <w:rsid w:val="579001D7"/>
    <w:rsid w:val="57936854"/>
    <w:rsid w:val="579848F6"/>
    <w:rsid w:val="57A22474"/>
    <w:rsid w:val="57AF0A2B"/>
    <w:rsid w:val="57C43A36"/>
    <w:rsid w:val="57F62116"/>
    <w:rsid w:val="580746F5"/>
    <w:rsid w:val="58101705"/>
    <w:rsid w:val="58335AD6"/>
    <w:rsid w:val="58346B6C"/>
    <w:rsid w:val="584265A5"/>
    <w:rsid w:val="58564D34"/>
    <w:rsid w:val="58707FAE"/>
    <w:rsid w:val="58733B38"/>
    <w:rsid w:val="58801DB1"/>
    <w:rsid w:val="58895B35"/>
    <w:rsid w:val="58906498"/>
    <w:rsid w:val="58C83D7C"/>
    <w:rsid w:val="58E7744A"/>
    <w:rsid w:val="59012EF2"/>
    <w:rsid w:val="5909370D"/>
    <w:rsid w:val="590D48EB"/>
    <w:rsid w:val="59495353"/>
    <w:rsid w:val="594B0611"/>
    <w:rsid w:val="594D4389"/>
    <w:rsid w:val="595D2922"/>
    <w:rsid w:val="59634E7E"/>
    <w:rsid w:val="597265E6"/>
    <w:rsid w:val="59943D66"/>
    <w:rsid w:val="5996188C"/>
    <w:rsid w:val="59A85569"/>
    <w:rsid w:val="59A90DF6"/>
    <w:rsid w:val="59B8686F"/>
    <w:rsid w:val="59B86AAB"/>
    <w:rsid w:val="59BF5B8E"/>
    <w:rsid w:val="59D027D3"/>
    <w:rsid w:val="59DE0C7A"/>
    <w:rsid w:val="59F04D56"/>
    <w:rsid w:val="59FD5DAF"/>
    <w:rsid w:val="5A125C89"/>
    <w:rsid w:val="5A417D7A"/>
    <w:rsid w:val="5A4C2893"/>
    <w:rsid w:val="5A4F7A61"/>
    <w:rsid w:val="5A6279C1"/>
    <w:rsid w:val="5A690D4F"/>
    <w:rsid w:val="5A77291D"/>
    <w:rsid w:val="5A852ECF"/>
    <w:rsid w:val="5A9C1659"/>
    <w:rsid w:val="5AA026B8"/>
    <w:rsid w:val="5AA116D7"/>
    <w:rsid w:val="5AAC7C87"/>
    <w:rsid w:val="5AB26B9A"/>
    <w:rsid w:val="5ADA1FF9"/>
    <w:rsid w:val="5AE821DA"/>
    <w:rsid w:val="5AED557F"/>
    <w:rsid w:val="5AF20641"/>
    <w:rsid w:val="5AFD1904"/>
    <w:rsid w:val="5B1552F3"/>
    <w:rsid w:val="5B2B4256"/>
    <w:rsid w:val="5B2C0607"/>
    <w:rsid w:val="5B3034F1"/>
    <w:rsid w:val="5B424CC5"/>
    <w:rsid w:val="5B4672E2"/>
    <w:rsid w:val="5B57504B"/>
    <w:rsid w:val="5B597015"/>
    <w:rsid w:val="5B63362E"/>
    <w:rsid w:val="5B755268"/>
    <w:rsid w:val="5B7B51DE"/>
    <w:rsid w:val="5B88241C"/>
    <w:rsid w:val="5B90055D"/>
    <w:rsid w:val="5B9C2FC5"/>
    <w:rsid w:val="5BA54987"/>
    <w:rsid w:val="5BA65FD3"/>
    <w:rsid w:val="5BC86521"/>
    <w:rsid w:val="5BDC51D2"/>
    <w:rsid w:val="5BDE39BF"/>
    <w:rsid w:val="5C082709"/>
    <w:rsid w:val="5C11169E"/>
    <w:rsid w:val="5C14060C"/>
    <w:rsid w:val="5C180F45"/>
    <w:rsid w:val="5C182A2D"/>
    <w:rsid w:val="5C2E582C"/>
    <w:rsid w:val="5C4C1E77"/>
    <w:rsid w:val="5C7639BC"/>
    <w:rsid w:val="5C981DBF"/>
    <w:rsid w:val="5CA13925"/>
    <w:rsid w:val="5CBC5AAE"/>
    <w:rsid w:val="5CD12F06"/>
    <w:rsid w:val="5CD85C43"/>
    <w:rsid w:val="5CF7084F"/>
    <w:rsid w:val="5D02548B"/>
    <w:rsid w:val="5D0273FA"/>
    <w:rsid w:val="5D147937"/>
    <w:rsid w:val="5D1634FA"/>
    <w:rsid w:val="5D2733FE"/>
    <w:rsid w:val="5D2A0341"/>
    <w:rsid w:val="5D521F6E"/>
    <w:rsid w:val="5D614E5A"/>
    <w:rsid w:val="5D7A4EBD"/>
    <w:rsid w:val="5D7B2AFB"/>
    <w:rsid w:val="5D9D4948"/>
    <w:rsid w:val="5DA07441"/>
    <w:rsid w:val="5DAB5B22"/>
    <w:rsid w:val="5DC34C1A"/>
    <w:rsid w:val="5DC664B8"/>
    <w:rsid w:val="5DCD5EDE"/>
    <w:rsid w:val="5DDB01B6"/>
    <w:rsid w:val="5DDD01B0"/>
    <w:rsid w:val="5DE227D8"/>
    <w:rsid w:val="5DEE4FE1"/>
    <w:rsid w:val="5E040F9B"/>
    <w:rsid w:val="5E163DAD"/>
    <w:rsid w:val="5E18199F"/>
    <w:rsid w:val="5E276BBA"/>
    <w:rsid w:val="5E4A34BA"/>
    <w:rsid w:val="5E5166CA"/>
    <w:rsid w:val="5E572B7B"/>
    <w:rsid w:val="5E622685"/>
    <w:rsid w:val="5E6230CD"/>
    <w:rsid w:val="5E74759B"/>
    <w:rsid w:val="5E837070"/>
    <w:rsid w:val="5E916EEA"/>
    <w:rsid w:val="5EB629D1"/>
    <w:rsid w:val="5ED929BD"/>
    <w:rsid w:val="5EE004CC"/>
    <w:rsid w:val="5EEF44C3"/>
    <w:rsid w:val="5EF64B87"/>
    <w:rsid w:val="5EFE24CD"/>
    <w:rsid w:val="5F1E02ED"/>
    <w:rsid w:val="5F5335CE"/>
    <w:rsid w:val="5F5F0972"/>
    <w:rsid w:val="5F6123D2"/>
    <w:rsid w:val="5F6E604F"/>
    <w:rsid w:val="5F781A34"/>
    <w:rsid w:val="5F7C6175"/>
    <w:rsid w:val="5F8C113D"/>
    <w:rsid w:val="5F9E149B"/>
    <w:rsid w:val="5F9E76ED"/>
    <w:rsid w:val="5FA55B60"/>
    <w:rsid w:val="5FB55859"/>
    <w:rsid w:val="5FEB2206"/>
    <w:rsid w:val="5FEE6A48"/>
    <w:rsid w:val="6028198E"/>
    <w:rsid w:val="602C2F4B"/>
    <w:rsid w:val="60457B68"/>
    <w:rsid w:val="605C4EB2"/>
    <w:rsid w:val="6060214E"/>
    <w:rsid w:val="6071387E"/>
    <w:rsid w:val="608C5797"/>
    <w:rsid w:val="60932B78"/>
    <w:rsid w:val="60B1182C"/>
    <w:rsid w:val="60B54E5F"/>
    <w:rsid w:val="60B60A66"/>
    <w:rsid w:val="60D67EB5"/>
    <w:rsid w:val="60E72435"/>
    <w:rsid w:val="60F12408"/>
    <w:rsid w:val="60F915AE"/>
    <w:rsid w:val="61085853"/>
    <w:rsid w:val="611834CF"/>
    <w:rsid w:val="61186844"/>
    <w:rsid w:val="61196AEE"/>
    <w:rsid w:val="611D2893"/>
    <w:rsid w:val="612015DC"/>
    <w:rsid w:val="6138147B"/>
    <w:rsid w:val="613D3456"/>
    <w:rsid w:val="61482832"/>
    <w:rsid w:val="615C785F"/>
    <w:rsid w:val="6161246C"/>
    <w:rsid w:val="61742A83"/>
    <w:rsid w:val="617901B4"/>
    <w:rsid w:val="617A09D3"/>
    <w:rsid w:val="617A6407"/>
    <w:rsid w:val="617E2BD9"/>
    <w:rsid w:val="619C7C5C"/>
    <w:rsid w:val="61A66D2D"/>
    <w:rsid w:val="61A92379"/>
    <w:rsid w:val="61AB7F4F"/>
    <w:rsid w:val="61BA27D8"/>
    <w:rsid w:val="61BC7327"/>
    <w:rsid w:val="61D513C0"/>
    <w:rsid w:val="61F12BA4"/>
    <w:rsid w:val="61FC795F"/>
    <w:rsid w:val="62035F2D"/>
    <w:rsid w:val="62265778"/>
    <w:rsid w:val="622A0453"/>
    <w:rsid w:val="62347E94"/>
    <w:rsid w:val="62554D7B"/>
    <w:rsid w:val="62782477"/>
    <w:rsid w:val="62870321"/>
    <w:rsid w:val="6287090C"/>
    <w:rsid w:val="62892F39"/>
    <w:rsid w:val="62A52639"/>
    <w:rsid w:val="62AE5E99"/>
    <w:rsid w:val="62C313EC"/>
    <w:rsid w:val="62C751AC"/>
    <w:rsid w:val="62D2532D"/>
    <w:rsid w:val="62D32926"/>
    <w:rsid w:val="62E775FD"/>
    <w:rsid w:val="62EB1C80"/>
    <w:rsid w:val="62F11E84"/>
    <w:rsid w:val="6306529F"/>
    <w:rsid w:val="631D7704"/>
    <w:rsid w:val="63224191"/>
    <w:rsid w:val="632B7CB6"/>
    <w:rsid w:val="632C5010"/>
    <w:rsid w:val="632D6A8C"/>
    <w:rsid w:val="63326075"/>
    <w:rsid w:val="63577595"/>
    <w:rsid w:val="63666773"/>
    <w:rsid w:val="636D1281"/>
    <w:rsid w:val="63921C8F"/>
    <w:rsid w:val="63974B7F"/>
    <w:rsid w:val="639F7B81"/>
    <w:rsid w:val="63A252D2"/>
    <w:rsid w:val="63B56648"/>
    <w:rsid w:val="63BE7F46"/>
    <w:rsid w:val="63C546CA"/>
    <w:rsid w:val="63D43500"/>
    <w:rsid w:val="63E36016"/>
    <w:rsid w:val="64177A6E"/>
    <w:rsid w:val="64191A38"/>
    <w:rsid w:val="64463885"/>
    <w:rsid w:val="6468651B"/>
    <w:rsid w:val="646C6942"/>
    <w:rsid w:val="64754C21"/>
    <w:rsid w:val="648101EB"/>
    <w:rsid w:val="648F5856"/>
    <w:rsid w:val="64966BE4"/>
    <w:rsid w:val="64C649E5"/>
    <w:rsid w:val="64C971FC"/>
    <w:rsid w:val="64D17A33"/>
    <w:rsid w:val="64E536C8"/>
    <w:rsid w:val="6507446B"/>
    <w:rsid w:val="651F176C"/>
    <w:rsid w:val="651F307E"/>
    <w:rsid w:val="65243799"/>
    <w:rsid w:val="653730AD"/>
    <w:rsid w:val="65473BE4"/>
    <w:rsid w:val="654823B1"/>
    <w:rsid w:val="65670581"/>
    <w:rsid w:val="656E5DB3"/>
    <w:rsid w:val="658B7760"/>
    <w:rsid w:val="659514FA"/>
    <w:rsid w:val="65A71B0C"/>
    <w:rsid w:val="65AC2438"/>
    <w:rsid w:val="65B4203E"/>
    <w:rsid w:val="65BE6761"/>
    <w:rsid w:val="65C562C1"/>
    <w:rsid w:val="65DA30E2"/>
    <w:rsid w:val="65DC0944"/>
    <w:rsid w:val="65EB1B83"/>
    <w:rsid w:val="65EE7177"/>
    <w:rsid w:val="65FC3D56"/>
    <w:rsid w:val="660A61FF"/>
    <w:rsid w:val="6635457B"/>
    <w:rsid w:val="663B78CC"/>
    <w:rsid w:val="665E1984"/>
    <w:rsid w:val="66645598"/>
    <w:rsid w:val="66713242"/>
    <w:rsid w:val="66A57E71"/>
    <w:rsid w:val="66B75538"/>
    <w:rsid w:val="66BD4460"/>
    <w:rsid w:val="66C7577B"/>
    <w:rsid w:val="66D47A94"/>
    <w:rsid w:val="66E4759D"/>
    <w:rsid w:val="674B4F4A"/>
    <w:rsid w:val="674E19F8"/>
    <w:rsid w:val="67656D42"/>
    <w:rsid w:val="676A3DA6"/>
    <w:rsid w:val="676C1E7F"/>
    <w:rsid w:val="67773A51"/>
    <w:rsid w:val="679805D8"/>
    <w:rsid w:val="67BC3FEE"/>
    <w:rsid w:val="67CA7544"/>
    <w:rsid w:val="67D35A63"/>
    <w:rsid w:val="67D477F8"/>
    <w:rsid w:val="67F24A7A"/>
    <w:rsid w:val="67F325A0"/>
    <w:rsid w:val="67FF7C3A"/>
    <w:rsid w:val="68016A6B"/>
    <w:rsid w:val="680B5C35"/>
    <w:rsid w:val="6829477F"/>
    <w:rsid w:val="682F4FA9"/>
    <w:rsid w:val="68310698"/>
    <w:rsid w:val="68323C50"/>
    <w:rsid w:val="68376A2A"/>
    <w:rsid w:val="685A617B"/>
    <w:rsid w:val="686332F5"/>
    <w:rsid w:val="68646588"/>
    <w:rsid w:val="686E1C26"/>
    <w:rsid w:val="688232C2"/>
    <w:rsid w:val="68843A78"/>
    <w:rsid w:val="68996CA3"/>
    <w:rsid w:val="689F0599"/>
    <w:rsid w:val="68B43376"/>
    <w:rsid w:val="68B7537B"/>
    <w:rsid w:val="68DC3034"/>
    <w:rsid w:val="68DC4DE2"/>
    <w:rsid w:val="68F053F6"/>
    <w:rsid w:val="68F14D31"/>
    <w:rsid w:val="68F43A1E"/>
    <w:rsid w:val="69085BD7"/>
    <w:rsid w:val="69145603"/>
    <w:rsid w:val="692A1FF1"/>
    <w:rsid w:val="69423186"/>
    <w:rsid w:val="69432BE1"/>
    <w:rsid w:val="694D728A"/>
    <w:rsid w:val="69594684"/>
    <w:rsid w:val="697F233D"/>
    <w:rsid w:val="6988057F"/>
    <w:rsid w:val="699906A2"/>
    <w:rsid w:val="69A973BA"/>
    <w:rsid w:val="69AC12C2"/>
    <w:rsid w:val="69C40A40"/>
    <w:rsid w:val="69C411D0"/>
    <w:rsid w:val="69C62FFA"/>
    <w:rsid w:val="69D16911"/>
    <w:rsid w:val="69D501AF"/>
    <w:rsid w:val="69D86C6D"/>
    <w:rsid w:val="69E4001D"/>
    <w:rsid w:val="69FA48D7"/>
    <w:rsid w:val="69FF347E"/>
    <w:rsid w:val="6A0D6DC9"/>
    <w:rsid w:val="6A2B6021"/>
    <w:rsid w:val="6A4A19BA"/>
    <w:rsid w:val="6A564EBF"/>
    <w:rsid w:val="6A645FFB"/>
    <w:rsid w:val="6A6A2D90"/>
    <w:rsid w:val="6A701056"/>
    <w:rsid w:val="6A7A24EF"/>
    <w:rsid w:val="6A7E361E"/>
    <w:rsid w:val="6A9A2282"/>
    <w:rsid w:val="6ABB292C"/>
    <w:rsid w:val="6AC46CE5"/>
    <w:rsid w:val="6ACD0D45"/>
    <w:rsid w:val="6ACF10A2"/>
    <w:rsid w:val="6AE82164"/>
    <w:rsid w:val="6AEA4CF9"/>
    <w:rsid w:val="6AEA7C8A"/>
    <w:rsid w:val="6AF1726A"/>
    <w:rsid w:val="6AFE0C80"/>
    <w:rsid w:val="6B144D07"/>
    <w:rsid w:val="6B2A0779"/>
    <w:rsid w:val="6B2B1D80"/>
    <w:rsid w:val="6B3D3548"/>
    <w:rsid w:val="6B664EB6"/>
    <w:rsid w:val="6B841E8D"/>
    <w:rsid w:val="6BA87D31"/>
    <w:rsid w:val="6BB72998"/>
    <w:rsid w:val="6BBC73BD"/>
    <w:rsid w:val="6BC066B1"/>
    <w:rsid w:val="6BC8789F"/>
    <w:rsid w:val="6BEE37AA"/>
    <w:rsid w:val="6C0B1660"/>
    <w:rsid w:val="6C164AAF"/>
    <w:rsid w:val="6C256AA0"/>
    <w:rsid w:val="6C2C7E2E"/>
    <w:rsid w:val="6C523D39"/>
    <w:rsid w:val="6C533915"/>
    <w:rsid w:val="6C5506F2"/>
    <w:rsid w:val="6C7F31BE"/>
    <w:rsid w:val="6C8859AD"/>
    <w:rsid w:val="6CD91C0E"/>
    <w:rsid w:val="6CE01353"/>
    <w:rsid w:val="6CEA7AAC"/>
    <w:rsid w:val="6CF35CFC"/>
    <w:rsid w:val="6CF546C4"/>
    <w:rsid w:val="6CFA25E1"/>
    <w:rsid w:val="6CFE5C6F"/>
    <w:rsid w:val="6D2553A0"/>
    <w:rsid w:val="6D3F29A1"/>
    <w:rsid w:val="6D651DF3"/>
    <w:rsid w:val="6D6A3304"/>
    <w:rsid w:val="6D8D0DA1"/>
    <w:rsid w:val="6D995916"/>
    <w:rsid w:val="6D9E263C"/>
    <w:rsid w:val="6DB8406F"/>
    <w:rsid w:val="6DC26C9C"/>
    <w:rsid w:val="6DD658EE"/>
    <w:rsid w:val="6DD864C0"/>
    <w:rsid w:val="6DDD6E36"/>
    <w:rsid w:val="6DEC1C21"/>
    <w:rsid w:val="6E152319"/>
    <w:rsid w:val="6E3B0BAF"/>
    <w:rsid w:val="6E3E0629"/>
    <w:rsid w:val="6E45554E"/>
    <w:rsid w:val="6E501AEB"/>
    <w:rsid w:val="6E7C11B5"/>
    <w:rsid w:val="6E7C32EF"/>
    <w:rsid w:val="6E7F556F"/>
    <w:rsid w:val="6E997C25"/>
    <w:rsid w:val="6E9F07E1"/>
    <w:rsid w:val="6EA14A30"/>
    <w:rsid w:val="6EA42846"/>
    <w:rsid w:val="6EB6105A"/>
    <w:rsid w:val="6EBA00D3"/>
    <w:rsid w:val="6EBD1212"/>
    <w:rsid w:val="6EC629FF"/>
    <w:rsid w:val="6EC7282F"/>
    <w:rsid w:val="6EC922AC"/>
    <w:rsid w:val="6ED21161"/>
    <w:rsid w:val="6F1C104C"/>
    <w:rsid w:val="6F255735"/>
    <w:rsid w:val="6F26499B"/>
    <w:rsid w:val="6F2F3282"/>
    <w:rsid w:val="6F35524C"/>
    <w:rsid w:val="6F467459"/>
    <w:rsid w:val="6F587A8E"/>
    <w:rsid w:val="6F5A7044"/>
    <w:rsid w:val="6F5D5506"/>
    <w:rsid w:val="6F600C59"/>
    <w:rsid w:val="6F7E2770"/>
    <w:rsid w:val="6F7F4719"/>
    <w:rsid w:val="6F800BBD"/>
    <w:rsid w:val="6F8776A7"/>
    <w:rsid w:val="6F8B4A66"/>
    <w:rsid w:val="6F957D21"/>
    <w:rsid w:val="6FA57C2A"/>
    <w:rsid w:val="6FC8405E"/>
    <w:rsid w:val="6FD175F7"/>
    <w:rsid w:val="6FD26F3F"/>
    <w:rsid w:val="6FD95378"/>
    <w:rsid w:val="6FEA24DA"/>
    <w:rsid w:val="6FF23B80"/>
    <w:rsid w:val="6FF670D1"/>
    <w:rsid w:val="70180DF5"/>
    <w:rsid w:val="701B6B38"/>
    <w:rsid w:val="703C1CAA"/>
    <w:rsid w:val="703E1108"/>
    <w:rsid w:val="704B7EBD"/>
    <w:rsid w:val="705B0CE2"/>
    <w:rsid w:val="7073427E"/>
    <w:rsid w:val="707F7FC1"/>
    <w:rsid w:val="70830694"/>
    <w:rsid w:val="7092075C"/>
    <w:rsid w:val="70AF49AD"/>
    <w:rsid w:val="70E234A9"/>
    <w:rsid w:val="70F257E2"/>
    <w:rsid w:val="712D7A96"/>
    <w:rsid w:val="71334F8E"/>
    <w:rsid w:val="713C2BF3"/>
    <w:rsid w:val="713F6856"/>
    <w:rsid w:val="71526589"/>
    <w:rsid w:val="715517E0"/>
    <w:rsid w:val="71682CDB"/>
    <w:rsid w:val="717C301D"/>
    <w:rsid w:val="718B55F7"/>
    <w:rsid w:val="719E17CE"/>
    <w:rsid w:val="71AC3CA8"/>
    <w:rsid w:val="71E67530"/>
    <w:rsid w:val="71F27DA7"/>
    <w:rsid w:val="71F552A8"/>
    <w:rsid w:val="71FB09CF"/>
    <w:rsid w:val="71FD3369"/>
    <w:rsid w:val="7208350E"/>
    <w:rsid w:val="72264502"/>
    <w:rsid w:val="72332BB4"/>
    <w:rsid w:val="723358B2"/>
    <w:rsid w:val="72363B93"/>
    <w:rsid w:val="72366F69"/>
    <w:rsid w:val="72534367"/>
    <w:rsid w:val="72546CCC"/>
    <w:rsid w:val="72571A57"/>
    <w:rsid w:val="72981E43"/>
    <w:rsid w:val="729D3834"/>
    <w:rsid w:val="729F57FE"/>
    <w:rsid w:val="72A66B8C"/>
    <w:rsid w:val="72AD5CE4"/>
    <w:rsid w:val="72BB344D"/>
    <w:rsid w:val="72BD396A"/>
    <w:rsid w:val="72EA334F"/>
    <w:rsid w:val="72ED47BB"/>
    <w:rsid w:val="730B241D"/>
    <w:rsid w:val="7325797A"/>
    <w:rsid w:val="734C24BD"/>
    <w:rsid w:val="734D525A"/>
    <w:rsid w:val="7357002D"/>
    <w:rsid w:val="73576104"/>
    <w:rsid w:val="7358775B"/>
    <w:rsid w:val="737A3B75"/>
    <w:rsid w:val="73815738"/>
    <w:rsid w:val="738B18DE"/>
    <w:rsid w:val="739F3A97"/>
    <w:rsid w:val="73AF1694"/>
    <w:rsid w:val="73B673EF"/>
    <w:rsid w:val="73BC5F3C"/>
    <w:rsid w:val="73F02366"/>
    <w:rsid w:val="7419338E"/>
    <w:rsid w:val="742254DD"/>
    <w:rsid w:val="7437180D"/>
    <w:rsid w:val="74391D4B"/>
    <w:rsid w:val="74483CFE"/>
    <w:rsid w:val="744B0DA7"/>
    <w:rsid w:val="744D3074"/>
    <w:rsid w:val="74624CC6"/>
    <w:rsid w:val="746A5AD3"/>
    <w:rsid w:val="74723306"/>
    <w:rsid w:val="747A2CC8"/>
    <w:rsid w:val="747F3641"/>
    <w:rsid w:val="74B579B7"/>
    <w:rsid w:val="74B9011A"/>
    <w:rsid w:val="74BB7061"/>
    <w:rsid w:val="74BD640F"/>
    <w:rsid w:val="74CE3EB2"/>
    <w:rsid w:val="74E0065A"/>
    <w:rsid w:val="74E82D21"/>
    <w:rsid w:val="74EF5E2E"/>
    <w:rsid w:val="74F82FA3"/>
    <w:rsid w:val="750E03C1"/>
    <w:rsid w:val="751C6251"/>
    <w:rsid w:val="751E470B"/>
    <w:rsid w:val="753D7B6A"/>
    <w:rsid w:val="754026A2"/>
    <w:rsid w:val="75404391"/>
    <w:rsid w:val="754226B0"/>
    <w:rsid w:val="75662603"/>
    <w:rsid w:val="75670772"/>
    <w:rsid w:val="757A60AE"/>
    <w:rsid w:val="757C44C8"/>
    <w:rsid w:val="759A09C5"/>
    <w:rsid w:val="75A6427E"/>
    <w:rsid w:val="75B243A7"/>
    <w:rsid w:val="75CA0DE4"/>
    <w:rsid w:val="75DE6DB1"/>
    <w:rsid w:val="75E1612D"/>
    <w:rsid w:val="75E572CF"/>
    <w:rsid w:val="75FB07A2"/>
    <w:rsid w:val="761375E4"/>
    <w:rsid w:val="7621477C"/>
    <w:rsid w:val="76217478"/>
    <w:rsid w:val="763C572C"/>
    <w:rsid w:val="765608C9"/>
    <w:rsid w:val="7666354F"/>
    <w:rsid w:val="766B6ECD"/>
    <w:rsid w:val="76855EB9"/>
    <w:rsid w:val="768A26FB"/>
    <w:rsid w:val="7692691E"/>
    <w:rsid w:val="76996365"/>
    <w:rsid w:val="769A10D0"/>
    <w:rsid w:val="76A07D97"/>
    <w:rsid w:val="76C2349E"/>
    <w:rsid w:val="76CB35EC"/>
    <w:rsid w:val="76CE66B2"/>
    <w:rsid w:val="76D054CE"/>
    <w:rsid w:val="77040C67"/>
    <w:rsid w:val="770B16B4"/>
    <w:rsid w:val="77112A42"/>
    <w:rsid w:val="77167266"/>
    <w:rsid w:val="77260AF8"/>
    <w:rsid w:val="773B587C"/>
    <w:rsid w:val="774271F2"/>
    <w:rsid w:val="77453760"/>
    <w:rsid w:val="774845AD"/>
    <w:rsid w:val="774E4E52"/>
    <w:rsid w:val="77653D55"/>
    <w:rsid w:val="776A7D9F"/>
    <w:rsid w:val="77734AD9"/>
    <w:rsid w:val="77767106"/>
    <w:rsid w:val="777C7EBC"/>
    <w:rsid w:val="778B45A3"/>
    <w:rsid w:val="77A25449"/>
    <w:rsid w:val="77AB2363"/>
    <w:rsid w:val="77F3466D"/>
    <w:rsid w:val="780127F5"/>
    <w:rsid w:val="78047EB1"/>
    <w:rsid w:val="7822274B"/>
    <w:rsid w:val="7840608D"/>
    <w:rsid w:val="78494C44"/>
    <w:rsid w:val="78594455"/>
    <w:rsid w:val="78786AB3"/>
    <w:rsid w:val="78882890"/>
    <w:rsid w:val="78911745"/>
    <w:rsid w:val="78955947"/>
    <w:rsid w:val="78AA588F"/>
    <w:rsid w:val="78B065B0"/>
    <w:rsid w:val="78B83176"/>
    <w:rsid w:val="78BB7662"/>
    <w:rsid w:val="78C33E4A"/>
    <w:rsid w:val="7901119D"/>
    <w:rsid w:val="790D3EA5"/>
    <w:rsid w:val="791B2495"/>
    <w:rsid w:val="791D2A50"/>
    <w:rsid w:val="79366F18"/>
    <w:rsid w:val="79393B8B"/>
    <w:rsid w:val="79432736"/>
    <w:rsid w:val="794C7D62"/>
    <w:rsid w:val="795B1D53"/>
    <w:rsid w:val="79660E81"/>
    <w:rsid w:val="797940FE"/>
    <w:rsid w:val="79813945"/>
    <w:rsid w:val="79AA4A14"/>
    <w:rsid w:val="79B17BC5"/>
    <w:rsid w:val="79B63FC9"/>
    <w:rsid w:val="79DE02DD"/>
    <w:rsid w:val="79E07E40"/>
    <w:rsid w:val="79EB5D1B"/>
    <w:rsid w:val="79F71A7C"/>
    <w:rsid w:val="79FC52E4"/>
    <w:rsid w:val="79FC6182"/>
    <w:rsid w:val="79FD2E0A"/>
    <w:rsid w:val="7A0A6F4F"/>
    <w:rsid w:val="7A1A1C0E"/>
    <w:rsid w:val="7A1B0D74"/>
    <w:rsid w:val="7A41363F"/>
    <w:rsid w:val="7A456F6D"/>
    <w:rsid w:val="7A5F16CA"/>
    <w:rsid w:val="7A710D8E"/>
    <w:rsid w:val="7AAA2F92"/>
    <w:rsid w:val="7AB1300F"/>
    <w:rsid w:val="7AB64E52"/>
    <w:rsid w:val="7ADA0EA4"/>
    <w:rsid w:val="7AE75FBC"/>
    <w:rsid w:val="7AFC56DC"/>
    <w:rsid w:val="7AFE508C"/>
    <w:rsid w:val="7B073F40"/>
    <w:rsid w:val="7B0D3216"/>
    <w:rsid w:val="7B345398"/>
    <w:rsid w:val="7B355131"/>
    <w:rsid w:val="7B4F7695"/>
    <w:rsid w:val="7B590C27"/>
    <w:rsid w:val="7B615D46"/>
    <w:rsid w:val="7B6C5EAB"/>
    <w:rsid w:val="7B7814A8"/>
    <w:rsid w:val="7B861DF2"/>
    <w:rsid w:val="7BA33013"/>
    <w:rsid w:val="7BD209F2"/>
    <w:rsid w:val="7BF702E8"/>
    <w:rsid w:val="7BFA0FA5"/>
    <w:rsid w:val="7BFE2BF5"/>
    <w:rsid w:val="7C0B3F04"/>
    <w:rsid w:val="7C134B67"/>
    <w:rsid w:val="7C162A9E"/>
    <w:rsid w:val="7C177BEA"/>
    <w:rsid w:val="7C1903CF"/>
    <w:rsid w:val="7C1D1542"/>
    <w:rsid w:val="7C206AB7"/>
    <w:rsid w:val="7C8646F6"/>
    <w:rsid w:val="7C876A78"/>
    <w:rsid w:val="7C9B46D0"/>
    <w:rsid w:val="7CA3413D"/>
    <w:rsid w:val="7CA95B93"/>
    <w:rsid w:val="7CBC0850"/>
    <w:rsid w:val="7CD3681B"/>
    <w:rsid w:val="7CD9190C"/>
    <w:rsid w:val="7CD97B5E"/>
    <w:rsid w:val="7CF20DD2"/>
    <w:rsid w:val="7CFF7134"/>
    <w:rsid w:val="7D0D49BE"/>
    <w:rsid w:val="7D621902"/>
    <w:rsid w:val="7D8603E2"/>
    <w:rsid w:val="7D9C553A"/>
    <w:rsid w:val="7DC9372F"/>
    <w:rsid w:val="7DD0508B"/>
    <w:rsid w:val="7DE4119D"/>
    <w:rsid w:val="7DEE5B58"/>
    <w:rsid w:val="7E0B1390"/>
    <w:rsid w:val="7E1470DA"/>
    <w:rsid w:val="7E2B13AE"/>
    <w:rsid w:val="7E321DB6"/>
    <w:rsid w:val="7E53749D"/>
    <w:rsid w:val="7E5C45A3"/>
    <w:rsid w:val="7E6B2A38"/>
    <w:rsid w:val="7EA224D8"/>
    <w:rsid w:val="7ED03245"/>
    <w:rsid w:val="7ED25E9B"/>
    <w:rsid w:val="7ED37D6E"/>
    <w:rsid w:val="7F2F7F0A"/>
    <w:rsid w:val="7F7D2EBD"/>
    <w:rsid w:val="7F8846F0"/>
    <w:rsid w:val="7F9D30C5"/>
    <w:rsid w:val="7FA04963"/>
    <w:rsid w:val="7FA73F44"/>
    <w:rsid w:val="7FAD2052"/>
    <w:rsid w:val="7FB0411E"/>
    <w:rsid w:val="7FCA5021"/>
    <w:rsid w:val="7FEA3B6F"/>
    <w:rsid w:val="7FEE5147"/>
    <w:rsid w:val="7FF32CE5"/>
    <w:rsid w:val="BAFFAB79"/>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90"/>
    <o:shapelayout v:ext="edit">
      <o:idmap v:ext="edit" data="1"/>
    </o:shapelayout>
  </w:shapeDefaults>
  <w:decimalSymbol w:val="."/>
  <w:listSeparator w:val=","/>
  <w14:docId w14:val="38D13815"/>
  <w15:docId w15:val="{63080DE2-F8D8-4F75-B47C-97FFC2B02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qFormat="1"/>
    <w:lsdException w:name="List" w:qFormat="1"/>
    <w:lsdException w:name="Title" w:qFormat="1"/>
    <w:lsdException w:name="Default Paragraph Font"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suppressAutoHyphens/>
    </w:pPr>
    <w:rPr>
      <w:rFonts w:ascii="Arial Unicode MS" w:eastAsia="Arial Unicode MS" w:hAnsi="Arial Unicode MS" w:cs="Arial Unicode MS"/>
      <w:sz w:val="22"/>
      <w:szCs w:val="22"/>
      <w:lang w:val="zh-CN" w:bidi="zh-CN"/>
    </w:rPr>
  </w:style>
  <w:style w:type="paragraph" w:styleId="1">
    <w:name w:val="heading 1"/>
    <w:basedOn w:val="a"/>
    <w:next w:val="a"/>
    <w:uiPriority w:val="1"/>
    <w:qFormat/>
    <w:pPr>
      <w:ind w:left="-40"/>
      <w:outlineLvl w:val="0"/>
    </w:pPr>
    <w:rPr>
      <w:sz w:val="52"/>
      <w:szCs w:val="52"/>
    </w:rPr>
  </w:style>
  <w:style w:type="paragraph" w:styleId="2">
    <w:name w:val="heading 2"/>
    <w:basedOn w:val="a"/>
    <w:next w:val="a"/>
    <w:uiPriority w:val="1"/>
    <w:qFormat/>
    <w:pPr>
      <w:ind w:right="18"/>
      <w:jc w:val="center"/>
      <w:outlineLvl w:val="1"/>
    </w:pPr>
    <w:rPr>
      <w:sz w:val="44"/>
      <w:szCs w:val="44"/>
    </w:rPr>
  </w:style>
  <w:style w:type="paragraph" w:styleId="3">
    <w:name w:val="heading 3"/>
    <w:basedOn w:val="a"/>
    <w:next w:val="a"/>
    <w:uiPriority w:val="1"/>
    <w:qFormat/>
    <w:pPr>
      <w:ind w:left="1"/>
      <w:jc w:val="center"/>
      <w:outlineLvl w:val="2"/>
    </w:pPr>
    <w:rPr>
      <w:sz w:val="40"/>
      <w:szCs w:val="40"/>
    </w:rPr>
  </w:style>
  <w:style w:type="paragraph" w:styleId="4">
    <w:name w:val="heading 4"/>
    <w:basedOn w:val="a"/>
    <w:next w:val="a"/>
    <w:uiPriority w:val="1"/>
    <w:qFormat/>
    <w:pPr>
      <w:jc w:val="center"/>
      <w:outlineLvl w:val="3"/>
    </w:pPr>
    <w:rPr>
      <w:sz w:val="36"/>
      <w:szCs w:val="36"/>
    </w:rPr>
  </w:style>
  <w:style w:type="paragraph" w:styleId="5">
    <w:name w:val="heading 5"/>
    <w:basedOn w:val="a"/>
    <w:next w:val="a"/>
    <w:uiPriority w:val="1"/>
    <w:qFormat/>
    <w:pPr>
      <w:ind w:left="112"/>
      <w:outlineLvl w:val="4"/>
    </w:pPr>
    <w:rPr>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uppressLineNumbers/>
      <w:spacing w:before="120" w:after="120"/>
    </w:pPr>
    <w:rPr>
      <w:i/>
      <w:iCs/>
      <w:sz w:val="24"/>
      <w:szCs w:val="24"/>
    </w:rPr>
  </w:style>
  <w:style w:type="paragraph" w:styleId="a4">
    <w:name w:val="Body Text"/>
    <w:basedOn w:val="a"/>
    <w:uiPriority w:val="1"/>
    <w:qFormat/>
    <w:rPr>
      <w:sz w:val="32"/>
      <w:szCs w:val="32"/>
    </w:rPr>
  </w:style>
  <w:style w:type="paragraph" w:styleId="a5">
    <w:name w:val="footer"/>
    <w:basedOn w:val="a"/>
    <w:qFormat/>
    <w:pPr>
      <w:tabs>
        <w:tab w:val="center" w:pos="4153"/>
        <w:tab w:val="right" w:pos="8306"/>
      </w:tabs>
      <w:snapToGrid w:val="0"/>
    </w:pPr>
    <w:rPr>
      <w:sz w:val="18"/>
      <w:szCs w:val="18"/>
    </w:rPr>
  </w:style>
  <w:style w:type="paragraph" w:styleId="a6">
    <w:name w:val="header"/>
    <w:basedOn w:val="a"/>
    <w:qFormat/>
    <w:pPr>
      <w:pBdr>
        <w:bottom w:val="single" w:sz="6" w:space="1" w:color="000000"/>
      </w:pBdr>
      <w:tabs>
        <w:tab w:val="center" w:pos="4153"/>
        <w:tab w:val="right" w:pos="8306"/>
      </w:tabs>
      <w:snapToGrid w:val="0"/>
      <w:jc w:val="center"/>
    </w:pPr>
    <w:rPr>
      <w:sz w:val="18"/>
      <w:szCs w:val="18"/>
    </w:rPr>
  </w:style>
  <w:style w:type="paragraph" w:styleId="a7">
    <w:name w:val="List"/>
    <w:basedOn w:val="a4"/>
    <w:qFormat/>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编号符号"/>
    <w:qFormat/>
  </w:style>
  <w:style w:type="character" w:customStyle="1" w:styleId="aa">
    <w:name w:val="页眉 字符"/>
    <w:basedOn w:val="a0"/>
    <w:qFormat/>
    <w:rPr>
      <w:rFonts w:ascii="Arial Unicode MS" w:eastAsia="Arial Unicode MS" w:hAnsi="Arial Unicode MS" w:cs="Arial Unicode MS"/>
      <w:sz w:val="18"/>
      <w:szCs w:val="18"/>
      <w:lang w:val="zh-CN" w:bidi="zh-CN"/>
    </w:rPr>
  </w:style>
  <w:style w:type="character" w:customStyle="1" w:styleId="ab">
    <w:name w:val="页脚 字符"/>
    <w:basedOn w:val="a0"/>
    <w:qFormat/>
    <w:rPr>
      <w:rFonts w:ascii="Arial Unicode MS" w:eastAsia="Arial Unicode MS" w:hAnsi="Arial Unicode MS" w:cs="Arial Unicode MS"/>
      <w:sz w:val="18"/>
      <w:szCs w:val="18"/>
      <w:lang w:val="zh-CN" w:bidi="zh-CN"/>
    </w:rPr>
  </w:style>
  <w:style w:type="paragraph" w:customStyle="1" w:styleId="ac">
    <w:name w:val="标题样式"/>
    <w:basedOn w:val="a"/>
    <w:next w:val="a4"/>
    <w:qFormat/>
    <w:pPr>
      <w:keepNext/>
      <w:spacing w:before="240" w:after="120"/>
    </w:pPr>
    <w:rPr>
      <w:rFonts w:ascii="Liberation Sans" w:hAnsi="Liberation Sans"/>
      <w:sz w:val="28"/>
      <w:szCs w:val="28"/>
    </w:rPr>
  </w:style>
  <w:style w:type="paragraph" w:customStyle="1" w:styleId="ad">
    <w:name w:val="索引"/>
    <w:basedOn w:val="a"/>
    <w:qFormat/>
    <w:pPr>
      <w:suppressLineNumbers/>
    </w:pPr>
  </w:style>
  <w:style w:type="paragraph" w:customStyle="1" w:styleId="ae">
    <w:name w:val="页眉与页脚"/>
    <w:basedOn w:val="a"/>
    <w:qFormat/>
  </w:style>
  <w:style w:type="paragraph" w:customStyle="1" w:styleId="10">
    <w:name w:val="列出段落1"/>
    <w:basedOn w:val="a"/>
    <w:uiPriority w:val="1"/>
    <w:qFormat/>
    <w:pPr>
      <w:ind w:left="2039" w:hanging="782"/>
    </w:pPr>
  </w:style>
  <w:style w:type="paragraph" w:customStyle="1" w:styleId="TableParagraph">
    <w:name w:val="Table Paragraph"/>
    <w:basedOn w:val="a"/>
    <w:uiPriority w:val="1"/>
    <w:qFormat/>
    <w:rPr>
      <w:rFonts w:ascii="宋体" w:eastAsia="宋体" w:hAnsi="宋体" w:cs="宋体"/>
    </w:rPr>
  </w:style>
  <w:style w:type="paragraph" w:customStyle="1" w:styleId="af">
    <w:name w:val="表格内容"/>
    <w:basedOn w:val="a"/>
    <w:qFormat/>
    <w:pPr>
      <w:suppressLineNumbers/>
    </w:pPr>
  </w:style>
  <w:style w:type="paragraph" w:customStyle="1" w:styleId="af0">
    <w:name w:val="表格标题"/>
    <w:basedOn w:val="af"/>
    <w:qFormat/>
    <w:pPr>
      <w:jc w:val="center"/>
    </w:pPr>
    <w:rPr>
      <w:b/>
      <w:bCs/>
    </w:rPr>
  </w:style>
  <w:style w:type="paragraph" w:customStyle="1" w:styleId="af1">
    <w:name w:val="预格式化的文本"/>
    <w:basedOn w:val="a"/>
    <w:qFormat/>
    <w:rPr>
      <w:rFonts w:ascii="Liberation Mono" w:eastAsia="新宋体" w:hAnsi="Liberation Mono" w:cs="Liberation Mono"/>
      <w:sz w:val="20"/>
      <w:szCs w:val="20"/>
    </w:rPr>
  </w:style>
  <w:style w:type="table" w:customStyle="1" w:styleId="TableNormal">
    <w:name w:val="Table Normal"/>
    <w:uiPriority w:val="2"/>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ettings" Target="settings.xml"/><Relationship Id="rId21" Type="http://schemas.openxmlformats.org/officeDocument/2006/relationships/footer" Target="footer13.xml"/><Relationship Id="rId7" Type="http://schemas.openxmlformats.org/officeDocument/2006/relationships/header" Target="header1.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image" Target="media/image2.jpeg"/><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4097" textRotate="1"/>
    <customShpInfo spid="_x0000_s4113" textRotate="1"/>
    <customShpInfo spid="_x0000_s4111" textRotate="1"/>
    <customShpInfo spid="_x0000_s4112" textRotate="1"/>
    <customShpInfo spid="_x0000_s4099" textRotate="1"/>
    <customShpInfo spid="_x0000_s4100" textRotate="1"/>
    <customShpInfo spid="_x0000_s4101" textRotate="1"/>
    <customShpInfo spid="_x0000_s4102" textRotate="1"/>
    <customShpInfo spid="_x0000_s4103" textRotate="1"/>
    <customShpInfo spid="_x0000_s4104" textRotate="1"/>
    <customShpInfo spid="_x0000_s4105" textRotate="1"/>
    <customShpInfo spid="_x0000_s4106" textRotate="1"/>
    <customShpInfo spid="_x0000_s411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43</Pages>
  <Words>3096</Words>
  <Characters>17651</Characters>
  <Application>Microsoft Office Word</Application>
  <DocSecurity>0</DocSecurity>
  <Lines>147</Lines>
  <Paragraphs>41</Paragraphs>
  <ScaleCrop>false</ScaleCrop>
  <Company/>
  <LinksUpToDate>false</LinksUpToDate>
  <CharactersWithSpaces>20706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部门决算公开</dc:title>
  <dc:creator>陈长军(本处室套红)</dc:creator>
  <cp:lastModifiedBy>123</cp:lastModifiedBy>
  <cp:revision>176</cp:revision>
  <dcterms:created xsi:type="dcterms:W3CDTF">2021-04-16T03:22:00Z</dcterms:created>
  <dcterms:modified xsi:type="dcterms:W3CDTF">2024-12-16T08:05:00Z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ÿþ¹eckýVEŒ⁄ech Y thV </vt:lpwstr>
  </property>
  <property fmtid="{D5CDD505-2E9C-101B-9397-08002B2CF9AE}" pid="4" name="ICV">
    <vt:lpwstr>2533214665424557B16CF4115249519F</vt:lpwstr>
  </property>
  <property fmtid="{D5CDD505-2E9C-101B-9397-08002B2CF9AE}" pid="5" name="KSOProductBuildVer">
    <vt:lpwstr>2052-12.1.0.16929</vt:lpwstr>
  </property>
  <property fmtid="{D5CDD505-2E9C-101B-9397-08002B2CF9AE}" pid="6" name="LastSaved">
    <vt:filetime>2021-04-15T00:00:00Z</vt:filetime>
  </property>
</Properties>
</file>