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rPr>
        <w:tc>
          <w:tcPr>
            <w:tcW w:w="10402" w:type="dxa"/>
            <w:tcBorders>
              <w:top w:val="nil"/>
              <w:left w:val="nil"/>
              <w:bottom w:val="nil"/>
              <w:right w:val="nil"/>
            </w:tcBorders>
          </w:tcPr>
          <w:p>
            <w:pPr>
              <w:pStyle w:val="8"/>
              <w:spacing w:line="360" w:lineRule="auto"/>
              <w:rPr>
                <w:rFonts w:hint="eastAsia" w:ascii="仿宋" w:hAnsi="仿宋" w:eastAsia="仿宋" w:cs="仿宋"/>
                <w:b/>
                <w:bCs/>
                <w:color w:val="FF0000"/>
                <w:sz w:val="22"/>
                <w:szCs w:val="22"/>
              </w:rPr>
            </w:pPr>
            <w:r>
              <w:rPr>
                <w:rFonts w:hint="eastAsia" w:ascii="仿宋" w:hAnsi="仿宋" w:eastAsia="仿宋" w:cs="仿宋"/>
                <w:b/>
                <w:bCs/>
                <w:color w:val="FF0000"/>
                <w:sz w:val="22"/>
                <w:szCs w:val="22"/>
              </w:r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top"/>
          </w:tcPr>
          <w:p>
            <w:pPr>
              <w:ind w:right="284" w:rightChars="129"/>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xml:space="preserve">2023年度</w:t>
              <w:br w:type="textWrapping"/>
              <w:t/>
            </w:r>
            <w:r>
              <w:rPr>
                <w:rFonts w:ascii="宋体" w:hAnsi="宋体" w:cs="宋体" w:eastAsia="宋体"/>
                <w:b w:val="true"/>
                <w:sz w:val="52"/>
              </w:rPr>
              <w:t>常州市房屋征收与补偿管理中心</w:t>
            </w:r>
            <w:r>
              <w:rPr>
                <w:rFonts w:ascii="宋体" w:hAnsi="宋体" w:cs="宋体" w:eastAsia="宋体"/>
                <w:b w:val="true"/>
                <w:sz w:val="52"/>
              </w:rPr>
              <w:t xml:space="preserve"></w:t>
              <w:br w:type="textWrapping"/>
              <w:t>单位决算公开</w:t>
            </w:r>
            <w:r>
              <w:rPr>
                <w:rFonts w:ascii="宋体" w:hAnsi="宋体" w:cs="宋体" w:eastAsia="宋体"/>
                <w:b w:val="true"/>
                <w:sz w:val="52"/>
              </w:rPr>
              <w:t/>
            </w:r>
            <w:r>
              <w:rPr>
                <w:rFonts w:ascii="宋体" w:hAnsi="宋体" w:cs="宋体" w:eastAsia="宋体"/>
                <w:b w:val="true"/>
                <w:sz w:val="52"/>
              </w:rPr>
              <w:t/>
            </w:r>
          </w:p>
        </w:tc>
      </w:tr>
    </w:tbl>
    <w:p>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70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tabs>
          <w:tab w:val="left" w:pos="880"/>
        </w:tabs>
        <w:spacing w:line="718" w:lineRule="exact"/>
        <w:ind w:right="313" w:firstLine="0"/>
        <w:outlineLvl w:val="0"/>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spacing w:before="7" w:after="0"/>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outlineLvl w:val="0"/>
        <w:rPr>
          <w:rFonts w:hint="eastAsia" w:ascii="黑体" w:hAnsi="黑体" w:eastAsia="黑体" w:cs="黑体"/>
          <w:b w:val="0"/>
          <w:bCs w:val="0"/>
        </w:rPr>
      </w:pPr>
      <w:r>
        <w:rPr>
          <w:rFonts w:hint="eastAsia" w:ascii="黑体" w:hAnsi="黑体" w:eastAsia="黑体" w:cs="黑体"/>
          <w:b w:val="0"/>
          <w:bCs w:val="0"/>
        </w:rPr>
        <w:t xml:space="preserve">第一部分 </w:t>
      </w:r>
      <w:r>
        <w:rPr>
          <w:rFonts w:hint="eastAsia" w:ascii="黑体" w:hAnsi="黑体" w:eastAsia="黑体" w:cs="黑体"/>
          <w:b w:val="0"/>
          <w:bCs w:val="0"/>
          <w:lang w:val="en-US" w:eastAsia="zh-CN"/>
        </w:rPr>
        <w:t>单位</w:t>
      </w:r>
      <w:r>
        <w:rPr>
          <w:rFonts w:hint="eastAsia" w:ascii="黑体" w:hAnsi="黑体" w:eastAsia="黑体" w:cs="黑体"/>
          <w:b w:val="0"/>
          <w:bCs w:val="0"/>
        </w:rPr>
        <w:t>概况</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机构设置及决算单位构成情况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w:t>
      </w:r>
      <w:r>
        <w:rPr>
          <w:rFonts w:hint="eastAsia" w:ascii="仿宋" w:hAnsi="仿宋" w:eastAsia="仿宋" w:cs="仿宋"/>
          <w:lang w:val="en-US" w:eastAsia="zh-CN"/>
        </w:rPr>
        <w:t>3</w:t>
      </w:r>
      <w:r>
        <w:rPr>
          <w:rFonts w:hint="eastAsia" w:ascii="仿宋" w:hAnsi="仿宋" w:eastAsia="仿宋" w:cs="仿宋"/>
        </w:rPr>
        <w:t>年度主要工作完成情况</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第二部分 2023年度</w:t>
      </w:r>
      <w:r>
        <w:rPr>
          <w:rFonts w:ascii="黑体" w:hAnsi="黑体" w:cs="黑体" w:eastAsia="黑体"/>
        </w:rPr>
        <w:t>单位</w:t>
      </w:r>
      <w:r>
        <w:rPr>
          <w:rFonts w:ascii="黑体" w:hAnsi="黑体" w:cs="黑体" w:eastAsia="黑体"/>
        </w:rPr>
        <w:t>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5774" w:hanging="11" w:firstLineChars="0"/>
        <w:jc w:val="both"/>
        <w:textAlignment w:val="auto"/>
        <w:rPr>
          <w:rFonts w:hint="eastAsia" w:ascii="仿宋" w:hAnsi="仿宋" w:eastAsia="仿宋" w:cs="仿宋"/>
        </w:rPr>
      </w:pPr>
      <w:r>
        <w:rPr>
          <w:rFonts w:hint="eastAsia" w:ascii="仿宋" w:hAnsi="仿宋" w:eastAsia="仿宋" w:cs="仿宋"/>
          <w:spacing w:val="-2"/>
        </w:rPr>
        <w:t>一、收入支出决算总表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5774" w:hanging="11" w:firstLineChars="0"/>
        <w:jc w:val="both"/>
        <w:textAlignment w:val="auto"/>
        <w:rPr>
          <w:rFonts w:hint="eastAsia" w:ascii="仿宋" w:hAnsi="仿宋" w:eastAsia="仿宋" w:cs="仿宋"/>
        </w:rPr>
      </w:pPr>
      <w:r>
        <w:rPr>
          <w:rFonts w:hint="eastAsia" w:ascii="仿宋" w:hAnsi="仿宋" w:eastAsia="仿宋" w:cs="仿宋"/>
        </w:rPr>
        <w:t>二、收入决算表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w w:val="95"/>
        </w:rPr>
        <w:t>三、支出决算表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四、财政拨款收入支出决算总表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五、财政拨款支出决算表（功能科目）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894" w:hanging="11" w:firstLineChars="0"/>
        <w:jc w:val="both"/>
        <w:textAlignment w:val="auto"/>
        <w:rPr>
          <w:rFonts w:hint="eastAsia" w:ascii="仿宋" w:hAnsi="仿宋" w:eastAsia="仿宋" w:cs="仿宋"/>
        </w:rPr>
      </w:pPr>
      <w:r>
        <w:rPr>
          <w:rFonts w:hint="eastAsia" w:ascii="仿宋" w:hAnsi="仿宋" w:eastAsia="仿宋" w:cs="仿宋"/>
        </w:rPr>
        <w:t>六、财政拨款基本支出决算表（经济科目） 七、一般公共预算支出决算表（功能科目）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八、一般公共预算基本支出决算表（经济科目）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w:t>
      </w:r>
      <w:r>
        <w:rPr>
          <w:rFonts w:hint="eastAsia" w:ascii="仿宋" w:hAnsi="仿宋" w:eastAsia="仿宋" w:cs="仿宋"/>
          <w:lang w:val="en-US" w:eastAsia="zh-CN"/>
        </w:rPr>
        <w:t>财政拨款</w:t>
      </w:r>
      <w:r>
        <w:rPr>
          <w:rFonts w:hint="eastAsia" w:ascii="仿宋" w:hAnsi="仿宋" w:eastAsia="仿宋" w:cs="仿宋"/>
        </w:rPr>
        <w:t>“三公”经费、会议费、培训费支出决算表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default" w:ascii="仿宋" w:hAnsi="仿宋" w:eastAsia="仿宋" w:cs="仿宋"/>
          <w:lang w:val="en-US" w:eastAsia="zh-CN"/>
        </w:rPr>
      </w:pPr>
      <w:r>
        <w:rPr>
          <w:rFonts w:hint="eastAsia" w:ascii="仿宋" w:hAnsi="仿宋" w:eastAsia="仿宋" w:cs="仿宋"/>
        </w:rPr>
        <w:t>十一、</w:t>
      </w:r>
      <w:r>
        <w:rPr>
          <w:rFonts w:hint="eastAsia" w:ascii="仿宋" w:hAnsi="仿宋" w:eastAsia="仿宋" w:cs="仿宋"/>
          <w:lang w:val="en-US" w:eastAsia="zh-CN"/>
        </w:rPr>
        <w:t>国有资本经营预算支出决算表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w:t>
      </w:r>
      <w:r>
        <w:rPr>
          <w:rFonts w:hint="eastAsia" w:ascii="仿宋" w:hAnsi="仿宋" w:eastAsia="仿宋" w:cs="仿宋"/>
          <w:lang w:val="en-US" w:eastAsia="zh-CN"/>
        </w:rPr>
        <w:t>财政拨款</w:t>
      </w:r>
      <w:r>
        <w:rPr>
          <w:rFonts w:hint="eastAsia" w:ascii="仿宋" w:hAnsi="仿宋" w:eastAsia="仿宋" w:cs="仿宋"/>
        </w:rPr>
        <w:t>机关运行经费支出决算表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第三部分 2023年度</w:t>
      </w:r>
      <w:r>
        <w:rPr>
          <w:rFonts w:ascii="黑体" w:hAnsi="黑体" w:cs="黑体" w:eastAsia="黑体"/>
        </w:rPr>
        <w:t>单位</w:t>
      </w:r>
      <w:r>
        <w:rPr>
          <w:rFonts w:ascii="黑体" w:hAnsi="黑体" w:cs="黑体" w:eastAsia="黑体"/>
        </w:rPr>
        <w:t>决算情况说明</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default" w:ascii="仿宋" w:hAnsi="仿宋" w:eastAsia="仿宋" w:cs="仿宋"/>
          <w:b/>
          <w:bCs/>
          <w:color w:val="000000"/>
          <w:sz w:val="30"/>
          <w:szCs w:val="30"/>
          <w:lang w:val="en-US" w:eastAsia="zh-CN" w:bidi="ar"/>
        </w:rPr>
      </w:pPr>
      <w:r>
        <w:rPr>
          <w:rFonts w:hint="eastAsia" w:ascii="黑体" w:hAnsi="黑体" w:eastAsia="黑体" w:cs="黑体"/>
          <w:b w:val="0"/>
          <w:bCs w:val="0"/>
          <w:lang w:val="en-US" w:eastAsia="zh-CN"/>
        </w:rPr>
        <w:t>第四部分 名词解释</w:t>
      </w:r>
    </w:p>
    <w:p>
      <w:pPr>
        <w:pStyle w:val="8"/>
        <w:spacing w:line="235" w:lineRule="auto"/>
        <w:ind w:left="669" w:leftChars="300" w:right="2414" w:hanging="9" w:firstLineChars="0"/>
        <w:jc w:val="both"/>
        <w:rPr>
          <w:rFonts w:hint="eastAsia" w:ascii="仿宋" w:hAnsi="仿宋" w:eastAsia="仿宋" w:cs="仿宋"/>
        </w:rPr>
        <w:sectPr>
          <w:footerReference r:id="rId6" w:type="default"/>
          <w:pgSz w:w="11906" w:h="16838"/>
          <w:pgMar w:top="1580" w:right="700" w:bottom="770" w:left="1020" w:header="283"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outlineLvl w:val="0"/>
        <w:rPr>
          <w:rFonts w:hint="eastAsia" w:ascii="宋体" w:hAnsi="宋体" w:eastAsia="宋体" w:cs="宋体"/>
          <w:b/>
          <w:bCs/>
        </w:rPr>
      </w:pPr>
      <w:r>
        <w:rPr>
          <w:rFonts w:hint="eastAsia" w:ascii="宋体" w:hAnsi="宋体" w:eastAsia="宋体" w:cs="宋体"/>
          <w:b/>
          <w:bCs/>
        </w:rPr>
        <w:t>第一部分</w:t>
      </w:r>
      <w:r>
        <w:rPr>
          <w:rFonts w:hint="eastAsia" w:ascii="宋体" w:hAnsi="宋体" w:eastAsia="宋体" w:cs="宋体"/>
          <w:b/>
          <w:bCs/>
          <w:lang w:val="en-US" w:eastAsia="zh-CN"/>
        </w:rPr>
        <w:t xml:space="preserve"> </w:t>
      </w:r>
      <w:r>
        <w:rPr>
          <w:rFonts w:hint="eastAsia" w:ascii="宋体" w:hAnsi="宋体" w:eastAsia="宋体" w:cs="宋体"/>
          <w:b/>
          <w:bCs/>
        </w:rPr>
        <w:t>单位</w:t>
      </w:r>
      <w:r>
        <w:rPr>
          <w:rFonts w:hint="eastAsia" w:ascii="宋体" w:hAnsi="宋体" w:eastAsia="宋体" w:cs="宋体"/>
          <w:b/>
          <w:bCs/>
        </w:rPr>
        <w:t>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（一）参与起草市房屋征收与补偿工作有关政策文件。</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（二）参与编制全市年度房屋征收与补偿计划。</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（三）做好辖区房屋征收部门制定的征收补偿方案、作出的房屋征收决定和补偿决定备案受理。</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（四）协调做好全市房屋征收与补偿工作。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（五）做好房屋征收与补偿情况的统计分析和汇总。</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（六）做好房屋征收与补偿工作人员的业务培训考核。</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（七）具体实施市政府直接征收项目的房屋征收与补偿工作。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（八）对《国有土地上房屋征收与补偿条例》施行前已依法取得房屋拆迁许可证的项目拆迁实施监督管理。</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（九）承办上级交办的其他任务。</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二、</w:t>
      </w:r>
      <w:r>
        <w:rPr>
          <w:rFonts w:ascii="黑体" w:hAnsi="黑体" w:cs="黑体" w:eastAsia="黑体"/>
        </w:rPr>
        <w:t>单位</w:t>
      </w:r>
      <w:r>
        <w:rPr>
          <w:rFonts w:hint="eastAsia" w:ascii="黑体" w:hAnsi="黑体" w:eastAsia="黑体" w:cs="黑体"/>
          <w:b w:val="0"/>
          <w:bCs w:val="0"/>
        </w:rPr>
        <w:t>机构设置及决算单位构成情况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rPr>
      </w:pPr>
      <w:r>
        <w:rPr>
          <w:rFonts w:hint="eastAsia" w:ascii="仿宋" w:hAnsi="仿宋" w:eastAsia="仿宋" w:cs="仿宋"/>
          <w:lang w:val="en-US" w:eastAsia="zh-CN"/>
        </w:rPr>
        <w:t/>
      </w:r>
      <w:r>
        <w:rPr>
          <w:rFonts w:ascii="仿宋" w:hAnsi="仿宋" w:cs="仿宋" w:eastAsia="仿宋"/>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hAnsi="仿宋" w:cs="仿宋" w:eastAsia="仿宋"/>
        </w:rPr>
        <w:t/>
      </w:r>
      <w:r>
        <w:rPr>
          <w:rFonts w:ascii="仿宋" w:hAnsi="仿宋" w:cs="仿宋" w:eastAsia="仿宋"/>
        </w:rPr>
        <w:t>本单位内设机构包括</w:t>
      </w:r>
      <w:r>
        <w:rPr>
          <w:rFonts w:ascii="仿宋" w:hAnsi="仿宋" w:cs="仿宋" w:eastAsia="仿宋"/>
        </w:rPr>
        <w:t/>
      </w:r>
      <w:r>
        <w:rPr>
          <w:rFonts w:ascii="仿宋" w:hAnsi="仿宋" w:cs="仿宋" w:eastAsia="仿宋"/>
        </w:rPr>
        <w:t/>
      </w:r>
      <w:r>
        <w:rPr>
          <w:rFonts w:ascii="仿宋" w:hAnsi="仿宋" w:cs="仿宋" w:eastAsia="仿宋"/>
        </w:rPr>
        <w:t>综合科、政策法规科、征收补偿科、监督管理科。</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三、</w:t>
      </w:r>
      <w:r>
        <w:rPr>
          <w:rFonts w:hint="eastAsia" w:ascii="黑体" w:hAnsi="黑体" w:eastAsia="黑体" w:cs="黑体"/>
          <w:b w:val="0"/>
          <w:bCs w:val="0"/>
          <w:lang w:eastAsia="zh-CN"/>
        </w:rPr>
        <w:t>202</w:t>
      </w:r>
      <w:r>
        <w:rPr>
          <w:rFonts w:hint="eastAsia" w:ascii="黑体" w:hAnsi="黑体" w:eastAsia="黑体" w:cs="黑体"/>
          <w:b w:val="0"/>
          <w:bCs w:val="0"/>
          <w:lang w:val="en-US" w:eastAsia="zh-CN"/>
        </w:rPr>
        <w:t>3</w:t>
      </w:r>
      <w:r>
        <w:rPr>
          <w:rFonts w:hint="eastAsia" w:ascii="黑体" w:hAnsi="黑体" w:eastAsia="黑体" w:cs="黑体"/>
          <w:b w:val="0"/>
          <w:bCs w:val="0"/>
        </w:rPr>
        <w:t>年度主要工作完成情况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(一)、加强统筹协调，健全征收政策体系</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1.修订完善房屋征收有关政策。为进一步完善国有土地上房屋征收安置补偿政策，中心坚持集思广益，会同相关部门、征收一线干部开展专题研讨会近10次，在充分调研、广泛征求意见的基础上，修订完善了《关于市区国有土地上征收直管公有非住宅房屋补偿标准的通知》，该文件于2023年12月1日起实施。全年根据项目进度，在征收方案论证、评估基准价格论证和实施过程中，严格对标检查，全程监督，贯彻落实《常州市国有土地上房屋征收搬迁费等标准的通知》和《常州市国有土地上房屋征收与补偿评估技术细则》等征收新政策。为进一步拓宽我市房屋征收安置渠道，及时满足征收人的安置需求，优化房地产供需结构，配合市住建局出台《关于在国有土地上住房征收补偿中实行房票安置的指导意见》并抓好贯彻落实。</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2.健全完善房屋征收管理制度体系。进一步规范房屋征收评估机构执业行为，联合市住建局市场处、估价协会，全面推行《常州市国有土地上房屋征收房地产估价机构信用考评办法（试行）》，开展信用评价，提升评价结果的运用效果。开展房屋征收劳务单位诚信建设情况调研，梳理问题，归纳汇总，分析研究，探索市级层面开展劳务单位信用评价的有效方式，规范中介机构执业行为。</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(二)、强化落实责任，提升行业管理服务</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1.建立沟通协调机制。一是在市、区、乡镇街道三级联动工作例会机制下，每季度召集各辖市（区）征收部门业务骨干进行座谈，传递政策要求，交流工作进展，提炼经验做法，探讨征收工作中的问题和困难，商讨破解办法，在业务研讨交流中持续改进和提升征收工作水平。二是开展省级开发区征迁问题专题调研，赴各省级开发区详细了解征迁管理的问题和整改情况，调研主要集中在集体土地上的征迁程序、补偿标准、财经纪律等三个方面审计问题，历经半年，通过摸情况、排问题、找原因、实举措等系列工作，收集了一批事关征迁工作发展的有关意见和建议，较好地完成了调研任务。三是进一步深化同市中院、市司法局等部门的协同合作，搭建经常性联系交流工作平台，共同对重点项目推进中存在的问题进行分析探讨，对产权不明或产权人无法联系、文书无法送达、评估公司的选定等难点问题提出解决的方向及思路，在征收操作规程、时间节点、工作路径等方面形成广泛共识，加快征收重点项目司法审判进程，保障重点项目有序推进。四是受省住建厅委托承办编制《2022年江苏省房屋征收行业发展报告》。《报告》全面回顾总结了我省2022年的征收工作，以及今后一段时期的工作展望。同时，着眼当前经济社会发展新形势，进一步分析了房屋征收工作面临的新特点、新矛盾、新问题，围绕行业如何持续健康发展，明确下一步加强政策研究、理顺体制机制、完善征收机构、培养人才队伍、联动其他部门等方面下功夫、促成有效的工作思路。</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2.深化房屋征收信息系统建设应用。全面梳理全市征收管理信息系统现状和问题，了解其他城市的先进做法，研讨信息系统升级建设的主要目的和方向，明确实施目标。围绕打通数据孤岛，实现数据互通共享，组织开展全市征收管理信息系统升级建设工作专题调研，优选代表性的辖市区，加强纵向条线指导，摸清现状，收集问题，征求意见建议，修改完善开发建设方案，提升各辖市区征收信息系统运行效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3.强化对房屋征收工作的监督指导。</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1）拟订发布年度房屋征收计划。年初发布了《关于印发2023年度市区国有土地上房屋征收项目计划的通知》。今年计划征收项目9个，含旧城改造项目6个，公共事业项目2个，市政公用项目1个。计划共涉及被征收户数2282户，征收房屋总面积102.43万平方米。</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2）做好征收补偿价格论证和征收决定备案监督。印发《常州市国有土地上房屋征收标准房屋预评估基准价格论证工作规则（试行）》，规范我市国有土地上房屋征收评估行为。完善标准房屋预评估基准价格论证机制，建立评估专家库，形成行之有效的操作流程，指导确定房屋征收预评估基准价格，共对12个（钟楼8个，天宁3个，新北1个）房屋征收项目基准价格进行论证。督促各辖市（区）及时做好征收项目备案，对10个项目进行了项目备案工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3）组织征收从业人员业务培训。重点围绕新形势下我市房屋征收工作的探究、国有土地上房屋征收补偿的法律风险与防范、征收行为的标准化、规范化等方面，聚焦廉政建设、法规政策、微观实操、谈判技巧等内容，对各辖市、区征收工作人员、房屋征收劳务单位等1200余人进行集中培训，并依据培训结果完成全市房屋征收从业人员培训合格证验审及新增人员发证工作，规范对从业人员的管理，实现队伍的动态调整和更新，为我市房屋征收与补偿顺利推进打下坚实基础。</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4）做好征收项目现场督查和竣工验收。中心进一步转变工作指导方式，突出一线服务，打好组合拳，做到多政策、多途径、多方式综合发力，通过政策讲解、公开程序、关系排摸、情理沟通、部门配合等方式全方位、多维度开展项目服务工作。深化项目联络人制度，加强现场监督，从严把控征收程序；加强人员管理，规范征收行为。牢牢把握征收补偿决定作出前后“关键期”，提前派专人介入，对接各项目征迁指挥部，会同属地逐一分析项目进展情况及推进难点，详细做好制定项目跟踪记录，全年累计服务护航南沿江城际铁路金坛段项目、杨氏戏楼项目等重点项目6个，排摸梳理项目难点30余个，开展基层指导服务近百人次。严格把关拆迁项目竣工验收，今年共核查验收37个房地产开发项目，高效及时的服务获得了一致好评。</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4.做好定销商品房余房管理。配合市住建局和定销商品房用房单位做好房源的使用审核和余房清理，为局合理使用定销商品房提供依据。全年审核发放定销商品房购买通知单54份。</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5.加强历史拆迁档案资料管理。为确保拆迁档案集中统一管理，提高房屋拆迁档案的移交速度和入库数量，便于被拆迁人对档案的查阅使用，在2022年联合市城市建设档案馆开展国有土地上房屋拆迁历史档案的催交入馆工作的良好基础上，2023年继续加大档案管理监督力度，要求各辖市（区）房屋征收管理机构督促本地区内相关劳务服务单位认真梳理应交未交的拆迁档案，做好档案和资料的收集、移交入库等工作。今年新北区、经开区、钟楼区在档案整理和入库工作中取得了较大成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6.开展房屋征收与补偿工作考核检查。按照行业综合考核办法，围绕行业党建、政策法规贯彻落实、征收工作人员管理、信息化建设、信访处理、扬尘防控等工作全面开展检查并进行通报，发现房屋征收过程中部分环节的问题和不足，并要求落实改进，以考核检查促进征收管理水平的提升。</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7.常态化开展扫黑除恶斗争。按照上级部署要求，根据省住建厅关于常态化开展扫黑除恶斗争及巩固专项斗争成果的要求，聚焦关键领域关键环节，结合征收项目联络人制度，建立健全源头治理防范整治机制；定期开展扫黑除恶斗争专项会议，建立健全精准有效的督导督办机制；结合年终各区平安征收考核，建立健全激励约束的考核评价机制；结合每月线索排查上报工作，建立健全公开举报机制。</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8.加强大气污染防治管控。按照大气污染防治攻坚战指挥部办公室要求，认真贯彻执行我市扬尘污染防治专项行动方案，落实人员分工和责任，督促各辖市（区）征收部门加强对房屋拆除工地的管理和巡查力度，加强扬尘综合治理，推进扬尘污染控制。</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9.强化平安征收建设。结合征收管理模式和行业特点，全面压实安全责任，增强各级管理部门的安全意识。认真贯彻落实上级各部门安全生产工作部署，第一时间落实节日后复工复产安全工作、消防安全检查自查、重点领域安全生产风险整治等专项行动，通过全面自查、项目督查，整改问题，排除隐患，堵漏洞消盲区，全面提升安全生产水平。以“人人讲安全个个会应急”为主题，启动全市征收行业“安全生产月”活动，强化安全生产政策法规学习教育，组织开展安全警示教育、安全知识竞赛等活动，通过形式多样的教育活动巩固安全生产成果，提升安全生产成效。</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(三)、注重宣传引导，营造良好征收氛围</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加强宣传和舆论引导，促进征收工作和谐推进及各类信息的公开。一是加强房屋征收政策宣传，促进信息公开。强化与新闻媒体的联络对接，通过《交汇点》、常州电视台、常州手机台、《常州日报》、《常州晚报》等平台多渠道全方位进行宣传，发出征收好声音。2023年对外发布信息10篇，各媒体发布、转载34篇。二是每季度编制发放《房屋征收工作动态》，以政策传递、亮点工作、重点项目、人物风采、知识问答等为主要内容，全面展示我市房屋征收工作动态和成果，加强信息交流，提升征收形象，打造阳光征收品牌。三是出版发行部门志《常州市房屋征收与补偿志》，全书三百余页，近35万字，在全省征收行业尚属首部，主要记述1984～2018年常州市国有土地上房屋拆迁安置及征收补偿有关工作和情况。四是编印征收百问宣传手册、知识问答和房屋征收补偿政策汇编，通过进社区、进项目广泛宣传征收政策，累计发放各类宣传手册、资料1000余份，增进了社会百姓对我市国有土地上房屋征收工作的认识和了解，进一步营造良好房屋征收环境，促进社会和谐稳定。五是加强信息宣传员队伍建设，提升信息工作规范化、制度化，积极向上级部门报送信息，努力做好上情下达，下情上报，及时、准确、全面反映各项工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(四)、做细信访维稳，推进平安征收</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1.狠抓源头治理，有效遏制信访增量。继续发挥项目联络人制度优势，派专人定期不定期对征收劳务单位各项目部进行抽查，听取被征收人的投诉和建议，严格规范征收劳务人员的征收行为，确保问题早发现、早介入、早处理，避免因沟通不畅、信息不对称等因素引发群众上访。全年阳光信访平台共交办6件，已处理6件；政府信息公开申请14件，已答复14件；行政复议及行政诉讼9件，其他政策咨询类事项共40件，同比下降30%。</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2.抓好信访积案和信访突出问题化解。中心联合各辖市（区）推进信访积案及老拆迁项目强拆户信访化解工作，定期梳理汇总各级信访积案化解情况，形成台账。同时，派专人定期参与属地街道的信访协调化解工作，深入了解积案化解的争议焦点，积极出谋划策，以逐步化解信访矛盾和信访积案，做好属地街道和信访人的沟通桥梁。</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3.做好征收拆迁信访疑难问题的善后工作。切实将坚持以人民为中心思想落实到具体行动上，积极协调处理拆迁遗留下来的历史疑难信访问题，及时进行回复处理。对原拆迁过程中部分被拆迁人资料缺失、办理房屋权属登记、申请廉租房、二套房退税等现实难题，积极协调并帮助查找相关合法有效的历史资料和证明。</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(五)、完善内部管理，提升队伍建设</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结合市委巡察反馈意见整改和作风建设要求，持续提升内部管理，强化干部日常监督管理，规范因私出国审批报备工作，持续开展廉政警示教育，贯彻落实中央八项规定及其实施细则精神。做好工作人员平时考核和年度工作考核、干部任用、推优评先和各类培训等有关工作，提升干部职工的主观能动性。开展“赠书促学”读书活动、“品读千年运河文化”活动、“送政暖人心”宣传活动、“情暖万家住建行”志愿服务等活动，提升中心文化，增强团队意识、凝聚力和战斗力。</w:t>
      </w:r>
      <w:r>
        <w:rPr>
          <w:rFonts w:ascii="仿宋" w:hAnsi="仿宋" w:cs="仿宋" w:eastAsia="仿宋"/>
        </w:rPr>
        <w:t/>
      </w:r>
    </w:p>
    <w:p>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700" w:bottom="770" w:left="1020" w:header="283"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rPr>
        <w:t>第二部分</w:t>
      </w:r>
    </w:p>
    <w:p>
      <w:pPr>
        <w:pStyle w:val="21"/>
        <w:widowControl w:val="0"/>
        <w:tabs>
          <w:tab w:val="left" w:pos="1609"/>
        </w:tabs>
        <w:suppressAutoHyphens/>
        <w:bidi w:val="0"/>
        <w:spacing w:before="12" w:after="0" w:line="300" w:lineRule="auto"/>
        <w:ind w:left="340" w:right="567" w:firstLine="0"/>
        <w:jc w:val="center"/>
        <w:rPr>
          <w:rFonts w:hint="eastAsia" w:ascii="宋体" w:hAnsi="宋体" w:eastAsia="宋体" w:cs="宋体"/>
          <w:b/>
          <w:bCs/>
          <w:sz w:val="36"/>
          <w:szCs w:val="36"/>
        </w:rPr>
      </w:pPr>
      <w:r>
        <w:rPr>
          <w:rFonts w:hint="eastAsia" w:ascii="宋体" w:hAnsi="宋体" w:eastAsia="宋体" w:cs="宋体"/>
          <w:b/>
          <w:bCs/>
          <w:sz w:val="36"/>
          <w:szCs w:val="36"/>
          <w:u w:val="none"/>
        </w:rPr>
        <w:t>常州市房屋征收与补偿管理中心</w:t>
      </w:r>
    </w:p>
    <w:p>
      <w:pPr>
        <w:pStyle w:val="21"/>
        <w:widowControl w:val="0"/>
        <w:tabs>
          <w:tab w:val="left" w:pos="1609"/>
        </w:tabs>
        <w:suppressAutoHyphens/>
        <w:bidi w:val="0"/>
        <w:spacing w:before="12" w:after="0" w:line="300" w:lineRule="auto"/>
        <w:ind w:left="340" w:right="567" w:firstLine="0"/>
        <w:jc w:val="center"/>
        <w:outlineLvl w:val="1"/>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3</w:t>
      </w:r>
      <w:r>
        <w:rPr>
          <w:rFonts w:hint="eastAsia" w:ascii="宋体" w:hAnsi="宋体" w:eastAsia="宋体" w:cs="宋体"/>
          <w:b/>
          <w:bCs/>
          <w:sz w:val="36"/>
          <w:szCs w:val="36"/>
        </w:rPr>
        <w:t>年度</w:t>
      </w:r>
      <w:r>
        <w:rPr>
          <w:rFonts w:hint="eastAsia" w:ascii="宋体" w:hAnsi="宋体" w:eastAsia="宋体" w:cs="宋体"/>
          <w:b/>
          <w:bCs/>
          <w:sz w:val="36"/>
          <w:szCs w:val="36"/>
          <w:lang w:val="en-US" w:eastAsia="zh-CN"/>
        </w:rPr>
        <w:t>单位</w:t>
      </w:r>
      <w:r>
        <w:rPr>
          <w:rFonts w:ascii="宋体" w:hAnsi="宋体" w:cs="宋体" w:eastAsia="宋体"/>
          <w:b w:val="true"/>
          <w:sz w:val="36"/>
        </w:rPr>
        <w:t>决算表</w:t>
      </w:r>
    </w:p>
    <w:tbl>
      <w:tblPr>
        <w:tblStyle w:val="12"/>
        <w:tblW w:w="10447" w:type="dxa"/>
        <w:jc w:val="center"/>
        <w:tblLayout w:type="fixed"/>
        <w:tblCellMar>
          <w:top w:w="0" w:type="dxa"/>
          <w:left w:w="108" w:type="dxa"/>
          <w:bottom w:w="0" w:type="dxa"/>
          <w:right w:w="108" w:type="dxa"/>
        </w:tblCellMar>
      </w:tblPr>
      <w:tblGrid>
        <w:gridCol w:w="3468"/>
        <w:gridCol w:w="1777"/>
        <w:gridCol w:w="2035"/>
        <w:gridCol w:w="1341"/>
        <w:gridCol w:w="1826"/>
      </w:tblGrid>
      <w:tr>
        <w:tblPrEx>
          <w:tblCellMar>
            <w:top w:w="0" w:type="dxa"/>
            <w:left w:w="108" w:type="dxa"/>
            <w:bottom w:w="0" w:type="dxa"/>
            <w:right w:w="108" w:type="dxa"/>
          </w:tblCellMar>
        </w:tblPrEx>
        <w:trPr>
          <w:trHeight w:val="544" w:hRule="atLeast"/>
          <w:jc w:val="center"/>
        </w:trPr>
        <w:tc>
          <w:tcPr>
            <w:tcW w:w="10447" w:type="dxa"/>
            <w:gridSpan w:val="5"/>
          </w:tcPr>
          <w:p>
            <w:pPr>
              <w:pageBreakBefore/>
              <w:widowControl w:val="0"/>
              <w:ind w:left="0" w:right="0" w:firstLine="0"/>
              <w:jc w:val="center"/>
              <w:textAlignment w:val="auto"/>
              <w:rPr>
                <w:rFonts w:hint="eastAsia" w:ascii="仿宋" w:hAnsi="仿宋" w:eastAsia="仿宋" w:cs="仿宋"/>
                <w:b/>
                <w:bCs/>
                <w:color w:val="000000"/>
              </w:rPr>
            </w:pPr>
            <w:r>
              <w:rPr>
                <w:rFonts w:hint="eastAsia" w:ascii="宋体" w:hAnsi="宋体" w:eastAsia="宋体" w:cs="宋体"/>
                <w:b/>
                <w:bCs/>
                <w:color w:val="000000"/>
                <w:sz w:val="36"/>
                <w:szCs w:val="36"/>
                <w:lang w:eastAsia="ar-SA"/>
              </w:rPr>
              <w:t>收入支出决算总表</w:t>
            </w:r>
          </w:p>
        </w:tc>
      </w:tr>
      <w:tr>
        <w:tblPrEx>
          <w:tblCellMar>
            <w:top w:w="0" w:type="dxa"/>
            <w:left w:w="108" w:type="dxa"/>
            <w:bottom w:w="0" w:type="dxa"/>
            <w:right w:w="108" w:type="dxa"/>
          </w:tblCellMar>
        </w:tblPrEx>
        <w:trPr>
          <w:trHeight w:val="348" w:hRule="atLeast"/>
          <w:jc w:val="center"/>
        </w:trPr>
        <w:tc>
          <w:tcPr>
            <w:tcW w:w="3468" w:type="dxa"/>
          </w:tcPr>
          <w:p>
            <w:pPr>
              <w:widowControl w:val="0"/>
              <w:ind w:left="0" w:right="0" w:firstLine="0"/>
              <w:jc w:val="left"/>
              <w:textAlignment w:val="auto"/>
              <w:rPr>
                <w:rFonts w:hint="eastAsia" w:ascii="仿宋" w:hAnsi="仿宋" w:eastAsia="仿宋" w:cs="仿宋"/>
                <w:color w:val="000000"/>
                <w:sz w:val="20"/>
              </w:rPr>
            </w:pPr>
          </w:p>
        </w:tc>
        <w:tc>
          <w:tcPr>
            <w:tcW w:w="1777" w:type="dxa"/>
          </w:tcPr>
          <w:p>
            <w:pPr>
              <w:widowControl w:val="0"/>
              <w:ind w:left="0" w:right="0" w:firstLine="0"/>
              <w:jc w:val="left"/>
              <w:textAlignment w:val="auto"/>
              <w:rPr>
                <w:rFonts w:hint="eastAsia" w:ascii="仿宋" w:hAnsi="仿宋" w:eastAsia="仿宋" w:cs="仿宋"/>
                <w:color w:val="000000"/>
                <w:sz w:val="20"/>
              </w:rPr>
            </w:pPr>
          </w:p>
        </w:tc>
        <w:tc>
          <w:tcPr>
            <w:tcW w:w="5202" w:type="dxa"/>
            <w:gridSpan w:val="3"/>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ar-SA"/>
              </w:rPr>
              <w:t>公开01表</w:t>
            </w:r>
          </w:p>
        </w:tc>
      </w:tr>
      <w:tr>
        <w:tblPrEx>
          <w:tblCellMar>
            <w:top w:w="0" w:type="dxa"/>
            <w:left w:w="108" w:type="dxa"/>
            <w:bottom w:w="0" w:type="dxa"/>
            <w:right w:w="108" w:type="dxa"/>
          </w:tblCellMar>
        </w:tblPrEx>
        <w:trPr>
          <w:trHeight w:val="333" w:hRule="atLeast"/>
          <w:jc w:val="center"/>
        </w:trPr>
        <w:tc>
          <w:tcPr>
            <w:tcW w:w="7280"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color w:val="000000"/>
                <w:sz w:val="22"/>
                <w:szCs w:val="22"/>
                <w:lang w:eastAsia="ar-SA"/>
              </w:rPr>
              <w:t>常州市房屋征收与补偿管理中心</w:t>
            </w:r>
          </w:p>
        </w:tc>
        <w:tc>
          <w:tcPr>
            <w:tcW w:w="3167"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rPr>
              <w:t>金额单位：万元</w:t>
            </w:r>
          </w:p>
        </w:tc>
      </w:tr>
      <w:tr>
        <w:tblPrEx>
          <w:tblCellMar>
            <w:top w:w="0" w:type="dxa"/>
            <w:left w:w="108" w:type="dxa"/>
            <w:bottom w:w="0" w:type="dxa"/>
            <w:right w:w="108" w:type="dxa"/>
          </w:tblCellMar>
        </w:tblPrEx>
        <w:trPr>
          <w:trHeight w:val="450" w:hRule="atLeast"/>
          <w:jc w:val="center"/>
        </w:trPr>
        <w:tc>
          <w:tcPr>
            <w:tcW w:w="5245"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收入</w:t>
            </w:r>
          </w:p>
        </w:tc>
        <w:tc>
          <w:tcPr>
            <w:tcW w:w="520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支出</w:t>
            </w:r>
          </w:p>
        </w:tc>
      </w:tr>
      <w:tr>
        <w:tblPrEx>
          <w:tblCellMar>
            <w:top w:w="0" w:type="dxa"/>
            <w:left w:w="108" w:type="dxa"/>
            <w:bottom w:w="0" w:type="dxa"/>
            <w:right w:w="108" w:type="dxa"/>
          </w:tblCellMar>
        </w:tblPrEx>
        <w:trPr>
          <w:trHeight w:val="39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ascii="仿宋" w:hAnsi="仿宋" w:cs="仿宋" w:eastAsia="仿宋"/>
                <w:color w:val="000000"/>
                <w:sz w:val="22"/>
              </w:rPr>
              <w:t>项目</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决算数</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按功能分类</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决算数</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607.00</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四、上级补助收入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六、经营收入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七、附属单位上缴收入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八、其他收入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0.57</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九、卫生健康支出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4.61</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十、节能环保支出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十一、城乡社区支出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483.68</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十二、农林水支出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十三、交通运输支出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十四、资源勘探工业信息等支出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十五、商业服务业等支出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十六、金融支出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十七、援助其他地区支出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十八、自然资源海洋气象等支出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十九、住房保障支出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118.14</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二十、粮油物资储备支出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二十一、国有资本经营预算支出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二十二、灾害防治及应急管理支出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二十三、其他支出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二十四、债务还本支出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二十五、债务付息支出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二十六、抗疫特别国债安排的支出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454" w:hRule="exac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val="0"/>
                <w:bCs w:val="0"/>
                <w:color w:val="000000"/>
                <w:sz w:val="22"/>
                <w:szCs w:val="22"/>
                <w:lang w:eastAsia="ar-SA"/>
              </w:rPr>
              <w:t/>
            </w:r>
            <w:r>
              <w:rPr>
                <w:rFonts w:hint="eastAsia" w:ascii="仿宋" w:hAnsi="仿宋" w:eastAsia="仿宋" w:cs="仿宋"/>
                <w:b/>
                <w:bCs/>
                <w:color w:val="000000"/>
                <w:sz w:val="22"/>
                <w:szCs w:val="22"/>
                <w:lang w:eastAsia="ar-SA"/>
              </w:rPr>
              <w:t>本年收入合计</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607.00</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本年支出合计</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607.00</w:t>
            </w:r>
          </w:p>
        </w:tc>
      </w:tr>
      <w:tr>
        <w:tblPrEx>
          <w:tblCellMar>
            <w:top w:w="0" w:type="dxa"/>
            <w:left w:w="108" w:type="dxa"/>
            <w:bottom w:w="0" w:type="dxa"/>
            <w:right w:w="108" w:type="dxa"/>
          </w:tblCellMar>
        </w:tblPrEx>
        <w:trPr>
          <w:trHeight w:val="413"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使用非财政拨款结余</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结余分配</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p>
        </w:tc>
      </w:tr>
      <w:tr>
        <w:tblPrEx>
          <w:tblCellMar>
            <w:top w:w="0" w:type="dxa"/>
            <w:left w:w="108" w:type="dxa"/>
            <w:bottom w:w="0" w:type="dxa"/>
            <w:right w:w="108" w:type="dxa"/>
          </w:tblCellMar>
        </w:tblPrEx>
        <w:trPr>
          <w:trHeight w:val="413"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年初结转和结余</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年末结转和结余</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p>
        </w:tc>
      </w:tr>
      <w:tr>
        <w:tblPrEx>
          <w:tblCellMar>
            <w:top w:w="0" w:type="dxa"/>
            <w:left w:w="108" w:type="dxa"/>
            <w:bottom w:w="0" w:type="dxa"/>
            <w:right w:w="108" w:type="dxa"/>
          </w:tblCellMar>
        </w:tblPrEx>
        <w:trPr>
          <w:trHeight w:val="383" w:hRule="atLeast"/>
          <w:jc w:val="center"/>
        </w:trPr>
        <w:tc>
          <w:tcPr>
            <w:tcW w:w="3468"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1777"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3376" w:type="dxa"/>
            <w:gridSpan w:val="2"/>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1826"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r>
      <w:tr>
        <w:tblPrEx>
          <w:tblCellMar>
            <w:top w:w="0" w:type="dxa"/>
            <w:left w:w="108" w:type="dxa"/>
            <w:bottom w:w="0" w:type="dxa"/>
            <w:right w:w="108" w:type="dxa"/>
          </w:tblCellMar>
        </w:tblPrEx>
        <w:trPr>
          <w:cantSplit/>
          <w:trHeight w:val="454" w:hRule="exac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eastAsia="ar-SA"/>
              </w:rPr>
              <w:t>总计</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607.00</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eastAsia="ar-SA"/>
              </w:rPr>
              <w:t>总计</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607.00</w:t>
            </w:r>
          </w:p>
        </w:tc>
      </w:tr>
    </w:tbl>
    <w:p>
      <w:pPr>
        <w:widowControl w:val="0"/>
        <w:suppressAutoHyphens/>
        <w:bidi w:val="0"/>
        <w:spacing w:before="66" w:after="0"/>
        <w:ind w:left="0" w:leftChars="0" w:right="0" w:rightChars="0" w:firstLine="0" w:firstLineChars="0"/>
        <w:jc w:val="both"/>
        <w:rPr>
          <w:rFonts w:hint="eastAsia" w:ascii="仿宋" w:hAnsi="仿宋" w:eastAsia="仿宋" w:cs="仿宋"/>
          <w:b w:val="0"/>
          <w:bCs w:val="0"/>
          <w:color w:val="000000"/>
          <w:sz w:val="22"/>
          <w:szCs w:val="22"/>
          <w:lang w:val="en-US" w:eastAsia="zh-CN"/>
        </w:rPr>
      </w:pPr>
      <w:r>
        <w:rPr>
          <w:rFonts w:hint="eastAsia" w:ascii="仿宋" w:hAnsi="仿宋" w:eastAsia="仿宋" w:cs="仿宋"/>
          <w:b w:val="0"/>
          <w:bCs w:val="0"/>
          <w:color w:val="000000"/>
          <w:sz w:val="22"/>
          <w:szCs w:val="22"/>
          <w:lang w:val="en-US" w:eastAsia="zh-CN"/>
        </w:rPr>
        <w:t>注：本表反映本年度的总收支和年末结转结余情况。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color w:val="000000"/>
          <w:sz w:val="22"/>
          <w:szCs w:val="22"/>
          <w:lang w:val="en-US" w:eastAsia="zh-CN"/>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66" w:after="0"/>
        <w:ind w:right="0"/>
        <w:jc w:val="both"/>
        <w:rPr>
          <w:rFonts w:hint="eastAsia" w:ascii="仿宋" w:hAnsi="仿宋" w:eastAsia="仿宋" w:cs="仿宋"/>
          <w:b w:val="0"/>
          <w:bCs w:val="0"/>
          <w:color w:val="000000"/>
          <w:sz w:val="22"/>
          <w:szCs w:val="22"/>
        </w:rPr>
        <w:sectPr>
          <w:footerReference r:id="rId8"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660" w:type="dxa"/>
        <w:jc w:val="center"/>
        <w:tblLayout w:type="fixed"/>
        <w:tblCellMar>
          <w:top w:w="0" w:type="dxa"/>
          <w:left w:w="108" w:type="dxa"/>
          <w:bottom w:w="0" w:type="dxa"/>
          <w:right w:w="108" w:type="dxa"/>
        </w:tblCellMar>
      </w:tblPr>
      <w:tblGrid>
        <w:gridCol w:w="1201"/>
        <w:gridCol w:w="3156"/>
        <w:gridCol w:w="1716"/>
        <w:gridCol w:w="1728"/>
        <w:gridCol w:w="1686"/>
        <w:gridCol w:w="1503"/>
        <w:gridCol w:w="1704"/>
        <w:gridCol w:w="1263"/>
        <w:gridCol w:w="1375"/>
        <w:gridCol w:w="1328"/>
      </w:tblGrid>
      <w:tr>
        <w:tblPrEx>
          <w:tblCellMar>
            <w:top w:w="0" w:type="dxa"/>
            <w:left w:w="108" w:type="dxa"/>
            <w:bottom w:w="0" w:type="dxa"/>
            <w:right w:w="108" w:type="dxa"/>
          </w:tblCellMar>
        </w:tblPrEx>
        <w:trPr>
          <w:trHeight w:val="403" w:hRule="atLeast"/>
          <w:jc w:val="center"/>
        </w:trPr>
        <w:tc>
          <w:tcPr>
            <w:tcW w:w="16660" w:type="dxa"/>
            <w:gridSpan w:val="10"/>
            <w:vAlign w:val="center"/>
          </w:tcPr>
          <w:p>
            <w:pPr>
              <w:pStyle w:val="5"/>
              <w:widowControl w:val="0"/>
              <w:rPr>
                <w:rFonts w:hint="eastAsia" w:ascii="仿宋" w:hAnsi="仿宋" w:eastAsia="仿宋" w:cs="仿宋"/>
                <w:b/>
                <w:bCs/>
                <w:sz w:val="44"/>
                <w:szCs w:val="44"/>
                <w:lang w:val="en-US" w:eastAsia="zh-CN"/>
              </w:rPr>
            </w:pPr>
            <w:r>
              <w:rPr>
                <w:rFonts w:hint="eastAsia" w:ascii="宋体" w:hAnsi="宋体" w:eastAsia="宋体" w:cs="宋体"/>
                <w:b/>
                <w:bCs/>
                <w:color w:val="000000"/>
                <w:kern w:val="0"/>
                <w:sz w:val="36"/>
                <w:szCs w:val="36"/>
                <w:lang w:val="zh-CN" w:eastAsia="ar-SA" w:bidi="zh-CN"/>
              </w:rPr>
              <w:t>收入决算表</w:t>
            </w:r>
          </w:p>
        </w:tc>
      </w:tr>
      <w:tr>
        <w:tblPrEx>
          <w:tblCellMar>
            <w:top w:w="0" w:type="dxa"/>
            <w:left w:w="108" w:type="dxa"/>
            <w:bottom w:w="0" w:type="dxa"/>
            <w:right w:w="108" w:type="dxa"/>
          </w:tblCellMar>
        </w:tblPrEx>
        <w:trPr>
          <w:trHeight w:val="247" w:hRule="atLeast"/>
          <w:jc w:val="center"/>
        </w:trPr>
        <w:tc>
          <w:tcPr>
            <w:tcW w:w="4357" w:type="dxa"/>
            <w:gridSpan w:val="2"/>
            <w:vAlign w:val="center"/>
          </w:tcPr>
          <w:p>
            <w:pPr>
              <w:pStyle w:val="22"/>
              <w:widowControl w:val="0"/>
              <w:jc w:val="center"/>
              <w:rPr>
                <w:rFonts w:hint="eastAsia" w:ascii="仿宋" w:hAnsi="仿宋" w:eastAsia="仿宋" w:cs="仿宋"/>
              </w:rPr>
            </w:pPr>
          </w:p>
        </w:tc>
        <w:tc>
          <w:tcPr>
            <w:tcW w:w="1716" w:type="dxa"/>
            <w:vAlign w:val="center"/>
          </w:tcPr>
          <w:p>
            <w:pPr>
              <w:pStyle w:val="22"/>
              <w:widowControl w:val="0"/>
              <w:jc w:val="center"/>
              <w:rPr>
                <w:rFonts w:hint="eastAsia" w:ascii="仿宋" w:hAnsi="仿宋" w:eastAsia="仿宋" w:cs="仿宋"/>
              </w:rPr>
            </w:pPr>
          </w:p>
        </w:tc>
        <w:tc>
          <w:tcPr>
            <w:tcW w:w="1728" w:type="dxa"/>
            <w:vAlign w:val="center"/>
          </w:tcPr>
          <w:p>
            <w:pPr>
              <w:pStyle w:val="22"/>
              <w:widowControl w:val="0"/>
              <w:jc w:val="center"/>
              <w:rPr>
                <w:rFonts w:hint="eastAsia" w:ascii="仿宋" w:hAnsi="仿宋" w:eastAsia="仿宋" w:cs="仿宋"/>
              </w:rPr>
            </w:pPr>
          </w:p>
        </w:tc>
        <w:tc>
          <w:tcPr>
            <w:tcW w:w="1686" w:type="dxa"/>
            <w:vAlign w:val="center"/>
          </w:tcPr>
          <w:p>
            <w:pPr>
              <w:pStyle w:val="22"/>
              <w:widowControl w:val="0"/>
              <w:jc w:val="center"/>
              <w:rPr>
                <w:rFonts w:hint="eastAsia" w:ascii="仿宋" w:hAnsi="仿宋" w:eastAsia="仿宋" w:cs="仿宋"/>
              </w:rPr>
            </w:pPr>
          </w:p>
        </w:tc>
        <w:tc>
          <w:tcPr>
            <w:tcW w:w="3207" w:type="dxa"/>
            <w:gridSpan w:val="2"/>
            <w:vAlign w:val="center"/>
          </w:tcPr>
          <w:p>
            <w:pPr>
              <w:pStyle w:val="22"/>
              <w:widowControl w:val="0"/>
              <w:jc w:val="center"/>
              <w:rPr>
                <w:rFonts w:hint="eastAsia" w:ascii="仿宋" w:hAnsi="仿宋" w:eastAsia="仿宋" w:cs="仿宋"/>
              </w:rPr>
            </w:pPr>
          </w:p>
        </w:tc>
        <w:tc>
          <w:tcPr>
            <w:tcW w:w="1263" w:type="dxa"/>
            <w:vAlign w:val="center"/>
          </w:tcPr>
          <w:p>
            <w:pPr>
              <w:pStyle w:val="22"/>
              <w:widowControl w:val="0"/>
              <w:jc w:val="center"/>
              <w:rPr>
                <w:rFonts w:hint="eastAsia" w:ascii="仿宋" w:hAnsi="仿宋" w:eastAsia="仿宋" w:cs="仿宋"/>
              </w:rPr>
            </w:pPr>
          </w:p>
        </w:tc>
        <w:tc>
          <w:tcPr>
            <w:tcW w:w="2703" w:type="dxa"/>
            <w:gridSpan w:val="2"/>
            <w:vAlign w:val="center"/>
          </w:tcPr>
          <w:p>
            <w:pPr>
              <w:pStyle w:val="22"/>
              <w:widowControl w:val="0"/>
              <w:jc w:val="right"/>
              <w:rPr>
                <w:rFonts w:hint="eastAsia" w:ascii="仿宋" w:hAnsi="仿宋" w:eastAsia="仿宋" w:cs="仿宋"/>
              </w:rPr>
            </w:pPr>
            <w:r>
              <w:rPr>
                <w:rFonts w:hint="eastAsia" w:ascii="仿宋" w:hAnsi="仿宋" w:eastAsia="仿宋" w:cs="仿宋"/>
              </w:rPr>
              <w:t>公开02表</w:t>
            </w:r>
          </w:p>
        </w:tc>
      </w:tr>
      <w:tr>
        <w:tblPrEx>
          <w:tblCellMar>
            <w:top w:w="0" w:type="dxa"/>
            <w:left w:w="108" w:type="dxa"/>
            <w:bottom w:w="0" w:type="dxa"/>
            <w:right w:w="108" w:type="dxa"/>
          </w:tblCellMar>
        </w:tblPrEx>
        <w:trPr>
          <w:trHeight w:val="247" w:hRule="atLeast"/>
          <w:jc w:val="center"/>
        </w:trPr>
        <w:tc>
          <w:tcPr>
            <w:tcW w:w="13957" w:type="dxa"/>
            <w:gridSpan w:val="8"/>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2703" w:type="dxa"/>
            <w:gridSpan w:val="2"/>
            <w:vAlign w:val="center"/>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0" w:type="dxa"/>
            <w:left w:w="108" w:type="dxa"/>
            <w:bottom w:w="0" w:type="dxa"/>
            <w:right w:w="108" w:type="dxa"/>
          </w:tblCellMar>
        </w:tblPrEx>
        <w:trPr>
          <w:cantSplit/>
          <w:trHeight w:val="255" w:hRule="atLeast"/>
          <w:jc w:val="center"/>
        </w:trPr>
        <w:tc>
          <w:tcPr>
            <w:tcW w:w="4357"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w:t>
            </w:r>
          </w:p>
        </w:tc>
        <w:tc>
          <w:tcPr>
            <w:tcW w:w="1716"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本年收入合计</w:t>
            </w:r>
          </w:p>
        </w:tc>
        <w:tc>
          <w:tcPr>
            <w:tcW w:w="1728"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财政拨款收入</w:t>
            </w:r>
          </w:p>
        </w:tc>
        <w:tc>
          <w:tcPr>
            <w:tcW w:w="1686"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上级补助收入</w:t>
            </w:r>
          </w:p>
        </w:tc>
        <w:tc>
          <w:tcPr>
            <w:tcW w:w="1503"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财政专户管理教育收费</w:t>
            </w:r>
          </w:p>
        </w:tc>
        <w:tc>
          <w:tcPr>
            <w:tcW w:w="1704"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事业收入（不含专户管理教育收费）</w:t>
            </w:r>
          </w:p>
        </w:tc>
        <w:tc>
          <w:tcPr>
            <w:tcW w:w="1263"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经营收入</w:t>
            </w:r>
          </w:p>
        </w:tc>
        <w:tc>
          <w:tcPr>
            <w:tcW w:w="1375"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附属单位上缴收入</w:t>
            </w:r>
          </w:p>
        </w:tc>
        <w:tc>
          <w:tcPr>
            <w:tcW w:w="1328"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其他收入</w:t>
            </w:r>
          </w:p>
        </w:tc>
      </w:tr>
      <w:tr>
        <w:tblPrEx>
          <w:tblCellMar>
            <w:top w:w="0" w:type="dxa"/>
            <w:left w:w="108" w:type="dxa"/>
            <w:bottom w:w="0" w:type="dxa"/>
            <w:right w:w="108" w:type="dxa"/>
          </w:tblCellMar>
        </w:tblPrEx>
        <w:trPr>
          <w:cantSplit/>
          <w:trHeight w:val="502" w:hRule="atLeast"/>
          <w:jc w:val="center"/>
        </w:trPr>
        <w:tc>
          <w:tcPr>
            <w:tcW w:w="120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156"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1716"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728"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686"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503"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704"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263"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375"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328"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0" w:type="dxa"/>
            <w:left w:w="108" w:type="dxa"/>
            <w:bottom w:w="0" w:type="dxa"/>
            <w:right w:w="108" w:type="dxa"/>
          </w:tblCellMar>
        </w:tblPrEx>
        <w:trPr>
          <w:cantSplit/>
          <w:trHeight w:val="267" w:hRule="exact"/>
          <w:jc w:val="center"/>
        </w:trPr>
        <w:tc>
          <w:tcPr>
            <w:tcW w:w="4357"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合计</w:t>
            </w:r>
          </w:p>
        </w:tc>
        <w:tc>
          <w:tcPr>
            <w:tcW w:w="1716"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607.00</w:t>
            </w:r>
          </w:p>
        </w:tc>
        <w:tc>
          <w:tcPr>
            <w:tcW w:w="1728"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607.00</w:t>
            </w:r>
          </w:p>
        </w:tc>
        <w:tc>
          <w:tcPr>
            <w:tcW w:w="1686"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社会保障和就业支出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20805</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行政事业单位养老支出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2080501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行政单位离退休</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0.57</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卫生健康支出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21011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行政事业单位医疗</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2101103</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公务员医疗补助</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4.61</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城乡社区支出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483.68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483.68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21201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城乡社区管理事务</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483.68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483.68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2120101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行政运行</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365.29</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365.29</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2120106</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工程建设管理</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118.39</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118.39</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住房保障支出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118.14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118.14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住房改革支出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118.14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118.14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住房公积金</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28.34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28.34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提租补贴</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65.84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65.84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2210203</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购房补贴</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23.96</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23.96</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bl>
    <w:p>
      <w:pPr>
        <w:widowControl w:val="0"/>
        <w:suppressAutoHyphens/>
        <w:bidi w:val="0"/>
        <w:spacing w:before="66" w:after="0"/>
        <w:ind w:left="0" w:leftChars="0" w:right="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color w:val="000000"/>
          <w:sz w:val="22"/>
          <w:szCs w:val="22"/>
        </w:rPr>
        <w:t>注：</w:t>
      </w:r>
      <w:r>
        <w:rPr>
          <w:rFonts w:hint="eastAsia" w:ascii="仿宋" w:hAnsi="仿宋" w:eastAsia="仿宋" w:cs="仿宋"/>
          <w:b w:val="0"/>
          <w:bCs w:val="0"/>
          <w:sz w:val="22"/>
          <w:szCs w:val="22"/>
        </w:rPr>
        <w:t>本表反映本年度取得的各项收入情况。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66" w:after="0"/>
        <w:ind w:left="57" w:right="0" w:firstLine="220" w:firstLineChars="100"/>
        <w:jc w:val="both"/>
        <w:rPr>
          <w:rFonts w:hint="eastAsia" w:ascii="仿宋" w:hAnsi="仿宋" w:eastAsia="仿宋" w:cs="仿宋"/>
          <w:b w:val="0"/>
          <w:bCs w:val="0"/>
          <w:sz w:val="22"/>
          <w:szCs w:val="22"/>
        </w:rPr>
        <w:sectPr>
          <w:footerReference r:id="rId9" w:type="default"/>
          <w:pgSz w:w="16838" w:h="11906" w:orient="landscape"/>
          <w:pgMar w:top="720" w:right="113" w:bottom="720" w:left="113"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689" w:type="dxa"/>
        <w:tblInd w:w="63" w:type="dxa"/>
        <w:tblLayout w:type="fixed"/>
        <w:tblCellMar>
          <w:top w:w="55" w:type="dxa"/>
          <w:left w:w="55" w:type="dxa"/>
          <w:bottom w:w="55" w:type="dxa"/>
          <w:right w:w="55" w:type="dxa"/>
        </w:tblCellMar>
      </w:tblPr>
      <w:tblGrid>
        <w:gridCol w:w="1188"/>
        <w:gridCol w:w="3927"/>
        <w:gridCol w:w="2164"/>
        <w:gridCol w:w="1897"/>
        <w:gridCol w:w="1739"/>
        <w:gridCol w:w="1715"/>
        <w:gridCol w:w="1633"/>
        <w:gridCol w:w="1426"/>
      </w:tblGrid>
      <w:tr>
        <w:tblPrEx>
          <w:tblCellMar>
            <w:top w:w="55" w:type="dxa"/>
            <w:left w:w="55" w:type="dxa"/>
            <w:bottom w:w="55" w:type="dxa"/>
            <w:right w:w="55" w:type="dxa"/>
          </w:tblCellMar>
        </w:tblPrEx>
        <w:trPr>
          <w:trHeight w:val="532" w:hRule="atLeast"/>
        </w:trPr>
        <w:tc>
          <w:tcPr>
            <w:tcW w:w="15689" w:type="dxa"/>
            <w:gridSpan w:val="8"/>
            <w:vAlign w:val="center"/>
          </w:tcPr>
          <w:p>
            <w:pPr>
              <w:pStyle w:val="5"/>
              <w:widowControl w:val="0"/>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支出决算表</w:t>
            </w:r>
          </w:p>
        </w:tc>
      </w:tr>
      <w:tr>
        <w:tblPrEx>
          <w:tblCellMar>
            <w:top w:w="55" w:type="dxa"/>
            <w:left w:w="55" w:type="dxa"/>
            <w:bottom w:w="55" w:type="dxa"/>
            <w:right w:w="55" w:type="dxa"/>
          </w:tblCellMar>
        </w:tblPrEx>
        <w:trPr>
          <w:trHeight w:val="227" w:hRule="atLeast"/>
        </w:trPr>
        <w:tc>
          <w:tcPr>
            <w:tcW w:w="5115" w:type="dxa"/>
            <w:gridSpan w:val="2"/>
            <w:vAlign w:val="center"/>
          </w:tcPr>
          <w:p>
            <w:pPr>
              <w:pStyle w:val="22"/>
              <w:widowControl w:val="0"/>
              <w:jc w:val="center"/>
              <w:rPr>
                <w:rFonts w:hint="eastAsia" w:ascii="仿宋" w:hAnsi="仿宋" w:eastAsia="仿宋" w:cs="仿宋"/>
              </w:rPr>
            </w:pPr>
          </w:p>
        </w:tc>
        <w:tc>
          <w:tcPr>
            <w:tcW w:w="2164" w:type="dxa"/>
            <w:vAlign w:val="center"/>
          </w:tcPr>
          <w:p>
            <w:pPr>
              <w:pStyle w:val="22"/>
              <w:widowControl w:val="0"/>
              <w:spacing w:before="0" w:after="0"/>
              <w:ind w:firstLine="0"/>
              <w:jc w:val="center"/>
              <w:rPr>
                <w:rFonts w:hint="eastAsia" w:ascii="仿宋" w:hAnsi="仿宋" w:eastAsia="仿宋" w:cs="仿宋"/>
                <w:sz w:val="20"/>
              </w:rPr>
            </w:pPr>
          </w:p>
        </w:tc>
        <w:tc>
          <w:tcPr>
            <w:tcW w:w="1897" w:type="dxa"/>
            <w:vAlign w:val="center"/>
          </w:tcPr>
          <w:p>
            <w:pPr>
              <w:pStyle w:val="22"/>
              <w:widowControl w:val="0"/>
              <w:spacing w:before="0" w:after="0"/>
              <w:ind w:firstLine="0"/>
              <w:jc w:val="center"/>
              <w:rPr>
                <w:rFonts w:hint="eastAsia" w:ascii="仿宋" w:hAnsi="仿宋" w:eastAsia="仿宋" w:cs="仿宋"/>
                <w:sz w:val="20"/>
              </w:rPr>
            </w:pPr>
          </w:p>
        </w:tc>
        <w:tc>
          <w:tcPr>
            <w:tcW w:w="1739" w:type="dxa"/>
            <w:vAlign w:val="center"/>
          </w:tcPr>
          <w:p>
            <w:pPr>
              <w:pStyle w:val="22"/>
              <w:widowControl w:val="0"/>
              <w:spacing w:before="0" w:after="0"/>
              <w:ind w:firstLine="0"/>
              <w:jc w:val="center"/>
              <w:rPr>
                <w:rFonts w:hint="eastAsia" w:ascii="仿宋" w:hAnsi="仿宋" w:eastAsia="仿宋" w:cs="仿宋"/>
                <w:sz w:val="20"/>
              </w:rPr>
            </w:pPr>
          </w:p>
        </w:tc>
        <w:tc>
          <w:tcPr>
            <w:tcW w:w="1715" w:type="dxa"/>
            <w:vAlign w:val="center"/>
          </w:tcPr>
          <w:p>
            <w:pPr>
              <w:pStyle w:val="22"/>
              <w:widowControl w:val="0"/>
              <w:spacing w:before="0" w:after="0"/>
              <w:ind w:firstLine="0"/>
              <w:jc w:val="center"/>
              <w:rPr>
                <w:rFonts w:hint="eastAsia" w:ascii="仿宋" w:hAnsi="仿宋" w:eastAsia="仿宋" w:cs="仿宋"/>
                <w:sz w:val="20"/>
              </w:rPr>
            </w:pPr>
          </w:p>
        </w:tc>
        <w:tc>
          <w:tcPr>
            <w:tcW w:w="3059" w:type="dxa"/>
            <w:gridSpan w:val="2"/>
            <w:vAlign w:val="center"/>
          </w:tcPr>
          <w:p>
            <w:pPr>
              <w:pStyle w:val="22"/>
              <w:widowControl w:val="0"/>
              <w:spacing w:before="0" w:after="0"/>
              <w:ind w:firstLine="0"/>
              <w:jc w:val="right"/>
              <w:rPr>
                <w:rFonts w:hint="eastAsia" w:ascii="仿宋" w:hAnsi="仿宋" w:eastAsia="仿宋" w:cs="仿宋"/>
                <w:sz w:val="22"/>
                <w:szCs w:val="22"/>
              </w:rPr>
            </w:pPr>
            <w:r>
              <w:rPr>
                <w:rFonts w:hint="eastAsia" w:ascii="仿宋" w:hAnsi="仿宋" w:eastAsia="仿宋" w:cs="仿宋"/>
                <w:sz w:val="22"/>
                <w:szCs w:val="22"/>
              </w:rPr>
              <w:t>公开03表</w:t>
            </w:r>
          </w:p>
        </w:tc>
      </w:tr>
      <w:tr>
        <w:tblPrEx>
          <w:tblCellMar>
            <w:top w:w="55" w:type="dxa"/>
            <w:left w:w="55" w:type="dxa"/>
            <w:bottom w:w="55" w:type="dxa"/>
            <w:right w:w="55" w:type="dxa"/>
          </w:tblCellMar>
        </w:tblPrEx>
        <w:trPr>
          <w:trHeight w:val="90" w:hRule="atLeast"/>
        </w:trPr>
        <w:tc>
          <w:tcPr>
            <w:tcW w:w="12630" w:type="dxa"/>
            <w:gridSpan w:val="6"/>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3059" w:type="dxa"/>
            <w:gridSpan w:val="2"/>
            <w:vAlign w:val="center"/>
          </w:tcPr>
          <w:p>
            <w:pPr>
              <w:pStyle w:val="22"/>
              <w:widowControl w:val="0"/>
              <w:spacing w:before="0" w:after="0"/>
              <w:ind w:firstLine="0"/>
              <w:jc w:val="right"/>
              <w:rPr>
                <w:rFonts w:hint="eastAsia" w:ascii="仿宋" w:hAnsi="仿宋" w:eastAsia="仿宋" w:cs="仿宋"/>
                <w:sz w:val="22"/>
                <w:szCs w:val="22"/>
              </w:rPr>
            </w:pPr>
            <w:r>
              <w:rPr>
                <w:rFonts w:hint="eastAsia" w:ascii="仿宋" w:hAnsi="仿宋" w:eastAsia="仿宋" w:cs="仿宋"/>
                <w:sz w:val="22"/>
                <w:szCs w:val="22"/>
              </w:rPr>
              <w:t>金额单位：万元</w:t>
            </w:r>
          </w:p>
        </w:tc>
      </w:tr>
      <w:tr>
        <w:tblPrEx>
          <w:tblCellMar>
            <w:top w:w="55" w:type="dxa"/>
            <w:left w:w="55" w:type="dxa"/>
            <w:bottom w:w="55" w:type="dxa"/>
            <w:right w:w="55" w:type="dxa"/>
          </w:tblCellMar>
        </w:tblPrEx>
        <w:trPr>
          <w:trHeight w:val="90" w:hRule="atLeast"/>
        </w:trPr>
        <w:tc>
          <w:tcPr>
            <w:tcW w:w="5115"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kern w:val="0"/>
                <w:sz w:val="22"/>
                <w:szCs w:val="22"/>
              </w:rPr>
              <w:t>项目</w:t>
            </w:r>
          </w:p>
        </w:tc>
        <w:tc>
          <w:tcPr>
            <w:tcW w:w="2164"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本年支出合计</w:t>
            </w:r>
          </w:p>
        </w:tc>
        <w:tc>
          <w:tcPr>
            <w:tcW w:w="1897"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39"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715"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3"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经营支出</w:t>
            </w:r>
          </w:p>
        </w:tc>
        <w:tc>
          <w:tcPr>
            <w:tcW w:w="1426"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CellMar>
            <w:top w:w="55" w:type="dxa"/>
            <w:left w:w="55" w:type="dxa"/>
            <w:bottom w:w="55" w:type="dxa"/>
            <w:right w:w="55" w:type="dxa"/>
          </w:tblCellMar>
        </w:tblPrEx>
        <w:trPr>
          <w:trHeight w:val="176" w:hRule="atLeast"/>
        </w:trPr>
        <w:tc>
          <w:tcPr>
            <w:tcW w:w="1188" w:type="dxa"/>
            <w:tcBorders>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kern w:val="0"/>
                <w:sz w:val="22"/>
                <w:szCs w:val="22"/>
              </w:rPr>
            </w:pPr>
            <w:r>
              <w:rPr>
                <w:rFonts w:hint="eastAsia" w:ascii="仿宋" w:hAnsi="仿宋" w:eastAsia="仿宋" w:cs="仿宋"/>
                <w:kern w:val="0"/>
                <w:sz w:val="22"/>
                <w:szCs w:val="22"/>
              </w:rPr>
              <w:t>功能分类</w:t>
            </w:r>
          </w:p>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927" w:type="dxa"/>
            <w:tcBorders>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科目名称</w:t>
            </w:r>
          </w:p>
        </w:tc>
        <w:tc>
          <w:tcPr>
            <w:tcW w:w="2164"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897"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739"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715"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633"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426" w:type="dxa"/>
            <w:vMerge w:val="continue"/>
            <w:tcBorders>
              <w:left w:val="single" w:color="000000" w:sz="4" w:space="0"/>
              <w:bottom w:val="single" w:color="000000" w:sz="4" w:space="0"/>
              <w:right w:val="single" w:color="000000" w:sz="4" w:space="0"/>
            </w:tcBorders>
          </w:tcPr>
          <w:p>
            <w:pPr>
              <w:widowControl w:val="0"/>
              <w:spacing w:before="0" w:after="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382" w:hRule="exact"/>
        </w:trPr>
        <w:tc>
          <w:tcPr>
            <w:tcW w:w="5115"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合计</w:t>
            </w:r>
          </w:p>
        </w:tc>
        <w:tc>
          <w:tcPr>
            <w:tcW w:w="2164"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607.00</w:t>
            </w:r>
          </w:p>
        </w:tc>
        <w:tc>
          <w:tcPr>
            <w:tcW w:w="1897"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488.61</w:t>
            </w:r>
          </w:p>
        </w:tc>
        <w:tc>
          <w:tcPr>
            <w:tcW w:w="1739"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118.39</w:t>
            </w:r>
          </w:p>
        </w:tc>
        <w:tc>
          <w:tcPr>
            <w:tcW w:w="1715"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c>
          <w:tcPr>
            <w:tcW w:w="1633"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c>
          <w:tcPr>
            <w:tcW w:w="1426"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社会保障和就业支出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20805</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行政事业单位养老支出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2080501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行政单位离退休</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0.57</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卫生健康支出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21011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行政事业单位医疗</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2101103</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公务员医疗补助</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4.61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城乡社区支出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483.68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365.29</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118.39</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21201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城乡社区管理事务</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483.68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365.29</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118.39</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2120101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行政运行</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365.29</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365.29</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2120106</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工程建设管理</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118.39</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118.39</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住房保障支出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118.14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118.14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住房改革支出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118.14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118.14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住房公积金</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28.34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28.34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提租补贴</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65.84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65.84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2210203</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购房补贴</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23.96</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23.96</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bl>
    <w:p>
      <w:pPr>
        <w:widowControl w:val="0"/>
        <w:suppressAutoHyphens/>
        <w:bidi w:val="0"/>
        <w:spacing w:before="59" w:after="0"/>
        <w:ind w:left="0" w:leftChars="0" w:right="0" w:firstLine="0" w:firstLineChars="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注：本表反映本年度各项支出情况。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59" w:after="0"/>
        <w:ind w:left="57" w:right="0" w:firstLine="0"/>
        <w:jc w:val="left"/>
        <w:rPr>
          <w:rFonts w:hint="eastAsia" w:ascii="仿宋" w:hAnsi="仿宋" w:eastAsia="仿宋" w:cs="仿宋"/>
          <w:b w:val="0"/>
          <w:bCs w:val="0"/>
          <w:sz w:val="22"/>
          <w:szCs w:val="22"/>
        </w:rPr>
        <w:sectPr>
          <w:footerReference r:id="rId10" w:type="default"/>
          <w:pgSz w:w="16838" w:h="11906" w:orient="landscape"/>
          <w:pgMar w:top="720" w:right="567" w:bottom="720" w:left="56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72" w:type="dxa"/>
        <w:tblInd w:w="75" w:type="dxa"/>
        <w:tblLayout w:type="fixed"/>
        <w:tblCellMar>
          <w:top w:w="55" w:type="dxa"/>
          <w:left w:w="55" w:type="dxa"/>
          <w:bottom w:w="55" w:type="dxa"/>
          <w:right w:w="55" w:type="dxa"/>
        </w:tblCellMar>
      </w:tblPr>
      <w:tblGrid>
        <w:gridCol w:w="3725"/>
        <w:gridCol w:w="1837"/>
        <w:gridCol w:w="847"/>
        <w:gridCol w:w="1913"/>
        <w:gridCol w:w="907"/>
        <w:gridCol w:w="1728"/>
        <w:gridCol w:w="1194"/>
        <w:gridCol w:w="221"/>
        <w:gridCol w:w="1500"/>
        <w:gridCol w:w="1500"/>
      </w:tblGrid>
      <w:tr>
        <w:tblPrEx>
          <w:tblCellMar>
            <w:top w:w="55" w:type="dxa"/>
            <w:left w:w="55" w:type="dxa"/>
            <w:bottom w:w="55" w:type="dxa"/>
            <w:right w:w="55" w:type="dxa"/>
          </w:tblCellMar>
        </w:tblPrEx>
        <w:trPr>
          <w:trHeight w:val="319" w:hRule="atLeast"/>
        </w:trPr>
        <w:tc>
          <w:tcPr>
            <w:tcW w:w="15372" w:type="dxa"/>
            <w:gridSpan w:val="10"/>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财政拨款收入支出决算总表</w:t>
            </w:r>
          </w:p>
        </w:tc>
      </w:tr>
      <w:tr>
        <w:tblPrEx>
          <w:tblCellMar>
            <w:top w:w="55" w:type="dxa"/>
            <w:left w:w="55" w:type="dxa"/>
            <w:bottom w:w="55" w:type="dxa"/>
            <w:right w:w="55" w:type="dxa"/>
          </w:tblCellMar>
        </w:tblPrEx>
        <w:trPr>
          <w:trHeight w:val="319" w:hRule="atLeast"/>
        </w:trPr>
        <w:tc>
          <w:tcPr>
            <w:tcW w:w="5562" w:type="dxa"/>
            <w:gridSpan w:val="2"/>
          </w:tcPr>
          <w:p>
            <w:pPr>
              <w:pStyle w:val="22"/>
              <w:widowControl w:val="0"/>
              <w:rPr>
                <w:rFonts w:hint="eastAsia" w:ascii="仿宋" w:hAnsi="仿宋" w:eastAsia="仿宋" w:cs="仿宋"/>
                <w:sz w:val="20"/>
              </w:rPr>
            </w:pPr>
          </w:p>
        </w:tc>
        <w:tc>
          <w:tcPr>
            <w:tcW w:w="847" w:type="dxa"/>
          </w:tcPr>
          <w:p>
            <w:pPr>
              <w:pStyle w:val="22"/>
              <w:widowControl w:val="0"/>
              <w:rPr>
                <w:rFonts w:hint="eastAsia" w:ascii="仿宋" w:hAnsi="仿宋" w:eastAsia="仿宋" w:cs="仿宋"/>
                <w:sz w:val="20"/>
              </w:rPr>
            </w:pPr>
          </w:p>
        </w:tc>
        <w:tc>
          <w:tcPr>
            <w:tcW w:w="1913" w:type="dxa"/>
          </w:tcPr>
          <w:p>
            <w:pPr>
              <w:pStyle w:val="22"/>
              <w:widowControl w:val="0"/>
              <w:rPr>
                <w:rFonts w:hint="eastAsia" w:ascii="仿宋" w:hAnsi="仿宋" w:eastAsia="仿宋" w:cs="仿宋"/>
                <w:sz w:val="20"/>
              </w:rPr>
            </w:pPr>
          </w:p>
        </w:tc>
        <w:tc>
          <w:tcPr>
            <w:tcW w:w="2635" w:type="dxa"/>
            <w:gridSpan w:val="2"/>
          </w:tcPr>
          <w:p>
            <w:pPr>
              <w:pStyle w:val="22"/>
              <w:widowControl w:val="0"/>
              <w:rPr>
                <w:rFonts w:hint="eastAsia" w:ascii="仿宋" w:hAnsi="仿宋" w:eastAsia="仿宋" w:cs="仿宋"/>
                <w:sz w:val="20"/>
              </w:rPr>
            </w:pPr>
          </w:p>
        </w:tc>
        <w:tc>
          <w:tcPr>
            <w:tcW w:w="1194" w:type="dxa"/>
          </w:tcPr>
          <w:p>
            <w:pPr>
              <w:pStyle w:val="22"/>
              <w:widowControl w:val="0"/>
              <w:rPr>
                <w:rFonts w:hint="eastAsia" w:ascii="仿宋" w:hAnsi="仿宋" w:eastAsia="仿宋" w:cs="仿宋"/>
                <w:sz w:val="20"/>
              </w:rPr>
            </w:pPr>
          </w:p>
        </w:tc>
        <w:tc>
          <w:tcPr>
            <w:tcW w:w="3221" w:type="dxa"/>
            <w:gridSpan w:val="3"/>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公开04表</w:t>
            </w:r>
          </w:p>
        </w:tc>
      </w:tr>
      <w:tr>
        <w:tblPrEx>
          <w:tblCellMar>
            <w:top w:w="55" w:type="dxa"/>
            <w:left w:w="55" w:type="dxa"/>
            <w:bottom w:w="55" w:type="dxa"/>
            <w:right w:w="55" w:type="dxa"/>
          </w:tblCellMar>
        </w:tblPrEx>
        <w:trPr>
          <w:trHeight w:val="319" w:hRule="atLeast"/>
        </w:trPr>
        <w:tc>
          <w:tcPr>
            <w:tcW w:w="12151" w:type="dxa"/>
            <w:gridSpan w:val="7"/>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sz w:val="22"/>
                <w:szCs w:val="22"/>
              </w:rPr>
              <w:t>常州市房屋征收与补偿管理中心</w:t>
            </w:r>
          </w:p>
        </w:tc>
        <w:tc>
          <w:tcPr>
            <w:tcW w:w="3221" w:type="dxa"/>
            <w:gridSpan w:val="3"/>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金额单位：万元</w:t>
            </w:r>
          </w:p>
        </w:tc>
      </w:tr>
      <w:tr>
        <w:tblPrEx>
          <w:tblCellMar>
            <w:top w:w="55" w:type="dxa"/>
            <w:left w:w="55" w:type="dxa"/>
            <w:bottom w:w="55" w:type="dxa"/>
            <w:right w:w="55" w:type="dxa"/>
          </w:tblCellMar>
        </w:tblPrEx>
        <w:trPr>
          <w:trHeight w:val="162" w:hRule="atLeast"/>
        </w:trPr>
        <w:tc>
          <w:tcPr>
            <w:tcW w:w="5562"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收</w:t>
            </w:r>
            <w:r>
              <w:rPr>
                <w:rFonts w:hint="eastAsia" w:ascii="仿宋" w:hAnsi="仿宋" w:eastAsia="仿宋" w:cs="仿宋"/>
                <w:sz w:val="22"/>
                <w:szCs w:val="22"/>
              </w:rPr>
              <w:tab/>
            </w:r>
            <w:r>
              <w:rPr>
                <w:rFonts w:hint="eastAsia" w:ascii="仿宋" w:hAnsi="仿宋" w:eastAsia="仿宋" w:cs="仿宋"/>
                <w:sz w:val="22"/>
                <w:szCs w:val="22"/>
              </w:rPr>
              <w:t>入</w:t>
            </w:r>
          </w:p>
        </w:tc>
        <w:tc>
          <w:tcPr>
            <w:tcW w:w="9810" w:type="dxa"/>
            <w:gridSpan w:val="8"/>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支</w:t>
            </w:r>
            <w:r>
              <w:rPr>
                <w:rFonts w:hint="eastAsia" w:ascii="仿宋" w:hAnsi="仿宋" w:eastAsia="仿宋" w:cs="仿宋"/>
                <w:sz w:val="22"/>
                <w:szCs w:val="22"/>
              </w:rPr>
              <w:tab/>
            </w:r>
            <w:r>
              <w:rPr>
                <w:rFonts w:hint="eastAsia" w:ascii="仿宋" w:hAnsi="仿宋" w:eastAsia="仿宋" w:cs="仿宋"/>
                <w:sz w:val="22"/>
                <w:szCs w:val="22"/>
              </w:rPr>
              <w:t>出</w:t>
            </w:r>
          </w:p>
        </w:tc>
      </w:tr>
      <w:tr>
        <w:tblPrEx>
          <w:tblCellMar>
            <w:top w:w="55" w:type="dxa"/>
            <w:left w:w="55" w:type="dxa"/>
            <w:bottom w:w="55" w:type="dxa"/>
            <w:right w:w="55" w:type="dxa"/>
          </w:tblCellMar>
        </w:tblPrEx>
        <w:trPr>
          <w:trHeight w:val="199" w:hRule="atLeast"/>
        </w:trPr>
        <w:tc>
          <w:tcPr>
            <w:tcW w:w="3725"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1837"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决算数</w:t>
            </w:r>
          </w:p>
        </w:tc>
        <w:tc>
          <w:tcPr>
            <w:tcW w:w="3667" w:type="dxa"/>
            <w:gridSpan w:val="3"/>
            <w:vMerge w:val="restart"/>
            <w:tcBorders>
              <w:left w:val="single" w:color="000000" w:sz="4" w:space="0"/>
              <w:bottom w:val="single" w:color="000000" w:sz="4" w:space="0"/>
            </w:tcBorders>
            <w:vAlign w:val="center"/>
          </w:tcPr>
          <w:p>
            <w:pPr>
              <w:widowControl w:val="0"/>
              <w:jc w:val="center"/>
              <w:rPr>
                <w:rFonts w:hint="eastAsia" w:ascii="仿宋" w:hAnsi="仿宋" w:eastAsia="仿宋" w:cs="仿宋"/>
                <w:sz w:val="22"/>
                <w:szCs w:val="22"/>
              </w:rPr>
            </w:pPr>
            <w:r>
              <w:rPr>
                <w:rFonts w:hint="eastAsia" w:ascii="仿宋" w:hAnsi="仿宋" w:eastAsia="仿宋" w:cs="仿宋"/>
                <w:sz w:val="22"/>
                <w:szCs w:val="22"/>
              </w:rPr>
              <w:t>按功能分类</w:t>
            </w:r>
          </w:p>
        </w:tc>
        <w:tc>
          <w:tcPr>
            <w:tcW w:w="6143" w:type="dxa"/>
            <w:gridSpan w:val="5"/>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sz w:val="22"/>
                <w:szCs w:val="22"/>
              </w:rPr>
            </w:pPr>
            <w:r>
              <w:rPr>
                <w:rFonts w:hint="eastAsia" w:ascii="仿宋" w:hAnsi="仿宋" w:eastAsia="仿宋" w:cs="仿宋"/>
                <w:sz w:val="22"/>
                <w:szCs w:val="22"/>
              </w:rPr>
              <w:t>决算数</w:t>
            </w:r>
          </w:p>
        </w:tc>
      </w:tr>
      <w:tr>
        <w:tblPrEx>
          <w:tblCellMar>
            <w:top w:w="55" w:type="dxa"/>
            <w:left w:w="55" w:type="dxa"/>
            <w:bottom w:w="55" w:type="dxa"/>
            <w:right w:w="55" w:type="dxa"/>
          </w:tblCellMar>
        </w:tblPrEx>
        <w:trPr>
          <w:trHeight w:val="578" w:hRule="atLeast"/>
        </w:trPr>
        <w:tc>
          <w:tcPr>
            <w:tcW w:w="3725" w:type="dxa"/>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1837" w:type="dxa"/>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3667" w:type="dxa"/>
            <w:gridSpan w:val="3"/>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172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小计</w:t>
            </w:r>
          </w:p>
        </w:tc>
        <w:tc>
          <w:tcPr>
            <w:tcW w:w="1415"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一般公共预算财政拨款</w:t>
            </w:r>
          </w:p>
        </w:tc>
        <w:tc>
          <w:tcPr>
            <w:tcW w:w="150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政府性基金预算财政拨款</w:t>
            </w:r>
          </w:p>
        </w:tc>
        <w:tc>
          <w:tcPr>
            <w:tcW w:w="1500"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国有资本经营预算财政拨款</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九、卫生健康支出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十、节能环保支出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十一、城乡社区支出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483.68</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483.68</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十二、农林水支出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十三、交通运输支出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十四、资源勘探工业信息等支出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十五、商业服务业等支出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十六、金融支出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十七、援助其他地区支出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十八、自然资源海洋气象等支出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十九、住房保障支出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二十、粮油物资储备支出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二十一、国有资本经营预算支出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二十二、灾害防治及应急管理支出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二十三、其他支出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二十四、债务还本支出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二十五、债务付息支出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二十六、抗疫特别国债安排的支出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359" w:hRule="exact"/>
        </w:trPr>
        <w:tc>
          <w:tcPr>
            <w:tcW w:w="3725" w:type="dxa"/>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b/>
                <w:bCs/>
                <w:sz w:val="22"/>
                <w:szCs w:val="22"/>
              </w:rPr>
              <w:t>本年收入合计</w:t>
            </w:r>
          </w:p>
        </w:tc>
        <w:tc>
          <w:tcPr>
            <w:tcW w:w="1837"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3667" w:type="dxa"/>
            <w:gridSpan w:val="3"/>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本年支出合计</w:t>
            </w:r>
          </w:p>
        </w:tc>
        <w:tc>
          <w:tcPr>
            <w:tcW w:w="1728"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1415" w:type="dxa"/>
            <w:gridSpan w:val="2"/>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1500"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年初财政拨款结转和结余</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年末财政拨款结转和结余</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322" w:hRule="exact"/>
        </w:trPr>
        <w:tc>
          <w:tcPr>
            <w:tcW w:w="3725"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总计</w:t>
            </w:r>
          </w:p>
        </w:tc>
        <w:tc>
          <w:tcPr>
            <w:tcW w:w="1837"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3667" w:type="dxa"/>
            <w:gridSpan w:val="3"/>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总计</w:t>
            </w:r>
          </w:p>
        </w:tc>
        <w:tc>
          <w:tcPr>
            <w:tcW w:w="1728"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1415" w:type="dxa"/>
            <w:gridSpan w:val="2"/>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150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ind w:left="0" w:leftChars="0" w:firstLine="0" w:firstLineChars="0"/>
        <w:jc w:val="both"/>
        <w:rPr>
          <w:rFonts w:hint="eastAsia" w:ascii="仿宋" w:hAnsi="仿宋" w:eastAsia="仿宋" w:cs="仿宋"/>
          <w:b w:val="0"/>
          <w:bCs w:val="0"/>
        </w:rPr>
      </w:pPr>
      <w:r>
        <w:rPr>
          <w:rFonts w:hint="eastAsia" w:ascii="仿宋" w:hAnsi="仿宋" w:eastAsia="仿宋" w:cs="仿宋"/>
          <w:b w:val="0"/>
          <w:bCs w:val="0"/>
          <w:lang w:val="en-US" w:eastAsia="zh-CN"/>
        </w:rPr>
        <w:t>注：</w:t>
      </w:r>
      <w:r>
        <w:rPr>
          <w:rFonts w:hint="eastAsia" w:ascii="仿宋" w:hAnsi="仿宋" w:eastAsia="仿宋" w:cs="仿宋"/>
          <w:b w:val="0"/>
          <w:bCs w:val="0"/>
        </w:rPr>
        <w:t>本表反映本年度一般公共预算财政拨款、政府性基金预算财政拨款和国有资本经营预算财政拨款的总收支和年末结转结余情况。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rPr>
        <w:t>本表金额单位转换时可能存在尾数误差。</w:t>
      </w:r>
      <w:r>
        <w:rPr>
          <w:rFonts w:hint="eastAsia" w:ascii="仿宋" w:hAnsi="仿宋" w:eastAsia="仿宋" w:cs="仿宋"/>
          <w:b w:val="0"/>
          <w:bCs w:val="0"/>
          <w:sz w:val="22"/>
          <w:szCs w:val="22"/>
          <w:lang w:val="en-US" w:eastAsia="zh-CN"/>
        </w:rPr>
        <w:t/>
      </w:r>
    </w:p>
    <w:p>
      <w:pPr>
        <w:jc w:val="both"/>
        <w:rPr>
          <w:rFonts w:hint="eastAsia" w:ascii="仿宋" w:hAnsi="仿宋" w:eastAsia="仿宋" w:cs="仿宋"/>
          <w:b w:val="0"/>
          <w:bCs w:val="0"/>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17" w:type="dxa"/>
        <w:tblInd w:w="44" w:type="dxa"/>
        <w:tblLayout w:type="fixed"/>
        <w:tblCellMar>
          <w:top w:w="55" w:type="dxa"/>
          <w:left w:w="55" w:type="dxa"/>
          <w:bottom w:w="55" w:type="dxa"/>
          <w:right w:w="55" w:type="dxa"/>
        </w:tblCellMar>
      </w:tblPr>
      <w:tblGrid>
        <w:gridCol w:w="1278"/>
        <w:gridCol w:w="5022"/>
        <w:gridCol w:w="3184"/>
        <w:gridCol w:w="2778"/>
        <w:gridCol w:w="3155"/>
      </w:tblGrid>
      <w:tr>
        <w:tblPrEx>
          <w:tblCellMar>
            <w:top w:w="55" w:type="dxa"/>
            <w:left w:w="55" w:type="dxa"/>
            <w:bottom w:w="55" w:type="dxa"/>
            <w:right w:w="55" w:type="dxa"/>
          </w:tblCellMar>
        </w:tblPrEx>
        <w:trPr>
          <w:trHeight w:val="321" w:hRule="atLeast"/>
        </w:trPr>
        <w:tc>
          <w:tcPr>
            <w:tcW w:w="15417"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财政拨款支出决算表（功能科目）</w:t>
            </w:r>
          </w:p>
        </w:tc>
      </w:tr>
      <w:tr>
        <w:tblPrEx>
          <w:tblCellMar>
            <w:top w:w="55" w:type="dxa"/>
            <w:left w:w="55" w:type="dxa"/>
            <w:bottom w:w="55" w:type="dxa"/>
            <w:right w:w="55" w:type="dxa"/>
          </w:tblCellMar>
        </w:tblPrEx>
        <w:trPr>
          <w:trHeight w:val="321" w:hRule="atLeast"/>
        </w:trPr>
        <w:tc>
          <w:tcPr>
            <w:tcW w:w="6300" w:type="dxa"/>
            <w:gridSpan w:val="2"/>
          </w:tcPr>
          <w:p>
            <w:pPr>
              <w:pStyle w:val="22"/>
              <w:widowControl w:val="0"/>
              <w:rPr>
                <w:rFonts w:hint="eastAsia" w:ascii="仿宋" w:hAnsi="仿宋" w:eastAsia="仿宋" w:cs="仿宋"/>
                <w:sz w:val="20"/>
              </w:rPr>
            </w:pPr>
          </w:p>
        </w:tc>
        <w:tc>
          <w:tcPr>
            <w:tcW w:w="3184" w:type="dxa"/>
          </w:tcPr>
          <w:p>
            <w:pPr>
              <w:pStyle w:val="22"/>
              <w:widowControl w:val="0"/>
              <w:rPr>
                <w:rFonts w:hint="eastAsia" w:ascii="仿宋" w:hAnsi="仿宋" w:eastAsia="仿宋" w:cs="仿宋"/>
                <w:sz w:val="27"/>
              </w:rPr>
            </w:pPr>
          </w:p>
        </w:tc>
        <w:tc>
          <w:tcPr>
            <w:tcW w:w="5933" w:type="dxa"/>
            <w:gridSpan w:val="2"/>
            <w:vAlign w:val="center"/>
          </w:tcPr>
          <w:p>
            <w:pPr>
              <w:pStyle w:val="22"/>
              <w:widowControl w:val="0"/>
              <w:jc w:val="right"/>
              <w:rPr>
                <w:rFonts w:hint="eastAsia" w:ascii="仿宋" w:hAnsi="仿宋" w:eastAsia="仿宋" w:cs="仿宋"/>
                <w:sz w:val="27"/>
              </w:rPr>
            </w:pPr>
            <w:r>
              <w:rPr>
                <w:rFonts w:hint="eastAsia" w:ascii="仿宋" w:hAnsi="仿宋" w:eastAsia="仿宋" w:cs="仿宋"/>
              </w:rPr>
              <w:t>公开05表</w:t>
            </w:r>
          </w:p>
        </w:tc>
      </w:tr>
      <w:tr>
        <w:tblPrEx>
          <w:tblCellMar>
            <w:top w:w="55" w:type="dxa"/>
            <w:left w:w="55" w:type="dxa"/>
            <w:bottom w:w="55" w:type="dxa"/>
            <w:right w:w="55" w:type="dxa"/>
          </w:tblCellMar>
        </w:tblPrEx>
        <w:trPr>
          <w:trHeight w:val="288" w:hRule="atLeast"/>
        </w:trPr>
        <w:tc>
          <w:tcPr>
            <w:tcW w:w="6300" w:type="dxa"/>
            <w:gridSpan w:val="2"/>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3184" w:type="dxa"/>
          </w:tcPr>
          <w:p>
            <w:pPr>
              <w:pStyle w:val="22"/>
              <w:widowControl w:val="0"/>
              <w:rPr>
                <w:rFonts w:hint="eastAsia" w:ascii="仿宋" w:hAnsi="仿宋" w:eastAsia="仿宋" w:cs="仿宋"/>
                <w:sz w:val="27"/>
              </w:rPr>
            </w:pPr>
          </w:p>
        </w:tc>
        <w:tc>
          <w:tcPr>
            <w:tcW w:w="2778" w:type="dxa"/>
            <w:vAlign w:val="center"/>
          </w:tcPr>
          <w:p>
            <w:pPr>
              <w:pStyle w:val="22"/>
              <w:widowControl w:val="0"/>
              <w:jc w:val="right"/>
              <w:rPr>
                <w:rFonts w:hint="eastAsia" w:ascii="仿宋" w:hAnsi="仿宋" w:eastAsia="仿宋" w:cs="仿宋"/>
                <w:sz w:val="27"/>
              </w:rPr>
            </w:pPr>
          </w:p>
        </w:tc>
        <w:tc>
          <w:tcPr>
            <w:tcW w:w="3155"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319" w:hRule="atLeast"/>
        </w:trPr>
        <w:tc>
          <w:tcPr>
            <w:tcW w:w="6300" w:type="dxa"/>
            <w:gridSpan w:val="2"/>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3184"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本年支出合计</w:t>
            </w:r>
          </w:p>
        </w:tc>
        <w:tc>
          <w:tcPr>
            <w:tcW w:w="2778"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3155" w:type="dxa"/>
            <w:vMerge w:val="restart"/>
            <w:tcBorders>
              <w:top w:val="single" w:color="000000" w:sz="6" w:space="0"/>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341" w:hRule="atLeast"/>
        </w:trPr>
        <w:tc>
          <w:tcPr>
            <w:tcW w:w="1278"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功能分类</w:t>
            </w:r>
          </w:p>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5022"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3184"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2778"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3155"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275" w:hRule="atLeast"/>
        </w:trPr>
        <w:tc>
          <w:tcPr>
            <w:tcW w:w="6300"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栏次</w:t>
            </w:r>
          </w:p>
        </w:tc>
        <w:tc>
          <w:tcPr>
            <w:tcW w:w="3184"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1</w:t>
            </w:r>
          </w:p>
        </w:tc>
        <w:tc>
          <w:tcPr>
            <w:tcW w:w="2778"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2</w:t>
            </w:r>
          </w:p>
        </w:tc>
        <w:tc>
          <w:tcPr>
            <w:tcW w:w="3155" w:type="dxa"/>
            <w:tcBorders>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3</w:t>
            </w:r>
          </w:p>
        </w:tc>
      </w:tr>
      <w:tr>
        <w:tblPrEx>
          <w:tblCellMar>
            <w:top w:w="55" w:type="dxa"/>
            <w:left w:w="55" w:type="dxa"/>
            <w:bottom w:w="55" w:type="dxa"/>
            <w:right w:w="55" w:type="dxa"/>
          </w:tblCellMar>
        </w:tblPrEx>
        <w:trPr>
          <w:trHeight w:val="374" w:hRule="exact"/>
        </w:trPr>
        <w:tc>
          <w:tcPr>
            <w:tcW w:w="6300"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3184"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607.00</w:t>
            </w:r>
          </w:p>
        </w:tc>
        <w:tc>
          <w:tcPr>
            <w:tcW w:w="2778"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rPr>
              <w:t>488.61</w:t>
            </w:r>
          </w:p>
        </w:tc>
        <w:tc>
          <w:tcPr>
            <w:tcW w:w="3155"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118.39</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行政事业单位养老支出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2080501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行政单位离退休</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0.57</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21011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行政事业单位医疗</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2101103</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公务员医疗补助</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4.61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城乡社区支出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483.68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365.29</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118.39</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21201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城乡社区管理事务</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483.68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365.29</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118.39</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2120101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行政运行</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365.29</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365.29</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2120106</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工程建设管理</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118.39</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118.39</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住房改革支出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118.14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住房公积金</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28.34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28.34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提租补贴</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65.84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65.84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2210203</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购房补贴</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23.96</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23.96</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tabs>
          <w:tab w:val="left" w:pos="0"/>
        </w:tabs>
        <w:suppressAutoHyphens/>
        <w:bidi w:val="0"/>
        <w:spacing w:before="0" w:after="0"/>
        <w:ind w:left="0" w:leftChars="0" w:right="0" w:firstLine="0" w:firstLineChars="0"/>
        <w:jc w:val="both"/>
        <w:rPr>
          <w:rFonts w:hint="eastAsia" w:ascii="仿宋" w:hAnsi="仿宋" w:eastAsia="仿宋" w:cs="仿宋"/>
          <w:b w:val="0"/>
          <w:bCs w:val="0"/>
        </w:rPr>
      </w:pPr>
      <w:r>
        <w:rPr>
          <w:rFonts w:hint="eastAsia" w:ascii="仿宋" w:hAnsi="仿宋" w:eastAsia="仿宋" w:cs="仿宋"/>
          <w:b w:val="0"/>
          <w:bCs w:val="0"/>
        </w:rPr>
        <w:t>注：本表反映本年度一般公共预算财政拨款、政府性基金预算财政拨款和国有资本经营预算财政拨款支出情况。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val="0"/>
          <w:bCs w:val="0"/>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515" w:type="dxa"/>
        <w:tblInd w:w="38" w:type="dxa"/>
        <w:tblLayout w:type="fixed"/>
        <w:tblCellMar>
          <w:top w:w="55" w:type="dxa"/>
          <w:left w:w="55" w:type="dxa"/>
          <w:bottom w:w="55" w:type="dxa"/>
          <w:right w:w="55" w:type="dxa"/>
        </w:tblCellMar>
      </w:tblPr>
      <w:tblGrid>
        <w:gridCol w:w="990"/>
        <w:gridCol w:w="3542"/>
        <w:gridCol w:w="2047"/>
        <w:gridCol w:w="2040"/>
        <w:gridCol w:w="1896"/>
      </w:tblGrid>
      <w:tr>
        <w:tblPrEx>
          <w:tblCellMar>
            <w:top w:w="55" w:type="dxa"/>
            <w:left w:w="55" w:type="dxa"/>
            <w:bottom w:w="55" w:type="dxa"/>
            <w:right w:w="55" w:type="dxa"/>
          </w:tblCellMar>
        </w:tblPrEx>
        <w:trPr>
          <w:trHeight w:val="319" w:hRule="atLeast"/>
        </w:trPr>
        <w:tc>
          <w:tcPr>
            <w:tcW w:w="10515"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财政拨款基本支出决算表（经济科目）</w:t>
            </w:r>
          </w:p>
        </w:tc>
      </w:tr>
      <w:tr>
        <w:tblPrEx>
          <w:tblCellMar>
            <w:top w:w="55" w:type="dxa"/>
            <w:left w:w="55" w:type="dxa"/>
            <w:bottom w:w="55" w:type="dxa"/>
            <w:right w:w="55" w:type="dxa"/>
          </w:tblCellMar>
        </w:tblPrEx>
        <w:trPr>
          <w:trHeight w:val="319" w:hRule="atLeast"/>
        </w:trPr>
        <w:tc>
          <w:tcPr>
            <w:tcW w:w="4532" w:type="dxa"/>
            <w:gridSpan w:val="2"/>
          </w:tcPr>
          <w:p>
            <w:pPr>
              <w:pStyle w:val="22"/>
              <w:widowControl w:val="0"/>
              <w:rPr>
                <w:rFonts w:hint="eastAsia" w:ascii="仿宋" w:hAnsi="仿宋" w:eastAsia="仿宋" w:cs="仿宋"/>
                <w:sz w:val="20"/>
              </w:rPr>
            </w:pPr>
          </w:p>
        </w:tc>
        <w:tc>
          <w:tcPr>
            <w:tcW w:w="2047" w:type="dxa"/>
          </w:tcPr>
          <w:p>
            <w:pPr>
              <w:pStyle w:val="22"/>
              <w:widowControl w:val="0"/>
              <w:rPr>
                <w:rFonts w:hint="eastAsia" w:ascii="仿宋" w:hAnsi="仿宋" w:eastAsia="仿宋" w:cs="仿宋"/>
                <w:sz w:val="20"/>
              </w:rPr>
            </w:pPr>
          </w:p>
        </w:tc>
        <w:tc>
          <w:tcPr>
            <w:tcW w:w="2040" w:type="dxa"/>
          </w:tcPr>
          <w:p>
            <w:pPr>
              <w:pStyle w:val="22"/>
              <w:widowControl w:val="0"/>
              <w:rPr>
                <w:rFonts w:hint="eastAsia" w:ascii="仿宋" w:hAnsi="仿宋" w:eastAsia="仿宋" w:cs="仿宋"/>
                <w:sz w:val="20"/>
              </w:rPr>
            </w:pPr>
          </w:p>
        </w:tc>
        <w:tc>
          <w:tcPr>
            <w:tcW w:w="1896"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公开06表</w:t>
            </w:r>
          </w:p>
        </w:tc>
      </w:tr>
      <w:tr>
        <w:tblPrEx>
          <w:tblCellMar>
            <w:top w:w="55" w:type="dxa"/>
            <w:left w:w="55" w:type="dxa"/>
            <w:bottom w:w="55" w:type="dxa"/>
            <w:right w:w="55" w:type="dxa"/>
          </w:tblCellMar>
        </w:tblPrEx>
        <w:trPr>
          <w:trHeight w:val="319" w:hRule="atLeast"/>
        </w:trPr>
        <w:tc>
          <w:tcPr>
            <w:tcW w:w="8619"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sz w:val="22"/>
                <w:szCs w:val="22"/>
              </w:rPr>
              <w:t>常州市房屋征收与补偿管理中心</w:t>
            </w:r>
          </w:p>
        </w:tc>
        <w:tc>
          <w:tcPr>
            <w:tcW w:w="1896"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43" w:hRule="atLeast"/>
        </w:trPr>
        <w:tc>
          <w:tcPr>
            <w:tcW w:w="4532"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5983"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财政拨款基本支出</w:t>
            </w:r>
          </w:p>
        </w:tc>
      </w:tr>
      <w:tr>
        <w:tblPrEx>
          <w:tblCellMar>
            <w:top w:w="55" w:type="dxa"/>
            <w:left w:w="55" w:type="dxa"/>
            <w:bottom w:w="55" w:type="dxa"/>
            <w:right w:w="55" w:type="dxa"/>
          </w:tblCellMar>
        </w:tblPrEx>
        <w:trPr>
          <w:trHeight w:val="483" w:hRule="atLeast"/>
        </w:trPr>
        <w:tc>
          <w:tcPr>
            <w:tcW w:w="99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经济分类科目编码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896"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409" w:hRule="exact"/>
        </w:trPr>
        <w:tc>
          <w:tcPr>
            <w:tcW w:w="4532"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ascii="仿宋" w:hAnsi="仿宋" w:cs="仿宋" w:eastAsia="仿宋"/>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488.61</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458.36</w:t>
            </w:r>
          </w:p>
        </w:tc>
        <w:tc>
          <w:tcPr>
            <w:tcW w:w="1896"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422.21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422.21</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53.95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53.95</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142.81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142.81</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108.64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108.64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伙食补助费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38.44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38.44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23.69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23.69</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7.78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7.78</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4.70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4.70</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28.86</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13.33</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6.64</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印刷费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咨询费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手续费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电费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邮电费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取暖费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物业管理费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差旅费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7.40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7.40</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因公出国（境）费用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租赁费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0.98</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0.24</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专用材料费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被装购置费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专用燃料费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劳务费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5.13</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福利费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9.18</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30240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税金及附加费用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36.15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36.15</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离休费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33.93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33.93</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退职（役）费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抚恤金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1.79</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救济费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助学金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奖励金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个人农业生产补贴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代缴社会保险费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债务利息及费用支出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国内债务付息</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国外债务付息</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国内债务发行费用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国外债务发行费用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房屋建筑物购建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办公设备购置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专用设备购置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基础设施建设</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大型修缮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信息网络及软件购置更新</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物资储备</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土地补偿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安置补助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地上附着物和青苗补偿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拆迁补偿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其他交通工具购置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文物和陈列品购置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无形资产购置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对企业补助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资本金注入</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政府投资基金股权投资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费用补贴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利息补贴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其他对企业补助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其他支出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国家赔偿费用支出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对民间非营利组织和群众性自治组织补贴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经常性赠与</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资本性赠与</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tabs>
          <w:tab w:val="left" w:pos="660"/>
          <w:tab w:val="left" w:pos="10780"/>
        </w:tabs>
        <w:suppressAutoHyphens/>
        <w:bidi w:val="0"/>
        <w:spacing w:before="25" w:after="0" w:line="290" w:lineRule="auto"/>
        <w:ind w:left="0" w:leftChars="0" w:right="0"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注：本表反映本年度一般公共预算财政拨款、政府性基金预算财政拨款和国有资本经营预算财政拨款基本支出情况。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0" w:after="0" w:line="255" w:lineRule="exact"/>
        <w:jc w:val="both"/>
        <w:rPr>
          <w:rFonts w:hint="eastAsia" w:ascii="仿宋" w:hAnsi="仿宋" w:eastAsia="仿宋" w:cs="仿宋"/>
          <w:b w:val="0"/>
          <w:bCs w:val="0"/>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46" w:type="dxa"/>
        <w:tblInd w:w="78" w:type="dxa"/>
        <w:tblLayout w:type="fixed"/>
        <w:tblCellMar>
          <w:top w:w="55" w:type="dxa"/>
          <w:left w:w="55" w:type="dxa"/>
          <w:bottom w:w="55" w:type="dxa"/>
          <w:right w:w="55" w:type="dxa"/>
        </w:tblCellMar>
      </w:tblPr>
      <w:tblGrid>
        <w:gridCol w:w="1134"/>
        <w:gridCol w:w="4332"/>
        <w:gridCol w:w="1969"/>
        <w:gridCol w:w="1499"/>
        <w:gridCol w:w="1512"/>
      </w:tblGrid>
      <w:tr>
        <w:tblPrEx>
          <w:tblCellMar>
            <w:top w:w="55" w:type="dxa"/>
            <w:left w:w="55" w:type="dxa"/>
            <w:bottom w:w="55" w:type="dxa"/>
            <w:right w:w="55" w:type="dxa"/>
          </w:tblCellMar>
        </w:tblPrEx>
        <w:trPr>
          <w:trHeight w:val="560" w:hRule="atLeast"/>
        </w:trPr>
        <w:tc>
          <w:tcPr>
            <w:tcW w:w="10446"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一般公共预算支出决算表（功能科目）</w:t>
            </w:r>
          </w:p>
        </w:tc>
      </w:tr>
      <w:tr>
        <w:tblPrEx>
          <w:tblCellMar>
            <w:top w:w="55" w:type="dxa"/>
            <w:left w:w="55" w:type="dxa"/>
            <w:bottom w:w="55" w:type="dxa"/>
            <w:right w:w="55" w:type="dxa"/>
          </w:tblCellMar>
        </w:tblPrEx>
        <w:trPr>
          <w:trHeight w:val="147" w:hRule="atLeast"/>
        </w:trPr>
        <w:tc>
          <w:tcPr>
            <w:tcW w:w="5466" w:type="dxa"/>
            <w:gridSpan w:val="2"/>
          </w:tcPr>
          <w:p>
            <w:pPr>
              <w:pStyle w:val="22"/>
              <w:widowControl w:val="0"/>
              <w:rPr>
                <w:rFonts w:hint="eastAsia" w:ascii="仿宋" w:hAnsi="仿宋" w:eastAsia="仿宋" w:cs="仿宋"/>
                <w:sz w:val="20"/>
              </w:rPr>
            </w:pPr>
          </w:p>
        </w:tc>
        <w:tc>
          <w:tcPr>
            <w:tcW w:w="1969" w:type="dxa"/>
          </w:tcPr>
          <w:p>
            <w:pPr>
              <w:pStyle w:val="22"/>
              <w:widowControl w:val="0"/>
              <w:rPr>
                <w:rFonts w:hint="eastAsia" w:ascii="仿宋" w:hAnsi="仿宋" w:eastAsia="仿宋" w:cs="仿宋"/>
                <w:sz w:val="20"/>
              </w:rPr>
            </w:pPr>
          </w:p>
        </w:tc>
        <w:tc>
          <w:tcPr>
            <w:tcW w:w="1499" w:type="dxa"/>
          </w:tcPr>
          <w:p>
            <w:pPr>
              <w:pStyle w:val="22"/>
              <w:widowControl w:val="0"/>
              <w:rPr>
                <w:rFonts w:hint="eastAsia" w:ascii="仿宋" w:hAnsi="仿宋" w:eastAsia="仿宋" w:cs="仿宋"/>
                <w:sz w:val="20"/>
              </w:rPr>
            </w:pPr>
          </w:p>
        </w:tc>
        <w:tc>
          <w:tcPr>
            <w:tcW w:w="1512"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公开07表</w:t>
            </w:r>
          </w:p>
        </w:tc>
      </w:tr>
      <w:tr>
        <w:tblPrEx>
          <w:tblCellMar>
            <w:top w:w="55" w:type="dxa"/>
            <w:left w:w="55" w:type="dxa"/>
            <w:bottom w:w="55" w:type="dxa"/>
            <w:right w:w="55" w:type="dxa"/>
          </w:tblCellMar>
        </w:tblPrEx>
        <w:trPr>
          <w:trHeight w:val="303" w:hRule="atLeast"/>
        </w:trPr>
        <w:tc>
          <w:tcPr>
            <w:tcW w:w="7435" w:type="dxa"/>
            <w:gridSpan w:val="3"/>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3011" w:type="dxa"/>
            <w:gridSpan w:val="2"/>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58" w:hRule="atLeast"/>
        </w:trPr>
        <w:tc>
          <w:tcPr>
            <w:tcW w:w="5466" w:type="dxa"/>
            <w:gridSpan w:val="2"/>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1969"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1499"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1512" w:type="dxa"/>
            <w:vMerge w:val="restart"/>
            <w:tcBorders>
              <w:top w:val="single" w:color="000000" w:sz="6" w:space="0"/>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561" w:hRule="atLeast"/>
        </w:trPr>
        <w:tc>
          <w:tcPr>
            <w:tcW w:w="1134"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功能分类科目编码</w:t>
            </w:r>
          </w:p>
        </w:tc>
        <w:tc>
          <w:tcPr>
            <w:tcW w:w="4332"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1969" w:type="dxa"/>
            <w:vMerge w:val="continue"/>
            <w:tcBorders>
              <w:left w:val="single" w:color="000000" w:sz="6" w:space="0"/>
              <w:bottom w:val="single" w:color="000000" w:sz="6" w:space="0"/>
            </w:tcBorders>
          </w:tcPr>
          <w:p>
            <w:pPr>
              <w:widowControl w:val="0"/>
              <w:jc w:val="left"/>
              <w:rPr>
                <w:rFonts w:hint="eastAsia" w:ascii="仿宋" w:hAnsi="仿宋" w:eastAsia="仿宋" w:cs="仿宋"/>
                <w:sz w:val="2"/>
                <w:szCs w:val="2"/>
              </w:rPr>
            </w:pPr>
          </w:p>
        </w:tc>
        <w:tc>
          <w:tcPr>
            <w:tcW w:w="1499" w:type="dxa"/>
            <w:vMerge w:val="continue"/>
            <w:tcBorders>
              <w:left w:val="single" w:color="000000" w:sz="6" w:space="0"/>
              <w:bottom w:val="single" w:color="000000" w:sz="6" w:space="0"/>
            </w:tcBorders>
          </w:tcPr>
          <w:p>
            <w:pPr>
              <w:widowControl w:val="0"/>
              <w:jc w:val="left"/>
              <w:rPr>
                <w:rFonts w:hint="eastAsia" w:ascii="仿宋" w:hAnsi="仿宋" w:eastAsia="仿宋" w:cs="仿宋"/>
                <w:sz w:val="2"/>
                <w:szCs w:val="2"/>
              </w:rPr>
            </w:pPr>
          </w:p>
        </w:tc>
        <w:tc>
          <w:tcPr>
            <w:tcW w:w="1512"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trHeight w:val="152" w:hRule="atLeast"/>
        </w:trPr>
        <w:tc>
          <w:tcPr>
            <w:tcW w:w="5466"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1969"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1499"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1512" w:type="dxa"/>
            <w:tcBorders>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3</w:t>
            </w:r>
          </w:p>
        </w:tc>
      </w:tr>
      <w:tr>
        <w:tblPrEx>
          <w:tblCellMar>
            <w:top w:w="55" w:type="dxa"/>
            <w:left w:w="55" w:type="dxa"/>
            <w:bottom w:w="55" w:type="dxa"/>
            <w:right w:w="55" w:type="dxa"/>
          </w:tblCellMar>
        </w:tblPrEx>
        <w:trPr>
          <w:trHeight w:val="298" w:hRule="exact"/>
        </w:trPr>
        <w:tc>
          <w:tcPr>
            <w:tcW w:w="5466"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
            </w:r>
            <w:r>
              <w:rPr>
                <w:rFonts w:hint="eastAsia" w:ascii="仿宋" w:hAnsi="仿宋" w:eastAsia="仿宋" w:cs="仿宋"/>
              </w:rPr>
              <w:t>合计</w:t>
            </w:r>
          </w:p>
        </w:tc>
        <w:tc>
          <w:tcPr>
            <w:tcW w:w="1969" w:type="dxa"/>
            <w:tcBorders>
              <w:left w:val="single" w:color="000000" w:sz="6" w:space="0"/>
              <w:bottom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607.00</w:t>
            </w:r>
          </w:p>
        </w:tc>
        <w:tc>
          <w:tcPr>
            <w:tcW w:w="1499" w:type="dxa"/>
            <w:tcBorders>
              <w:left w:val="single" w:color="000000" w:sz="6" w:space="0"/>
              <w:bottom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488.61</w:t>
            </w:r>
          </w:p>
        </w:tc>
        <w:tc>
          <w:tcPr>
            <w:tcW w:w="1512" w:type="dxa"/>
            <w:tcBorders>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118.39</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社会保障和就业支出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20805</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行政事业单位养老支出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2080501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行政单位离退休</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0.57</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卫生健康支出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21011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行政事业单位医疗</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2101103</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城乡社区支出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483.68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365.29</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118.39</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21201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城乡社区管理事务</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483.68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365.29</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118.39</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2120101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行政运行</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365.29</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365.29</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2120106</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工程建设管理</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118.39</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118.39</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住房保障支出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118.14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118.14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住房改革支出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118.14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118.14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28.34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28.34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提租补贴</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65.84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65.84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2210203</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购房补贴</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23.96</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23.96</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tabs>
          <w:tab w:val="left" w:pos="0"/>
        </w:tabs>
        <w:spacing w:before="25" w:after="0"/>
        <w:ind w:left="0" w:leftChars="0" w:right="0"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25" w:after="0"/>
        <w:jc w:val="both"/>
        <w:rPr>
          <w:rFonts w:hint="eastAsia" w:ascii="仿宋" w:hAnsi="仿宋" w:eastAsia="仿宋" w:cs="仿宋"/>
          <w:b w:val="0"/>
          <w:bCs w:val="0"/>
          <w:sz w:val="22"/>
          <w:szCs w:val="22"/>
        </w:rPr>
        <w:sectPr>
          <w:footerReference r:id="rId14"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73" w:type="dxa"/>
        <w:tblInd w:w="65" w:type="dxa"/>
        <w:tblLayout w:type="fixed"/>
        <w:tblCellMar>
          <w:top w:w="55" w:type="dxa"/>
          <w:left w:w="55" w:type="dxa"/>
          <w:bottom w:w="55" w:type="dxa"/>
          <w:right w:w="55" w:type="dxa"/>
        </w:tblCellMar>
      </w:tblPr>
      <w:tblGrid>
        <w:gridCol w:w="1121"/>
        <w:gridCol w:w="3566"/>
        <w:gridCol w:w="2200"/>
        <w:gridCol w:w="1708"/>
        <w:gridCol w:w="1878"/>
      </w:tblGrid>
      <w:tr>
        <w:tblPrEx>
          <w:tblCellMar>
            <w:top w:w="55" w:type="dxa"/>
            <w:left w:w="55" w:type="dxa"/>
            <w:bottom w:w="55" w:type="dxa"/>
            <w:right w:w="55" w:type="dxa"/>
          </w:tblCellMar>
        </w:tblPrEx>
        <w:trPr>
          <w:trHeight w:val="319" w:hRule="atLeast"/>
        </w:trPr>
        <w:tc>
          <w:tcPr>
            <w:tcW w:w="10473" w:type="dxa"/>
            <w:gridSpan w:val="5"/>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一般公共预算基本支出决算表（经济科目）</w:t>
            </w:r>
          </w:p>
        </w:tc>
      </w:tr>
      <w:tr>
        <w:tblPrEx>
          <w:tblCellMar>
            <w:top w:w="55" w:type="dxa"/>
            <w:left w:w="55" w:type="dxa"/>
            <w:bottom w:w="55" w:type="dxa"/>
            <w:right w:w="55" w:type="dxa"/>
          </w:tblCellMar>
        </w:tblPrEx>
        <w:trPr>
          <w:trHeight w:val="199" w:hRule="atLeast"/>
        </w:trPr>
        <w:tc>
          <w:tcPr>
            <w:tcW w:w="8595" w:type="dxa"/>
            <w:gridSpan w:val="4"/>
            <w:vAlign w:val="center"/>
          </w:tcPr>
          <w:p>
            <w:pPr>
              <w:pStyle w:val="22"/>
              <w:widowControl w:val="0"/>
              <w:jc w:val="right"/>
              <w:rPr>
                <w:rFonts w:hint="eastAsia" w:ascii="仿宋" w:hAnsi="仿宋" w:eastAsia="仿宋" w:cs="仿宋"/>
                <w:color w:val="000000"/>
                <w:sz w:val="22"/>
                <w:szCs w:val="22"/>
                <w:lang w:eastAsia="zh-CN"/>
              </w:rPr>
            </w:pPr>
          </w:p>
        </w:tc>
        <w:tc>
          <w:tcPr>
            <w:tcW w:w="1878" w:type="dxa"/>
            <w:vAlign w:val="center"/>
          </w:tcPr>
          <w:p>
            <w:pPr>
              <w:pStyle w:val="22"/>
              <w:widowControl w:val="0"/>
              <w:jc w:val="right"/>
              <w:rPr>
                <w:rFonts w:hint="eastAsia" w:ascii="仿宋" w:hAnsi="仿宋" w:eastAsia="仿宋" w:cs="仿宋"/>
              </w:rPr>
            </w:pPr>
            <w:r>
              <w:rPr>
                <w:rFonts w:hint="eastAsia" w:ascii="仿宋" w:hAnsi="仿宋" w:eastAsia="仿宋" w:cs="仿宋"/>
              </w:rPr>
              <w:t>公开08表</w:t>
            </w:r>
          </w:p>
        </w:tc>
      </w:tr>
      <w:tr>
        <w:tblPrEx>
          <w:tblCellMar>
            <w:top w:w="55" w:type="dxa"/>
            <w:left w:w="55" w:type="dxa"/>
            <w:bottom w:w="55" w:type="dxa"/>
            <w:right w:w="55" w:type="dxa"/>
          </w:tblCellMar>
        </w:tblPrEx>
        <w:trPr>
          <w:trHeight w:val="320" w:hRule="atLeast"/>
        </w:trPr>
        <w:tc>
          <w:tcPr>
            <w:tcW w:w="8595"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1878"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80" w:hRule="atLeast"/>
        </w:trPr>
        <w:tc>
          <w:tcPr>
            <w:tcW w:w="4687"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5786"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一般公共预算财政拨款基本支出</w:t>
            </w:r>
          </w:p>
        </w:tc>
      </w:tr>
      <w:tr>
        <w:tblPrEx>
          <w:tblCellMar>
            <w:top w:w="55" w:type="dxa"/>
            <w:left w:w="55" w:type="dxa"/>
            <w:bottom w:w="55" w:type="dxa"/>
            <w:right w:w="55" w:type="dxa"/>
          </w:tblCellMar>
        </w:tblPrEx>
        <w:trPr>
          <w:trHeight w:val="474" w:hRule="atLeast"/>
        </w:trPr>
        <w:tc>
          <w:tcPr>
            <w:tcW w:w="112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经济分类科目编码</w:t>
            </w:r>
          </w:p>
        </w:tc>
        <w:tc>
          <w:tcPr>
            <w:tcW w:w="3566"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20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70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87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94" w:hRule="exact"/>
        </w:trPr>
        <w:tc>
          <w:tcPr>
            <w:tcW w:w="4687"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2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488.61</w:t>
            </w:r>
          </w:p>
        </w:tc>
        <w:tc>
          <w:tcPr>
            <w:tcW w:w="170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458.36</w:t>
            </w:r>
          </w:p>
        </w:tc>
        <w:tc>
          <w:tcPr>
            <w:tcW w:w="187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工资福利支出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422.21</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422.21</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基本工资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53.95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53.95</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津贴补贴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142.81</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142.81</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108.64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108.64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伙食补助费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绩效工资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机关事业单位基本养老保险缴费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38.44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38.44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职业年金缴费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23.69</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23.69</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职工基本医疗保险缴费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7.78</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7.78</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4.70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4.70</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其他社会保障缴费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28.86</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28.86</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其他工资福利支出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13.33</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13.33</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商品和服务支出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30.25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6.64</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印刷费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咨询费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手续费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电费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邮电费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取暖费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物业管理费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差旅费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7.40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7.40</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因公出国（境）费用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维修（护）费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租赁费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会议费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0.98</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0.98</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培训费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0.24</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公务接待费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专用材料费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被装购置费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专用燃料费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劳务费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委托业务费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工会经费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5.13</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5.13</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福利费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公务用车运行维护费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9.18</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9.18</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30240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税金及附加费用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其他商品和服务支出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对个人和家庭的补助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36.15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36.15</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离休费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退休费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33.93</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33.93</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退职（役）费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抚恤金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生活补助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1.79</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1.79</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救济费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助学金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奖励金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个人农业生产补贴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代缴社会保险费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其他对个人和家庭的补助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债务利息及费用支出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国内债务付息</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国外债务付息</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国内债务发行费用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国外债务发行费用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资本性支出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房屋建筑物购建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办公设备购置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专用设备购置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基础设施建设</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大型修缮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信息网络及软件购置更新</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物资储备</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土地补偿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安置补助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地上附着物和青苗补偿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拆迁补偿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其他交通工具购置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文物和陈列品购置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无形资产购置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其他资本性支出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对企业补助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资本金注入</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政府投资基金股权投资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费用补贴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利息补贴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其他对企业补助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其他支出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国家赔偿费用支出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对民间非营利组织和群众性自治组织补贴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经常性赠与</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资本性赠与</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spacing w:before="25" w:after="0"/>
        <w:ind w:left="0" w:leftChars="0" w:right="-92" w:rightChars="-42"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注：本表反映本年度一般公共预算财政拨款基本支出情况。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25" w:after="0"/>
        <w:jc w:val="both"/>
        <w:rPr>
          <w:rFonts w:hint="eastAsia" w:ascii="仿宋" w:hAnsi="仿宋" w:eastAsia="仿宋" w:cs="仿宋"/>
          <w:b w:val="0"/>
          <w:bCs w:val="0"/>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486" w:type="dxa"/>
        <w:tblInd w:w="62" w:type="dxa"/>
        <w:tblLayout w:type="fixed"/>
        <w:tblCellMar>
          <w:top w:w="55" w:type="dxa"/>
          <w:left w:w="55" w:type="dxa"/>
          <w:bottom w:w="55" w:type="dxa"/>
          <w:right w:w="55" w:type="dxa"/>
        </w:tblCellMar>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tblPrEx>
          <w:tblCellMar>
            <w:top w:w="55" w:type="dxa"/>
            <w:left w:w="55" w:type="dxa"/>
            <w:bottom w:w="55" w:type="dxa"/>
            <w:right w:w="55" w:type="dxa"/>
          </w:tblCellMar>
        </w:tblPrEx>
        <w:trPr>
          <w:trHeight w:val="321" w:hRule="atLeast"/>
        </w:trPr>
        <w:tc>
          <w:tcPr>
            <w:tcW w:w="16486" w:type="dxa"/>
            <w:gridSpan w:val="16"/>
          </w:tcPr>
          <w:p>
            <w:pPr>
              <w:pStyle w:val="22"/>
              <w:widowControl w:val="0"/>
              <w:jc w:val="center"/>
              <w:rPr>
                <w:rFonts w:hint="eastAsia" w:ascii="仿宋" w:hAnsi="仿宋" w:eastAsia="仿宋" w:cs="仿宋"/>
                <w:b/>
                <w:bCs/>
                <w:sz w:val="44"/>
                <w:szCs w:val="44"/>
              </w:rPr>
            </w:pPr>
            <w:r>
              <w:rPr>
                <w:rFonts w:hint="eastAsia" w:cs="宋体"/>
                <w:b/>
                <w:bCs/>
                <w:color w:val="000000"/>
                <w:kern w:val="0"/>
                <w:sz w:val="36"/>
                <w:szCs w:val="36"/>
                <w:lang w:val="en-US" w:eastAsia="ar-SA" w:bidi="zh-CN"/>
              </w:rPr>
              <w:t>财政拨款</w:t>
            </w:r>
            <w:r>
              <w:rPr>
                <w:rFonts w:hint="eastAsia" w:ascii="宋体" w:hAnsi="宋体" w:eastAsia="宋体" w:cs="宋体"/>
                <w:b/>
                <w:bCs/>
                <w:color w:val="000000"/>
                <w:kern w:val="0"/>
                <w:sz w:val="36"/>
                <w:szCs w:val="36"/>
                <w:lang w:val="zh-CN" w:eastAsia="ar-SA" w:bidi="zh-CN"/>
              </w:rPr>
              <w:t>“三公”经费、会议费、培训费支出决算表</w:t>
            </w:r>
          </w:p>
        </w:tc>
      </w:tr>
      <w:tr>
        <w:tblPrEx>
          <w:tblCellMar>
            <w:top w:w="55" w:type="dxa"/>
            <w:left w:w="55" w:type="dxa"/>
            <w:bottom w:w="55" w:type="dxa"/>
            <w:right w:w="55" w:type="dxa"/>
          </w:tblCellMar>
        </w:tblPrEx>
        <w:trPr>
          <w:trHeight w:val="207" w:hRule="atLeast"/>
        </w:trPr>
        <w:tc>
          <w:tcPr>
            <w:tcW w:w="16486" w:type="dxa"/>
            <w:gridSpan w:val="16"/>
          </w:tcPr>
          <w:p>
            <w:pPr>
              <w:pStyle w:val="22"/>
              <w:widowControl w:val="0"/>
              <w:jc w:val="right"/>
              <w:rPr>
                <w:rFonts w:hint="eastAsia" w:ascii="仿宋" w:hAnsi="仿宋" w:eastAsia="仿宋" w:cs="仿宋"/>
                <w:sz w:val="20"/>
              </w:rPr>
            </w:pPr>
            <w:r>
              <w:rPr>
                <w:rFonts w:hint="eastAsia" w:ascii="仿宋" w:hAnsi="仿宋" w:eastAsia="仿宋" w:cs="仿宋"/>
              </w:rPr>
              <w:t>公开09表</w:t>
            </w:r>
          </w:p>
        </w:tc>
      </w:tr>
      <w:tr>
        <w:tblPrEx>
          <w:tblCellMar>
            <w:top w:w="55" w:type="dxa"/>
            <w:left w:w="55" w:type="dxa"/>
            <w:bottom w:w="55" w:type="dxa"/>
            <w:right w:w="55" w:type="dxa"/>
          </w:tblCellMar>
        </w:tblPrEx>
        <w:trPr>
          <w:trHeight w:val="103" w:hRule="atLeast"/>
        </w:trPr>
        <w:tc>
          <w:tcPr>
            <w:tcW w:w="8212" w:type="dxa"/>
            <w:gridSpan w:val="8"/>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8274" w:type="dxa"/>
            <w:gridSpan w:val="8"/>
            <w:tcBorders>
              <w:bottom w:val="single" w:color="auto" w:sz="4" w:space="0"/>
            </w:tcBorders>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71" w:hRule="atLeast"/>
        </w:trPr>
        <w:tc>
          <w:tcPr>
            <w:tcW w:w="8212" w:type="dxa"/>
            <w:gridSpan w:val="8"/>
            <w:tcBorders>
              <w:top w:val="single" w:color="auto" w:sz="4" w:space="0"/>
              <w:left w:val="single" w:color="auto" w:sz="4" w:space="0"/>
              <w:bottom w:val="single" w:color="auto" w:sz="4" w:space="0"/>
              <w:right w:val="single" w:color="auto" w:sz="4" w:space="0"/>
            </w:tcBorders>
          </w:tcPr>
          <w:p>
            <w:pPr>
              <w:pStyle w:val="22"/>
              <w:widowControl w:val="0"/>
              <w:jc w:val="center"/>
              <w:rPr>
                <w:rFonts w:hint="eastAsia" w:ascii="仿宋" w:hAnsi="仿宋" w:eastAsia="仿宋" w:cs="仿宋"/>
              </w:rPr>
            </w:pPr>
            <w:r>
              <w:rPr>
                <w:rFonts w:hint="eastAsia" w:ascii="仿宋" w:hAnsi="仿宋" w:eastAsia="仿宋" w:cs="仿宋"/>
                <w:lang w:val="en-US" w:eastAsia="zh-CN"/>
              </w:rPr>
              <w:t>预算数</w:t>
            </w:r>
          </w:p>
        </w:tc>
        <w:tc>
          <w:tcPr>
            <w:tcW w:w="8274" w:type="dxa"/>
            <w:gridSpan w:val="8"/>
            <w:tcBorders>
              <w:top w:val="single" w:color="auto" w:sz="4" w:space="0"/>
              <w:left w:val="single" w:color="auto" w:sz="4" w:space="0"/>
              <w:bottom w:val="single" w:color="auto" w:sz="4" w:space="0"/>
              <w:right w:val="single" w:color="auto" w:sz="4" w:space="0"/>
            </w:tcBorders>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决算数</w:t>
            </w:r>
          </w:p>
        </w:tc>
      </w:tr>
      <w:tr>
        <w:tblPrEx>
          <w:tblCellMar>
            <w:top w:w="55" w:type="dxa"/>
            <w:left w:w="55" w:type="dxa"/>
            <w:bottom w:w="55" w:type="dxa"/>
            <w:right w:w="55" w:type="dxa"/>
          </w:tblCellMar>
        </w:tblPrEx>
        <w:trPr>
          <w:trHeight w:val="179" w:hRule="atLeast"/>
        </w:trPr>
        <w:tc>
          <w:tcPr>
            <w:tcW w:w="6159" w:type="dxa"/>
            <w:gridSpan w:val="6"/>
            <w:tcBorders>
              <w:top w:val="single" w:color="auto"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w:t>
            </w:r>
          </w:p>
        </w:tc>
        <w:tc>
          <w:tcPr>
            <w:tcW w:w="1043" w:type="dxa"/>
            <w:vMerge w:val="restart"/>
            <w:tcBorders>
              <w:top w:val="single" w:color="auto"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会议费</w:t>
            </w:r>
          </w:p>
        </w:tc>
        <w:tc>
          <w:tcPr>
            <w:tcW w:w="1010"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培训费</w:t>
            </w:r>
          </w:p>
        </w:tc>
        <w:tc>
          <w:tcPr>
            <w:tcW w:w="6190" w:type="dxa"/>
            <w:gridSpan w:val="6"/>
            <w:tcBorders>
              <w:top w:val="single" w:color="auto"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w:t>
            </w:r>
          </w:p>
        </w:tc>
        <w:tc>
          <w:tcPr>
            <w:tcW w:w="1057"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会议费</w:t>
            </w:r>
          </w:p>
        </w:tc>
        <w:tc>
          <w:tcPr>
            <w:tcW w:w="1027"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培训费</w:t>
            </w:r>
          </w:p>
        </w:tc>
      </w:tr>
      <w:tr>
        <w:tblPrEx>
          <w:tblCellMar>
            <w:top w:w="55" w:type="dxa"/>
            <w:left w:w="55" w:type="dxa"/>
            <w:bottom w:w="55" w:type="dxa"/>
            <w:right w:w="55" w:type="dxa"/>
          </w:tblCellMar>
        </w:tblPrEx>
        <w:trPr>
          <w:trHeight w:val="297" w:hRule="atLeast"/>
        </w:trPr>
        <w:tc>
          <w:tcPr>
            <w:tcW w:w="1044"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1042"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3047" w:type="dxa"/>
            <w:gridSpan w:val="3"/>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公务用车购置及运行费</w:t>
            </w:r>
          </w:p>
        </w:tc>
        <w:tc>
          <w:tcPr>
            <w:tcW w:w="1026"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w:t>
            </w:r>
          </w:p>
          <w:p>
            <w:pPr>
              <w:pStyle w:val="22"/>
              <w:widowControl w:val="0"/>
              <w:jc w:val="center"/>
              <w:rPr>
                <w:rFonts w:hint="eastAsia" w:ascii="仿宋" w:hAnsi="仿宋" w:eastAsia="仿宋" w:cs="仿宋"/>
              </w:rPr>
            </w:pPr>
            <w:r>
              <w:rPr>
                <w:rFonts w:hint="eastAsia" w:ascii="仿宋" w:hAnsi="仿宋" w:eastAsia="仿宋" w:cs="仿宋"/>
              </w:rPr>
              <w:t>接待费</w:t>
            </w:r>
          </w:p>
        </w:tc>
        <w:tc>
          <w:tcPr>
            <w:tcW w:w="1043" w:type="dxa"/>
            <w:vMerge w:val="continue"/>
            <w:tcBorders>
              <w:left w:val="single" w:color="000000" w:sz="4" w:space="0"/>
              <w:bottom w:val="single" w:color="000000" w:sz="4" w:space="0"/>
            </w:tcBorders>
            <w:vAlign w:val="center"/>
          </w:tcPr>
          <w:p>
            <w:pPr>
              <w:widowControl w:val="0"/>
              <w:jc w:val="center"/>
              <w:rPr>
                <w:rFonts w:hint="eastAsia" w:ascii="仿宋" w:hAnsi="仿宋" w:eastAsia="仿宋" w:cs="仿宋"/>
                <w:sz w:val="20"/>
              </w:rPr>
            </w:pPr>
          </w:p>
        </w:tc>
        <w:tc>
          <w:tcPr>
            <w:tcW w:w="1010"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c>
          <w:tcPr>
            <w:tcW w:w="1058"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“三公”经费合计</w:t>
            </w:r>
          </w:p>
        </w:tc>
        <w:tc>
          <w:tcPr>
            <w:tcW w:w="1010"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因公出国（境）费</w:t>
            </w:r>
          </w:p>
        </w:tc>
        <w:tc>
          <w:tcPr>
            <w:tcW w:w="3079" w:type="dxa"/>
            <w:gridSpan w:val="3"/>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公务用车购置及运行费</w:t>
            </w:r>
          </w:p>
        </w:tc>
        <w:tc>
          <w:tcPr>
            <w:tcW w:w="1043"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w:t>
            </w:r>
          </w:p>
          <w:p>
            <w:pPr>
              <w:pStyle w:val="22"/>
              <w:widowControl w:val="0"/>
              <w:jc w:val="center"/>
              <w:rPr>
                <w:rFonts w:hint="eastAsia" w:ascii="仿宋" w:hAnsi="仿宋" w:eastAsia="仿宋" w:cs="仿宋"/>
                <w:sz w:val="20"/>
              </w:rPr>
            </w:pPr>
            <w:r>
              <w:rPr>
                <w:rFonts w:hint="eastAsia" w:ascii="仿宋" w:hAnsi="仿宋" w:eastAsia="仿宋" w:cs="仿宋"/>
              </w:rPr>
              <w:t>接待费</w:t>
            </w:r>
          </w:p>
        </w:tc>
        <w:tc>
          <w:tcPr>
            <w:tcW w:w="1057"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c>
          <w:tcPr>
            <w:tcW w:w="1027"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r>
      <w:tr>
        <w:tblPrEx>
          <w:tblCellMar>
            <w:top w:w="55" w:type="dxa"/>
            <w:left w:w="55" w:type="dxa"/>
            <w:bottom w:w="55" w:type="dxa"/>
            <w:right w:w="55" w:type="dxa"/>
          </w:tblCellMar>
        </w:tblPrEx>
        <w:trPr>
          <w:trHeight w:val="621" w:hRule="exact"/>
        </w:trPr>
        <w:tc>
          <w:tcPr>
            <w:tcW w:w="1044"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42"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2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ascii="仿宋" w:hAnsi="仿宋" w:cs="仿宋" w:eastAsia="仿宋"/>
              </w:rPr>
              <w:t>小计</w:t>
            </w:r>
          </w:p>
        </w:tc>
        <w:tc>
          <w:tcPr>
            <w:tcW w:w="1029"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99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公务用车运行费</w:t>
            </w:r>
          </w:p>
        </w:tc>
        <w:tc>
          <w:tcPr>
            <w:tcW w:w="1026"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43"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10"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sz w:val="2"/>
                <w:szCs w:val="2"/>
              </w:rPr>
            </w:pPr>
          </w:p>
        </w:tc>
        <w:tc>
          <w:tcPr>
            <w:tcW w:w="1058"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10"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94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
            </w:r>
            <w:r>
              <w:rPr>
                <w:rFonts w:ascii="仿宋" w:hAnsi="仿宋" w:cs="仿宋" w:eastAsia="仿宋"/>
              </w:rPr>
              <w:t>小计</w:t>
            </w:r>
          </w:p>
        </w:tc>
        <w:tc>
          <w:tcPr>
            <w:tcW w:w="1089"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公务用车购置费</w:t>
            </w:r>
          </w:p>
        </w:tc>
        <w:tc>
          <w:tcPr>
            <w:tcW w:w="1042"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公务用车运行费</w:t>
            </w:r>
          </w:p>
        </w:tc>
        <w:tc>
          <w:tcPr>
            <w:tcW w:w="1043"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57"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27"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cantSplit/>
          <w:trHeight w:val="380" w:hRule="atLeast"/>
        </w:trPr>
        <w:tc>
          <w:tcPr>
            <w:tcW w:w="104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0.45</w:t>
            </w:r>
          </w:p>
        </w:tc>
        <w:tc>
          <w:tcPr>
            <w:tcW w:w="1042"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99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6"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0.45</w:t>
            </w:r>
          </w:p>
        </w:tc>
        <w:tc>
          <w:tcPr>
            <w:tcW w:w="104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1.64</w:t>
            </w:r>
          </w:p>
        </w:tc>
        <w:tc>
          <w:tcPr>
            <w:tcW w:w="101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5.01</w:t>
            </w:r>
          </w:p>
        </w:tc>
        <w:tc>
          <w:tcPr>
            <w:tcW w:w="105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0.45</w:t>
            </w:r>
          </w:p>
        </w:tc>
        <w:tc>
          <w:tcPr>
            <w:tcW w:w="101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94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89"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42"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4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0.45</w:t>
            </w:r>
          </w:p>
        </w:tc>
        <w:tc>
          <w:tcPr>
            <w:tcW w:w="1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1.64</w:t>
            </w:r>
          </w:p>
        </w:tc>
        <w:tc>
          <w:tcPr>
            <w:tcW w:w="102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5.01</w:t>
            </w:r>
          </w:p>
        </w:tc>
      </w:tr>
    </w:tbl>
    <w:p>
      <w:pPr>
        <w:spacing w:before="30" w:after="33"/>
        <w:ind w:left="220" w:leftChars="100" w:firstLine="0" w:firstLineChars="0"/>
        <w:rPr>
          <w:rFonts w:hint="eastAsia" w:ascii="仿宋" w:hAnsi="仿宋" w:eastAsia="仿宋" w:cs="仿宋"/>
          <w:sz w:val="22"/>
          <w:szCs w:val="22"/>
        </w:rPr>
      </w:pPr>
      <w:r>
        <w:rPr>
          <w:rFonts w:hint="eastAsia" w:ascii="仿宋" w:hAnsi="仿宋" w:eastAsia="仿宋" w:cs="仿宋"/>
          <w:sz w:val="22"/>
          <w:szCs w:val="22"/>
        </w:rPr>
        <w:t>相关统计数：</w:t>
      </w:r>
    </w:p>
    <w:tbl>
      <w:tblPr>
        <w:tblStyle w:val="12"/>
        <w:tblW w:w="11798" w:type="dxa"/>
        <w:tblInd w:w="62" w:type="dxa"/>
        <w:tblLayout w:type="fixed"/>
        <w:tblCellMar>
          <w:top w:w="55" w:type="dxa"/>
          <w:left w:w="55" w:type="dxa"/>
          <w:bottom w:w="55" w:type="dxa"/>
          <w:right w:w="55" w:type="dxa"/>
        </w:tblCellMar>
      </w:tblPr>
      <w:tblGrid>
        <w:gridCol w:w="4028"/>
        <w:gridCol w:w="1976"/>
        <w:gridCol w:w="3908"/>
        <w:gridCol w:w="1886"/>
      </w:tblGrid>
      <w:tr>
        <w:tblPrEx>
          <w:tblCellMar>
            <w:top w:w="55" w:type="dxa"/>
            <w:left w:w="55" w:type="dxa"/>
            <w:bottom w:w="55" w:type="dxa"/>
            <w:right w:w="55" w:type="dxa"/>
          </w:tblCellMar>
        </w:tblPrEx>
        <w:trPr>
          <w:cantSplit/>
          <w:trHeight w:val="214"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
            </w:r>
            <w:r>
              <w:rPr>
                <w:rFonts w:ascii="仿宋" w:hAnsi="仿宋" w:cs="仿宋" w:eastAsia="仿宋"/>
                <w:sz w:val="22"/>
              </w:rPr>
              <w:t>项目</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统计数</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项目</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统计数</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因公出国（境）团组数(个)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因公出国（境）人次数(人)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公务用车购置数(辆)</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公务用车保有量(辆)</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国内公务接待批次(个)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国内公务接待人次(人)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国（境）外公务接待批次(个)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国（境）外公务接待人次(人)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召开会议次数(个)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4</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参加会议人次(人)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48</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组织培训次数(个)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4</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参加培训人次(人)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1,244</w:t>
            </w:r>
          </w:p>
        </w:tc>
      </w:tr>
    </w:tbl>
    <w:p>
      <w:pPr>
        <w:widowControl w:val="0"/>
        <w:suppressAutoHyphens/>
        <w:bidi w:val="0"/>
        <w:spacing w:before="0" w:after="0"/>
        <w:ind w:left="0" w:leftChars="0" w:right="-2"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w:t>
      </w:r>
      <w:r>
        <w:rPr>
          <w:rFonts w:hint="eastAsia" w:ascii="仿宋" w:hAnsi="仿宋" w:eastAsia="仿宋" w:cs="仿宋"/>
          <w:b w:val="0"/>
          <w:bCs w:val="0"/>
          <w:sz w:val="22"/>
          <w:szCs w:val="22"/>
          <w:lang w:val="en-US" w:eastAsia="zh-CN"/>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sz w:val="22"/>
        </w:rPr>
        <w:t/>
      </w:r>
      <w:r>
        <w:rPr>
          <w:rFonts w:hint="eastAsia" w:ascii="仿宋" w:hAnsi="仿宋" w:eastAsia="仿宋" w:cs="仿宋"/>
          <w:b w:val="0"/>
          <w:bCs w:val="0"/>
          <w:sz w:val="22"/>
          <w:szCs w:val="22"/>
          <w:lang w:val="en-US" w:eastAsia="zh-CN"/>
        </w:rPr>
        <w:t>本表金额单位转换时可能存在尾数误差</w:t>
      </w:r>
      <w:r>
        <w:rPr>
          <w:rFonts w:hint="eastAsia" w:ascii="仿宋" w:hAnsi="仿宋" w:eastAsia="仿宋" w:cs="仿宋"/>
          <w:b w:val="0"/>
          <w:bCs w:val="0"/>
          <w:sz w:val="22"/>
          <w:szCs w:val="22"/>
        </w:rPr>
        <w:t>。</w:t>
      </w:r>
      <w:r>
        <w:rPr>
          <w:rFonts w:hint="eastAsia" w:ascii="仿宋" w:hAnsi="仿宋" w:eastAsia="仿宋" w:cs="仿宋"/>
          <w:b w:val="0"/>
          <w:bCs w:val="0"/>
          <w:sz w:val="22"/>
          <w:szCs w:val="22"/>
          <w:lang w:val="en-US" w:eastAsia="zh-CN"/>
        </w:rPr>
        <w:t/>
      </w:r>
    </w:p>
    <w:p>
      <w:pPr>
        <w:widowControl w:val="0"/>
        <w:suppressAutoHyphens/>
        <w:bidi w:val="0"/>
        <w:spacing w:before="0" w:after="0"/>
        <w:ind w:left="227" w:right="0" w:firstLine="220" w:firstLineChars="100"/>
        <w:jc w:val="both"/>
        <w:rPr>
          <w:rFonts w:hint="eastAsia" w:ascii="仿宋" w:hAnsi="仿宋" w:eastAsia="仿宋" w:cs="仿宋"/>
          <w:b w:val="0"/>
          <w:bCs w:val="0"/>
          <w:sz w:val="22"/>
          <w:szCs w:val="22"/>
        </w:rPr>
        <w:sectPr>
          <w:footerReference r:id="rId16" w:type="default"/>
          <w:pgSz w:w="16838" w:h="11906" w:orient="landscape"/>
          <w:pgMar w:top="720" w:right="153" w:bottom="720" w:left="153"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00" w:type="dxa"/>
        <w:tblInd w:w="62" w:type="dxa"/>
        <w:tblLayout w:type="fixed"/>
        <w:tblCellMar>
          <w:top w:w="55" w:type="dxa"/>
          <w:left w:w="55" w:type="dxa"/>
          <w:bottom w:w="55" w:type="dxa"/>
          <w:right w:w="55" w:type="dxa"/>
        </w:tblCellMar>
      </w:tblPr>
      <w:tblGrid>
        <w:gridCol w:w="1431"/>
        <w:gridCol w:w="6995"/>
        <w:gridCol w:w="2684"/>
        <w:gridCol w:w="2432"/>
        <w:gridCol w:w="1858"/>
      </w:tblGrid>
      <w:tr>
        <w:tblPrEx>
          <w:tblCellMar>
            <w:top w:w="55" w:type="dxa"/>
            <w:left w:w="55" w:type="dxa"/>
            <w:bottom w:w="55" w:type="dxa"/>
            <w:right w:w="55" w:type="dxa"/>
          </w:tblCellMar>
        </w:tblPrEx>
        <w:trPr>
          <w:trHeight w:val="395" w:hRule="atLeast"/>
        </w:trPr>
        <w:tc>
          <w:tcPr>
            <w:tcW w:w="15400"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政府性基金预算支出决算表</w:t>
            </w:r>
          </w:p>
        </w:tc>
      </w:tr>
      <w:tr>
        <w:tblPrEx>
          <w:tblCellMar>
            <w:top w:w="55" w:type="dxa"/>
            <w:left w:w="55" w:type="dxa"/>
            <w:bottom w:w="55" w:type="dxa"/>
            <w:right w:w="55" w:type="dxa"/>
          </w:tblCellMar>
        </w:tblPrEx>
        <w:trPr>
          <w:trHeight w:val="323" w:hRule="atLeast"/>
        </w:trPr>
        <w:tc>
          <w:tcPr>
            <w:tcW w:w="8426" w:type="dxa"/>
            <w:gridSpan w:val="2"/>
          </w:tcPr>
          <w:p>
            <w:pPr>
              <w:pStyle w:val="22"/>
              <w:widowControl w:val="0"/>
              <w:rPr>
                <w:rFonts w:hint="eastAsia" w:ascii="仿宋" w:hAnsi="仿宋" w:eastAsia="仿宋" w:cs="仿宋"/>
                <w:sz w:val="20"/>
              </w:rPr>
            </w:pPr>
          </w:p>
        </w:tc>
        <w:tc>
          <w:tcPr>
            <w:tcW w:w="2684" w:type="dxa"/>
          </w:tcPr>
          <w:p>
            <w:pPr>
              <w:pStyle w:val="22"/>
              <w:widowControl w:val="0"/>
              <w:rPr>
                <w:rFonts w:hint="eastAsia" w:ascii="仿宋" w:hAnsi="仿宋" w:eastAsia="仿宋" w:cs="仿宋"/>
                <w:sz w:val="27"/>
              </w:rPr>
            </w:pPr>
          </w:p>
        </w:tc>
        <w:tc>
          <w:tcPr>
            <w:tcW w:w="2432" w:type="dxa"/>
          </w:tcPr>
          <w:p>
            <w:pPr>
              <w:pStyle w:val="22"/>
              <w:widowControl w:val="0"/>
              <w:rPr>
                <w:rFonts w:hint="eastAsia" w:ascii="仿宋" w:hAnsi="仿宋" w:eastAsia="仿宋" w:cs="仿宋"/>
                <w:sz w:val="20"/>
              </w:rPr>
            </w:pPr>
          </w:p>
        </w:tc>
        <w:tc>
          <w:tcPr>
            <w:tcW w:w="1858"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公开10表</w:t>
            </w:r>
          </w:p>
        </w:tc>
      </w:tr>
      <w:tr>
        <w:tblPrEx>
          <w:tblCellMar>
            <w:top w:w="55" w:type="dxa"/>
            <w:left w:w="55" w:type="dxa"/>
            <w:bottom w:w="55" w:type="dxa"/>
            <w:right w:w="55" w:type="dxa"/>
          </w:tblCellMar>
        </w:tblPrEx>
        <w:trPr>
          <w:trHeight w:val="152" w:hRule="atLeast"/>
        </w:trPr>
        <w:tc>
          <w:tcPr>
            <w:tcW w:w="13542"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1858"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67" w:hRule="atLeast"/>
        </w:trPr>
        <w:tc>
          <w:tcPr>
            <w:tcW w:w="8426"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2684"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2432"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1858"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27" w:hRule="atLeast"/>
        </w:trPr>
        <w:tc>
          <w:tcPr>
            <w:tcW w:w="14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6995"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684"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2432"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858"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55" w:type="dxa"/>
            <w:left w:w="55" w:type="dxa"/>
            <w:bottom w:w="55" w:type="dxa"/>
            <w:right w:w="55" w:type="dxa"/>
          </w:tblCellMar>
        </w:tblPrEx>
        <w:trPr>
          <w:trHeight w:val="275" w:hRule="atLeast"/>
        </w:trPr>
        <w:tc>
          <w:tcPr>
            <w:tcW w:w="8426"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268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1</w:t>
            </w:r>
          </w:p>
        </w:tc>
        <w:tc>
          <w:tcPr>
            <w:tcW w:w="243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185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2</w:t>
            </w:r>
          </w:p>
        </w:tc>
      </w:tr>
      <w:tr>
        <w:tblPrEx>
          <w:tblCellMar>
            <w:top w:w="55" w:type="dxa"/>
            <w:left w:w="55" w:type="dxa"/>
            <w:bottom w:w="55" w:type="dxa"/>
            <w:right w:w="55" w:type="dxa"/>
          </w:tblCellMar>
        </w:tblPrEx>
        <w:trPr>
          <w:trHeight w:val="389" w:hRule="exact"/>
        </w:trPr>
        <w:tc>
          <w:tcPr>
            <w:tcW w:w="8426"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68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432"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5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699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68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432"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1858"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699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68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432"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1858"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bl>
    <w:p>
      <w:pPr>
        <w:spacing w:before="25" w:after="0"/>
        <w:ind w:left="0" w:lef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注：本表反映本年度政府性基金预算财政拨款支出情况。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lang w:val="en-US" w:eastAsia="zh-CN"/>
        </w:rPr>
        <w:t/>
      </w:r>
    </w:p>
    <w:p>
      <w:pPr>
        <w:numPr>
          <w:ilvl w:val="0"/>
          <w:numId w:val="0"/>
        </w:numPr>
        <w:spacing w:before="25" w:after="0"/>
        <w:ind w:left="440" w:leftChars="200"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
      </w:r>
      <w:r>
        <w:rPr>
          <w:rFonts w:ascii="仿宋" w:hAnsi="仿宋" w:cs="仿宋" w:eastAsia="仿宋"/>
          <w:sz w:val="22"/>
        </w:rPr>
        <w:t>本</w:t>
      </w:r>
      <w:r>
        <w:rPr>
          <w:rFonts w:ascii="仿宋" w:hAnsi="仿宋" w:cs="仿宋" w:eastAsia="仿宋"/>
          <w:sz w:val="22"/>
        </w:rPr>
        <w:t>单位</w:t>
      </w:r>
      <w:r>
        <w:rPr>
          <w:rFonts w:ascii="仿宋" w:hAnsi="仿宋" w:cs="仿宋" w:eastAsia="仿宋"/>
          <w:sz w:val="22"/>
        </w:rPr>
        <w:t>无政府性基金预算收入支出决算，故本表为空。</w:t>
      </w:r>
      <w:r>
        <w:rPr>
          <w:rFonts w:ascii="仿宋" w:hAnsi="仿宋" w:cs="仿宋" w:eastAsia="仿宋"/>
          <w:sz w:val="22"/>
        </w:rPr>
        <w:t/>
      </w:r>
    </w:p>
    <w:p>
      <w:pPr>
        <w:widowControl w:val="0"/>
        <w:numPr>
          <w:ilvl w:val="0"/>
          <w:numId w:val="0"/>
        </w:numPr>
        <w:suppressAutoHyphens/>
        <w:bidi w:val="0"/>
        <w:spacing w:before="25" w:after="0"/>
        <w:jc w:val="both"/>
        <w:rPr>
          <w:rFonts w:hint="default" w:ascii="仿宋" w:hAnsi="仿宋" w:eastAsia="仿宋" w:cs="仿宋"/>
          <w:b w:val="0"/>
          <w:bCs w:val="0"/>
          <w:sz w:val="22"/>
          <w:szCs w:val="22"/>
          <w:lang w:val="en-US" w:eastAsia="zh-CN"/>
        </w:rPr>
        <w:sectPr>
          <w:footerReference r:id="rId17"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00" w:type="dxa"/>
        <w:tblInd w:w="47" w:type="dxa"/>
        <w:tblLayout w:type="fixed"/>
        <w:tblCellMar>
          <w:top w:w="55" w:type="dxa"/>
          <w:left w:w="55" w:type="dxa"/>
          <w:bottom w:w="55" w:type="dxa"/>
          <w:right w:w="55" w:type="dxa"/>
        </w:tblCellMar>
      </w:tblPr>
      <w:tblGrid>
        <w:gridCol w:w="1462"/>
        <w:gridCol w:w="7058"/>
        <w:gridCol w:w="2510"/>
        <w:gridCol w:w="2309"/>
        <w:gridCol w:w="2061"/>
      </w:tblGrid>
      <w:tr>
        <w:tblPrEx>
          <w:tblCellMar>
            <w:top w:w="55" w:type="dxa"/>
            <w:left w:w="55" w:type="dxa"/>
            <w:bottom w:w="55" w:type="dxa"/>
            <w:right w:w="55" w:type="dxa"/>
          </w:tblCellMar>
        </w:tblPrEx>
        <w:trPr>
          <w:trHeight w:val="395" w:hRule="atLeast"/>
        </w:trPr>
        <w:tc>
          <w:tcPr>
            <w:tcW w:w="15400"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国有资本经营预算支出决算表</w:t>
            </w:r>
          </w:p>
        </w:tc>
      </w:tr>
      <w:tr>
        <w:tblPrEx>
          <w:tblCellMar>
            <w:top w:w="55" w:type="dxa"/>
            <w:left w:w="55" w:type="dxa"/>
            <w:bottom w:w="55" w:type="dxa"/>
            <w:right w:w="55" w:type="dxa"/>
          </w:tblCellMar>
        </w:tblPrEx>
        <w:trPr>
          <w:trHeight w:val="323" w:hRule="atLeast"/>
        </w:trPr>
        <w:tc>
          <w:tcPr>
            <w:tcW w:w="8520" w:type="dxa"/>
            <w:gridSpan w:val="2"/>
          </w:tcPr>
          <w:p>
            <w:pPr>
              <w:pStyle w:val="22"/>
              <w:widowControl w:val="0"/>
              <w:rPr>
                <w:rFonts w:hint="eastAsia" w:ascii="仿宋" w:hAnsi="仿宋" w:eastAsia="仿宋" w:cs="仿宋"/>
                <w:sz w:val="20"/>
              </w:rPr>
            </w:pPr>
          </w:p>
        </w:tc>
        <w:tc>
          <w:tcPr>
            <w:tcW w:w="2510" w:type="dxa"/>
          </w:tcPr>
          <w:p>
            <w:pPr>
              <w:pStyle w:val="22"/>
              <w:widowControl w:val="0"/>
              <w:rPr>
                <w:rFonts w:hint="eastAsia" w:ascii="仿宋" w:hAnsi="仿宋" w:eastAsia="仿宋" w:cs="仿宋"/>
                <w:sz w:val="27"/>
              </w:rPr>
            </w:pPr>
          </w:p>
        </w:tc>
        <w:tc>
          <w:tcPr>
            <w:tcW w:w="2309" w:type="dxa"/>
          </w:tcPr>
          <w:p>
            <w:pPr>
              <w:pStyle w:val="22"/>
              <w:widowControl w:val="0"/>
              <w:rPr>
                <w:rFonts w:hint="eastAsia" w:ascii="仿宋" w:hAnsi="仿宋" w:eastAsia="仿宋" w:cs="仿宋"/>
                <w:sz w:val="20"/>
              </w:rPr>
            </w:pPr>
          </w:p>
        </w:tc>
        <w:tc>
          <w:tcPr>
            <w:tcW w:w="2061"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公开1</w:t>
            </w:r>
            <w:r>
              <w:rPr>
                <w:rFonts w:hint="eastAsia" w:ascii="仿宋" w:hAnsi="仿宋" w:eastAsia="仿宋" w:cs="仿宋"/>
                <w:lang w:val="en-US" w:eastAsia="zh-CN"/>
              </w:rPr>
              <w:t>1</w:t>
            </w:r>
            <w:r>
              <w:rPr>
                <w:rFonts w:hint="eastAsia" w:ascii="仿宋" w:hAnsi="仿宋" w:eastAsia="仿宋" w:cs="仿宋"/>
              </w:rPr>
              <w:t>表</w:t>
            </w:r>
          </w:p>
        </w:tc>
      </w:tr>
      <w:tr>
        <w:tblPrEx>
          <w:tblCellMar>
            <w:top w:w="55" w:type="dxa"/>
            <w:left w:w="55" w:type="dxa"/>
            <w:bottom w:w="55" w:type="dxa"/>
            <w:right w:w="55" w:type="dxa"/>
          </w:tblCellMar>
        </w:tblPrEx>
        <w:trPr>
          <w:trHeight w:val="152" w:hRule="atLeast"/>
        </w:trPr>
        <w:tc>
          <w:tcPr>
            <w:tcW w:w="13339"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2061"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67" w:hRule="atLeast"/>
        </w:trPr>
        <w:tc>
          <w:tcPr>
            <w:tcW w:w="8520"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2510"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2309"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27" w:hRule="atLeast"/>
        </w:trPr>
        <w:tc>
          <w:tcPr>
            <w:tcW w:w="146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705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510"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2309"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2061"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55" w:type="dxa"/>
            <w:left w:w="55" w:type="dxa"/>
            <w:bottom w:w="55" w:type="dxa"/>
            <w:right w:w="55" w:type="dxa"/>
          </w:tblCellMar>
        </w:tblPrEx>
        <w:trPr>
          <w:trHeight w:val="275" w:hRule="atLeast"/>
        </w:trPr>
        <w:tc>
          <w:tcPr>
            <w:tcW w:w="8520"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251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1</w:t>
            </w:r>
          </w:p>
        </w:tc>
        <w:tc>
          <w:tcPr>
            <w:tcW w:w="2309"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2061"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2</w:t>
            </w:r>
          </w:p>
        </w:tc>
      </w:tr>
      <w:tr>
        <w:tblPrEx>
          <w:tblCellMar>
            <w:top w:w="55" w:type="dxa"/>
            <w:left w:w="55" w:type="dxa"/>
            <w:bottom w:w="55" w:type="dxa"/>
            <w:right w:w="55" w:type="dxa"/>
          </w:tblCellMar>
        </w:tblPrEx>
        <w:trPr>
          <w:trHeight w:val="389" w:hRule="exact"/>
        </w:trPr>
        <w:tc>
          <w:tcPr>
            <w:tcW w:w="8520"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51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30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61"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6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705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51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309"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061"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6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705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51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309"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061"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bl>
    <w:p>
      <w:pPr>
        <w:bidi w:val="0"/>
        <w:ind w:left="0" w:lef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注：本表反映本年度国有资本经营预算财政拨款支出情况。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lang w:val="en-US" w:eastAsia="zh-CN"/>
        </w:rPr>
        <w:t/>
      </w:r>
    </w:p>
    <w:p>
      <w:pPr>
        <w:numPr>
          <w:ilvl w:val="0"/>
          <w:numId w:val="0"/>
        </w:numPr>
        <w:bidi w:val="0"/>
        <w:ind w:left="440" w:leftChars="200"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
      </w:r>
      <w:r>
        <w:rPr>
          <w:rFonts w:ascii="仿宋" w:hAnsi="仿宋" w:cs="仿宋" w:eastAsia="仿宋"/>
          <w:sz w:val="22"/>
        </w:rPr>
        <w:t>本</w:t>
      </w:r>
      <w:r>
        <w:rPr>
          <w:rFonts w:ascii="仿宋" w:hAnsi="仿宋" w:cs="仿宋" w:eastAsia="仿宋"/>
          <w:sz w:val="22"/>
        </w:rPr>
        <w:t>单位</w:t>
      </w:r>
      <w:r>
        <w:rPr>
          <w:rFonts w:ascii="仿宋" w:hAnsi="仿宋" w:cs="仿宋" w:eastAsia="仿宋"/>
          <w:sz w:val="22"/>
        </w:rPr>
        <w:t>无</w:t>
      </w:r>
      <w:r>
        <w:rPr>
          <w:rFonts w:hint="eastAsia" w:ascii="仿宋" w:hAnsi="仿宋" w:eastAsia="仿宋" w:cs="仿宋"/>
          <w:b w:val="0"/>
          <w:bCs w:val="0"/>
          <w:sz w:val="22"/>
          <w:szCs w:val="22"/>
        </w:rPr>
        <w:t>国有资本经营预算支出</w:t>
      </w:r>
      <w:r>
        <w:rPr>
          <w:rFonts w:hint="eastAsia" w:ascii="仿宋" w:hAnsi="仿宋" w:eastAsia="仿宋" w:cs="仿宋"/>
          <w:b w:val="0"/>
          <w:bCs w:val="0"/>
          <w:sz w:val="22"/>
          <w:szCs w:val="22"/>
          <w:lang w:val="en-US" w:eastAsia="zh-CN"/>
        </w:rPr>
        <w:t>决算，故本表为空。</w:t>
      </w:r>
      <w:r>
        <w:rPr>
          <w:rFonts w:ascii="仿宋" w:hAnsi="仿宋" w:cs="仿宋" w:eastAsia="仿宋"/>
          <w:sz w:val="22"/>
        </w:rPr>
        <w:t/>
      </w:r>
    </w:p>
    <w:p>
      <w:pPr>
        <w:spacing w:before="25" w:after="0"/>
        <w:ind w:left="-220" w:leftChars="-100" w:firstLine="0" w:firstLineChars="0"/>
        <w:jc w:val="both"/>
        <w:rPr>
          <w:rFonts w:hint="default" w:ascii="仿宋" w:hAnsi="仿宋" w:eastAsia="仿宋" w:cs="仿宋"/>
          <w:b w:val="0"/>
          <w:bCs w:val="0"/>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66" w:type="dxa"/>
        <w:tblInd w:w="53" w:type="dxa"/>
        <w:tblLayout w:type="fixed"/>
        <w:tblCellMar>
          <w:top w:w="55" w:type="dxa"/>
          <w:left w:w="55" w:type="dxa"/>
          <w:bottom w:w="55" w:type="dxa"/>
          <w:right w:w="55" w:type="dxa"/>
        </w:tblCellMar>
      </w:tblPr>
      <w:tblGrid>
        <w:gridCol w:w="1642"/>
        <w:gridCol w:w="4990"/>
        <w:gridCol w:w="3834"/>
      </w:tblGrid>
      <w:tr>
        <w:tblPrEx>
          <w:tblCellMar>
            <w:top w:w="55" w:type="dxa"/>
            <w:left w:w="55" w:type="dxa"/>
            <w:bottom w:w="55" w:type="dxa"/>
            <w:right w:w="55" w:type="dxa"/>
          </w:tblCellMar>
        </w:tblPrEx>
        <w:trPr>
          <w:trHeight w:val="319" w:hRule="atLeast"/>
        </w:trPr>
        <w:tc>
          <w:tcPr>
            <w:tcW w:w="10466" w:type="dxa"/>
            <w:gridSpan w:val="3"/>
          </w:tcPr>
          <w:p>
            <w:pPr>
              <w:pStyle w:val="22"/>
              <w:widowControl w:val="0"/>
              <w:tabs>
                <w:tab w:val="left" w:pos="610"/>
              </w:tabs>
              <w:spacing w:before="28" w:after="0"/>
              <w:ind w:left="8" w:firstLine="0"/>
              <w:jc w:val="center"/>
              <w:rPr>
                <w:rFonts w:hint="eastAsia" w:ascii="仿宋" w:hAnsi="仿宋" w:eastAsia="仿宋" w:cs="仿宋"/>
                <w:b/>
                <w:bCs/>
                <w:sz w:val="44"/>
                <w:szCs w:val="44"/>
              </w:rPr>
            </w:pPr>
            <w:r>
              <w:rPr>
                <w:rFonts w:hint="eastAsia" w:cs="宋体"/>
                <w:b/>
                <w:bCs/>
                <w:color w:val="000000"/>
                <w:kern w:val="0"/>
                <w:sz w:val="36"/>
                <w:szCs w:val="36"/>
                <w:lang w:val="en-US" w:eastAsia="ar-SA" w:bidi="zh-CN"/>
              </w:rPr>
              <w:t>财政拨款</w:t>
            </w:r>
            <w:r>
              <w:rPr>
                <w:rFonts w:hint="eastAsia" w:ascii="宋体" w:hAnsi="宋体" w:eastAsia="宋体" w:cs="宋体"/>
                <w:b/>
                <w:bCs/>
                <w:color w:val="000000"/>
                <w:kern w:val="0"/>
                <w:sz w:val="36"/>
                <w:szCs w:val="36"/>
                <w:lang w:val="zh-CN" w:eastAsia="ar-SA" w:bidi="zh-CN"/>
              </w:rPr>
              <w:t>机关运行经费支出决算表</w:t>
            </w:r>
          </w:p>
        </w:tc>
      </w:tr>
      <w:tr>
        <w:tblPrEx>
          <w:tblCellMar>
            <w:top w:w="55" w:type="dxa"/>
            <w:left w:w="55" w:type="dxa"/>
            <w:bottom w:w="55" w:type="dxa"/>
            <w:right w:w="55" w:type="dxa"/>
          </w:tblCellMar>
        </w:tblPrEx>
        <w:trPr>
          <w:trHeight w:val="90" w:hRule="atLeast"/>
        </w:trPr>
        <w:tc>
          <w:tcPr>
            <w:tcW w:w="6632" w:type="dxa"/>
            <w:gridSpan w:val="2"/>
          </w:tcPr>
          <w:p>
            <w:pPr>
              <w:pStyle w:val="22"/>
              <w:widowControl w:val="0"/>
              <w:rPr>
                <w:rFonts w:hint="eastAsia" w:ascii="仿宋" w:hAnsi="仿宋" w:eastAsia="仿宋" w:cs="仿宋"/>
                <w:sz w:val="20"/>
              </w:rPr>
            </w:pPr>
          </w:p>
        </w:tc>
        <w:tc>
          <w:tcPr>
            <w:tcW w:w="3834" w:type="dxa"/>
            <w:vAlign w:val="center"/>
          </w:tcPr>
          <w:p>
            <w:pPr>
              <w:pStyle w:val="22"/>
              <w:widowControl w:val="0"/>
              <w:jc w:val="right"/>
              <w:rPr>
                <w:rFonts w:hint="eastAsia" w:ascii="仿宋" w:hAnsi="仿宋" w:eastAsia="仿宋" w:cs="仿宋"/>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6632" w:type="dxa"/>
            <w:gridSpan w:val="2"/>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3834"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319" w:hRule="atLeast"/>
        </w:trPr>
        <w:tc>
          <w:tcPr>
            <w:tcW w:w="6632"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3834"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机关运行经费支出决算</w:t>
            </w:r>
          </w:p>
        </w:tc>
      </w:tr>
      <w:tr>
        <w:tblPrEx>
          <w:tblCellMar>
            <w:top w:w="55" w:type="dxa"/>
            <w:left w:w="55" w:type="dxa"/>
            <w:bottom w:w="55" w:type="dxa"/>
            <w:right w:w="55" w:type="dxa"/>
          </w:tblCellMar>
        </w:tblPrEx>
        <w:trPr>
          <w:trHeight w:val="363" w:hRule="atLeast"/>
        </w:trPr>
        <w:tc>
          <w:tcPr>
            <w:tcW w:w="16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99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3834"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229" w:hRule="atLeast"/>
        </w:trPr>
        <w:tc>
          <w:tcPr>
            <w:tcW w:w="6632"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3834"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30.25</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商品和服务支出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30.25</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办公费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6.64</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印刷费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咨询费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手续费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水费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0.23</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电费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邮电费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取暖费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物业管理费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差旅费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7.40</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因公出国（境）费用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维修（护）费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租赁费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会议费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0.98</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培训费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0.24</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公务接待费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0.45</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专用材料费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被装购置费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专用燃料费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劳务费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委托业务费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工会经费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5.13</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福利费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30231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公务用车运行维护费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30239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其他交通费用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9.18</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30240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税金及附加费用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其他商品和服务支出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债务利息及费用支出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310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资本性支出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房屋建筑物购建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办公设备购置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专用设备购置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基础设施建设</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大型修缮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信息网络及软件购置更新</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物资储备</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土地补偿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安置补助</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地上附着物和青苗补偿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拆迁补偿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公务用车购置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其他交通工具购置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31021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文物和陈列品购置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31022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无形资产购置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其他资本性支出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对企业补助</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其他支出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bl>
    <w:p>
      <w:pPr>
        <w:spacing w:before="25" w:after="0"/>
        <w:ind w:left="0" w:leftChars="0" w:right="-92" w:rightChars="-42"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rPr>
        <w:t>注：“机关运行经费” 指行政单位（含参照公务员法管理的事业单位）使用</w:t>
      </w:r>
      <w:r>
        <w:rPr>
          <w:rFonts w:hint="eastAsia" w:ascii="仿宋" w:hAnsi="仿宋" w:eastAsia="仿宋" w:cs="仿宋"/>
          <w:b w:val="0"/>
          <w:bCs w:val="0"/>
          <w:sz w:val="22"/>
          <w:szCs w:val="22"/>
          <w:lang w:val="en-US" w:eastAsia="zh-CN"/>
        </w:rPr>
        <w:t>财政拨款</w:t>
      </w:r>
      <w:r>
        <w:rPr>
          <w:rFonts w:hint="eastAsia" w:ascii="仿宋" w:hAnsi="仿宋" w:eastAsia="仿宋" w:cs="仿宋"/>
          <w:b w:val="0"/>
          <w:bCs w:val="0"/>
          <w:sz w:val="22"/>
          <w:szCs w:val="22"/>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numPr>
          <w:ilvl w:val="0"/>
          <w:numId w:val="0"/>
        </w:numPr>
        <w:tabs>
          <w:tab w:val="left" w:pos="440"/>
        </w:tabs>
        <w:spacing w:before="25" w:after="0"/>
        <w:ind w:left="440" w:leftChars="200" w:firstLine="0" w:firstLineChars="0"/>
        <w:jc w:val="both"/>
        <w:rPr>
          <w:rFonts w:hint="eastAsia" w:ascii="仿宋" w:hAnsi="仿宋" w:eastAsia="仿宋" w:cs="仿宋"/>
          <w:b w:val="0"/>
          <w:bCs w:val="0"/>
          <w:sz w:val="22"/>
          <w:szCs w:val="22"/>
          <w:lang w:val="en-US" w:eastAsia="zh-CN"/>
        </w:rPr>
        <w:sectPr>
          <w:footerReference r:id="rId18" w:type="default"/>
          <w:type w:val="continuous"/>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59" w:type="dxa"/>
        <w:tblInd w:w="45" w:type="dxa"/>
        <w:tblLayout w:type="fixed"/>
        <w:tblCellMar>
          <w:top w:w="55" w:type="dxa"/>
          <w:left w:w="55" w:type="dxa"/>
          <w:bottom w:w="55" w:type="dxa"/>
          <w:right w:w="55" w:type="dxa"/>
        </w:tblCellMar>
      </w:tblPr>
      <w:tblGrid>
        <w:gridCol w:w="4472"/>
        <w:gridCol w:w="722"/>
        <w:gridCol w:w="1992"/>
        <w:gridCol w:w="3273"/>
      </w:tblGrid>
      <w:tr>
        <w:tblPrEx>
          <w:tblCellMar>
            <w:top w:w="55" w:type="dxa"/>
            <w:left w:w="55" w:type="dxa"/>
            <w:bottom w:w="55" w:type="dxa"/>
            <w:right w:w="55" w:type="dxa"/>
          </w:tblCellMar>
        </w:tblPrEx>
        <w:trPr>
          <w:trHeight w:val="333" w:hRule="atLeast"/>
        </w:trPr>
        <w:tc>
          <w:tcPr>
            <w:tcW w:w="10459" w:type="dxa"/>
            <w:gridSpan w:val="4"/>
            <w:vAlign w:val="center"/>
          </w:tcPr>
          <w:p>
            <w:pPr>
              <w:pStyle w:val="22"/>
              <w:widowControl w:val="0"/>
              <w:bidi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政府采购支出决算表</w:t>
            </w:r>
          </w:p>
        </w:tc>
      </w:tr>
      <w:tr>
        <w:tblPrEx>
          <w:tblCellMar>
            <w:top w:w="55" w:type="dxa"/>
            <w:left w:w="55" w:type="dxa"/>
            <w:bottom w:w="55" w:type="dxa"/>
            <w:right w:w="55" w:type="dxa"/>
          </w:tblCellMar>
        </w:tblPrEx>
        <w:trPr>
          <w:trHeight w:val="333" w:hRule="atLeast"/>
        </w:trPr>
        <w:tc>
          <w:tcPr>
            <w:tcW w:w="4472" w:type="dxa"/>
          </w:tcPr>
          <w:p>
            <w:pPr>
              <w:pStyle w:val="22"/>
              <w:widowControl w:val="0"/>
              <w:bidi w:val="0"/>
              <w:rPr>
                <w:rFonts w:hint="eastAsia" w:ascii="仿宋" w:hAnsi="仿宋" w:eastAsia="仿宋" w:cs="仿宋"/>
              </w:rPr>
            </w:pPr>
          </w:p>
        </w:tc>
        <w:tc>
          <w:tcPr>
            <w:tcW w:w="722" w:type="dxa"/>
          </w:tcPr>
          <w:p>
            <w:pPr>
              <w:pStyle w:val="22"/>
              <w:widowControl w:val="0"/>
              <w:rPr>
                <w:rFonts w:hint="eastAsia" w:ascii="仿宋" w:hAnsi="仿宋" w:eastAsia="仿宋" w:cs="仿宋"/>
              </w:rPr>
            </w:pPr>
          </w:p>
        </w:tc>
        <w:tc>
          <w:tcPr>
            <w:tcW w:w="1992" w:type="dxa"/>
          </w:tcPr>
          <w:p>
            <w:pPr>
              <w:pStyle w:val="22"/>
              <w:widowControl w:val="0"/>
              <w:rPr>
                <w:rFonts w:hint="eastAsia" w:ascii="仿宋" w:hAnsi="仿宋" w:eastAsia="仿宋" w:cs="仿宋"/>
              </w:rPr>
            </w:pPr>
          </w:p>
        </w:tc>
        <w:tc>
          <w:tcPr>
            <w:tcW w:w="3273" w:type="dxa"/>
            <w:vAlign w:val="center"/>
          </w:tcPr>
          <w:p>
            <w:pPr>
              <w:pStyle w:val="22"/>
              <w:widowControl w:val="0"/>
              <w:jc w:val="right"/>
              <w:rPr>
                <w:rFonts w:hint="eastAsia" w:ascii="仿宋" w:hAnsi="仿宋" w:eastAsia="仿宋" w:cs="仿宋"/>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7186" w:type="dxa"/>
            <w:gridSpan w:val="3"/>
          </w:tcPr>
          <w:p>
            <w:pPr>
              <w:pStyle w:val="22"/>
              <w:widowControl w:val="0"/>
              <w:bidi w:val="0"/>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常州市房屋征收与补偿管理中心</w:t>
            </w:r>
          </w:p>
        </w:tc>
        <w:tc>
          <w:tcPr>
            <w:tcW w:w="3273" w:type="dxa"/>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244" w:hRule="atLeast"/>
        </w:trPr>
        <w:tc>
          <w:tcPr>
            <w:tcW w:w="4472" w:type="dxa"/>
            <w:tcBorders>
              <w:top w:val="single" w:color="000000" w:sz="4" w:space="0"/>
              <w:left w:val="single" w:color="000000" w:sz="4" w:space="0"/>
              <w:bottom w:val="single" w:color="000000" w:sz="4" w:space="0"/>
            </w:tcBorders>
            <w:vAlign w:val="center"/>
          </w:tcPr>
          <w:p>
            <w:pPr>
              <w:pStyle w:val="22"/>
              <w:widowControl w:val="0"/>
              <w:bidi w:val="0"/>
              <w:jc w:val="center"/>
              <w:rPr>
                <w:rFonts w:hint="eastAsia" w:ascii="仿宋" w:hAnsi="仿宋" w:eastAsia="仿宋" w:cs="仿宋"/>
                <w:lang w:val="en-US" w:eastAsia="zh-CN"/>
              </w:rPr>
            </w:pPr>
            <w:r>
              <w:rPr>
                <w:rFonts w:hint="eastAsia" w:ascii="仿宋" w:hAnsi="仿宋" w:eastAsia="仿宋" w:cs="仿宋"/>
                <w:lang w:val="en-US" w:eastAsia="zh-CN"/>
              </w:rPr>
              <w:t/>
            </w:r>
            <w:r>
              <w:rPr>
                <w:rFonts w:ascii="仿宋" w:hAnsi="仿宋" w:cs="仿宋" w:eastAsia="仿宋"/>
              </w:rPr>
              <w:t>项目</w:t>
            </w:r>
          </w:p>
        </w:tc>
        <w:tc>
          <w:tcPr>
            <w:tcW w:w="598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金</w:t>
            </w:r>
            <w:r>
              <w:rPr>
                <w:rFonts w:hint="eastAsia" w:ascii="仿宋" w:hAnsi="仿宋" w:eastAsia="仿宋" w:cs="仿宋"/>
              </w:rPr>
              <w:tab/>
            </w:r>
            <w:r>
              <w:rPr>
                <w:rFonts w:hint="eastAsia" w:ascii="仿宋" w:hAnsi="仿宋" w:eastAsia="仿宋" w:cs="仿宋"/>
              </w:rPr>
              <w:t>额</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一、政府采购支出合计</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1.85</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（一）政府采购货物支出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0.62</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（二）政府采购工程支出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（三）政府采购服务支出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1.24</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二、政府采购授予中小企业合同金额</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其中：授予小微企业合同金额</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bidi w:val="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rPr>
        <w:t>注：</w:t>
      </w:r>
      <w:r>
        <w:rPr>
          <w:rFonts w:hint="eastAsia" w:ascii="仿宋" w:hAnsi="仿宋" w:eastAsia="仿宋" w:cs="仿宋"/>
          <w:b w:val="0"/>
          <w:bCs w:val="0"/>
          <w:sz w:val="22"/>
          <w:szCs w:val="22"/>
          <w:lang w:val="en-US" w:eastAsia="zh-CN"/>
        </w:rPr>
        <w:t>政府采购支出信息为单位纳入部门预算范围的各项政府采购支出情况。</w:t>
      </w:r>
      <w:r>
        <w:rPr>
          <w:rFonts w:ascii="仿宋" w:hAnsi="仿宋" w:cs="仿宋" w:eastAsia="仿宋"/>
          <w:sz w:val="22"/>
        </w:rPr>
        <w:t/>
      </w:r>
      <w:r>
        <w:rPr>
          <w:rFonts w:hint="eastAsia" w:ascii="仿宋" w:hAnsi="仿宋" w:eastAsia="仿宋" w:cs="仿宋"/>
          <w:b w:val="0"/>
          <w:bCs w:val="0"/>
          <w:sz w:val="22"/>
          <w:szCs w:val="22"/>
          <w:lang w:val="en-US" w:eastAsia="zh-CN"/>
        </w:rPr>
        <w:t>本表金额单位转换时可能存在尾数误差</w:t>
      </w:r>
      <w:r>
        <w:rPr>
          <w:rFonts w:hint="eastAsia" w:ascii="仿宋" w:hAnsi="仿宋" w:eastAsia="仿宋" w:cs="仿宋"/>
          <w:b w:val="0"/>
          <w:bCs w:val="0"/>
          <w:sz w:val="22"/>
          <w:szCs w:val="22"/>
        </w:rPr>
        <w:t>。</w:t>
      </w:r>
      <w:r>
        <w:rPr>
          <w:rFonts w:hint="eastAsia" w:ascii="仿宋" w:hAnsi="仿宋" w:eastAsia="仿宋" w:cs="仿宋"/>
          <w:b w:val="0"/>
          <w:bCs w:val="0"/>
          <w:sz w:val="22"/>
          <w:szCs w:val="22"/>
          <w:lang w:val="en-US" w:eastAsia="zh-CN"/>
        </w:rPr>
        <w:t/>
      </w:r>
    </w:p>
    <w:p>
      <w:pPr>
        <w:numPr>
          <w:ilvl w:val="0"/>
          <w:numId w:val="0"/>
        </w:numPr>
        <w:bidi w:val="0"/>
        <w:ind w:left="440" w:leftChars="200" w:firstLine="0" w:firstLineChars="0"/>
        <w:jc w:val="both"/>
        <w:rPr>
          <w:rFonts w:hint="eastAsia" w:ascii="仿宋" w:hAnsi="仿宋" w:eastAsia="仿宋" w:cs="仿宋"/>
          <w:b w:val="0"/>
          <w:bCs w:val="0"/>
          <w:sz w:val="22"/>
          <w:szCs w:val="22"/>
        </w:rPr>
        <w:sectPr>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outlineLvl w:val="0"/>
        <w:rPr>
          <w:rFonts w:hint="eastAsia" w:ascii="宋体" w:hAnsi="宋体" w:eastAsia="宋体" w:cs="宋体"/>
          <w:b/>
          <w:bCs/>
          <w:color w:val="000000"/>
          <w:kern w:val="0"/>
          <w:sz w:val="36"/>
          <w:szCs w:val="36"/>
          <w:lang w:val="zh-CN" w:eastAsia="ar-SA" w:bidi="zh-CN"/>
        </w:rPr>
      </w:pPr>
      <w:r>
        <w:rPr>
          <w:rFonts w:hint="eastAsia" w:ascii="宋体" w:hAnsi="宋体" w:eastAsia="宋体" w:cs="宋体"/>
          <w:b/>
          <w:bCs/>
          <w:color w:val="000000"/>
          <w:kern w:val="0"/>
          <w:sz w:val="36"/>
          <w:szCs w:val="36"/>
          <w:lang w:val="zh-CN" w:eastAsia="ar-SA" w:bidi="zh-CN"/>
        </w:rPr>
        <w:t>第三部分</w:t>
      </w:r>
      <w:r>
        <w:rPr>
          <w:rFonts w:hint="eastAsia" w:ascii="宋体" w:hAnsi="宋体" w:eastAsia="宋体" w:cs="宋体"/>
          <w:b/>
          <w:bCs/>
          <w:color w:val="000000"/>
          <w:kern w:val="0"/>
          <w:sz w:val="36"/>
          <w:szCs w:val="36"/>
          <w:lang w:val="en-US" w:eastAsia="zh-CN" w:bidi="zh-CN"/>
        </w:rPr>
        <w:t xml:space="preserve"> </w:t>
      </w:r>
      <w:r>
        <w:rPr>
          <w:rFonts w:hint="eastAsia" w:ascii="宋体" w:hAnsi="宋体" w:eastAsia="宋体" w:cs="宋体"/>
          <w:b/>
          <w:bCs/>
          <w:color w:val="000000"/>
          <w:kern w:val="0"/>
          <w:sz w:val="36"/>
          <w:szCs w:val="36"/>
          <w:lang w:val="zh-CN" w:eastAsia="zh-CN" w:bidi="zh-CN"/>
        </w:rPr>
        <w:t>202</w:t>
      </w:r>
      <w:r>
        <w:rPr>
          <w:rFonts w:hint="eastAsia" w:ascii="宋体" w:hAnsi="宋体" w:eastAsia="宋体" w:cs="宋体"/>
          <w:b/>
          <w:bCs/>
          <w:color w:val="000000"/>
          <w:kern w:val="0"/>
          <w:sz w:val="36"/>
          <w:szCs w:val="36"/>
          <w:lang w:val="en-US" w:eastAsia="zh-CN" w:bidi="zh-CN"/>
        </w:rPr>
        <w:t>3</w:t>
      </w:r>
      <w:r>
        <w:rPr>
          <w:rFonts w:hint="eastAsia" w:ascii="宋体" w:hAnsi="宋体" w:eastAsia="宋体" w:cs="宋体"/>
          <w:b/>
          <w:bCs/>
          <w:color w:val="000000"/>
          <w:kern w:val="0"/>
          <w:sz w:val="36"/>
          <w:szCs w:val="36"/>
          <w:lang w:val="zh-CN" w:eastAsia="ar-SA" w:bidi="zh-CN"/>
        </w:rPr>
        <w:t>年度</w:t>
      </w:r>
      <w:r>
        <w:rPr>
          <w:rFonts w:ascii="宋体" w:hAnsi="宋体" w:cs="宋体" w:eastAsia="宋体"/>
          <w:b w:val="true"/>
          <w:color w:val="000000"/>
          <w:sz w:val="36"/>
        </w:rPr>
        <w:t>单位</w:t>
      </w:r>
      <w:r>
        <w:rPr>
          <w:rFonts w:ascii="宋体" w:hAnsi="宋体" w:cs="宋体" w:eastAsia="宋体"/>
          <w:b w:val="true"/>
          <w:color w:val="000000"/>
          <w:sz w:val="36"/>
        </w:rPr>
        <w:t>决算情况说明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一、收入支出决算总体情况说明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2023年度收入、支出决算总计607万元。与上年相比，收、支总计各减少5.33万元，减少0.87%。其中：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（一）收入决算总计607万元。包括：</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1.本年收入决算合计607万元。与上年相比，减少5.33万元，减少0.87%，变动原因：主要为根据工作完成情况，律师费等部分项目经费结转至下年度。</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2.使用非财政拨款结余0万元。与上年决算数相同。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3.年初结转和结余0万元。与上年决算数相同。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（二）支出决算总计607万元。包括：</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1.本年支出决算合计607万元。与上年相比，减少5.33万元，减少0.87%，变动原因：主要为根据工作完成情况，律师费等部分项目经费结转至下年度。</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2.结余分配0万元。与上年决算数相同。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3.年末结转和结余0万元。与上年决算数相同。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二、收入决算情况说明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年收入决算合计607万元，其中：财政拨款收入607万元，占100%；上级补助收入0万元，占0%；财政专户管理教育收费0万元，占0%；事业收入（不含专户管理教育收费）0万元，占0%；经营收入0万元，占0%；附属单位上缴收入0万元，占0%；其他收入0万元，占0%。</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2"/>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2023年度本年支出决算合计607万元，其中：基本支出488.61万元，占80.5%；项目支出118.39万元，占19.5%；上缴上级支出0万元，占0%；经营支出0万元，占0%；对附属单位补助支出0万元，占0%。</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3"/>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四、财政拨款收入支出决算总体情况说明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2023年度财政拨款收入、支出决算总计607万元。与上年相比，收、支总计各减少5.33万元，减少0.87%，变动原因：主要为根据工作完成情况，律师费等部分项目经费结转至下年度。</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五、财政拨款支出决算情况说明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2023年度财政拨款支出决算607万元，占本年支出合计的100%。与2023年度财政拨款支出年初预算544.15万元相比，完成年初预算的111.55%。其中：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（一）社会保障和就业支出（类）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行政事业单位养老支出（款）行政单位离退休（项）。年初预算0.57万元，支出决算0.57万元，完成年初预算的100%。决算数与年初预算数相同。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（二）卫生健康支出（类）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行政事业单位医疗（款）公务员医疗补助（项）。年初预算4.61万元，支出决算4.61万元，完成年初预算的100%。决算数与年初预算数相同。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（三）城乡社区支出（类）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1.城乡社区管理事务（款）行政运行（项）。年初预算297.38万元，支出决算365.29万元，完成年初预算的122.84%。决算数与年初预算数的差异原因：决算数增加了应休未休年假费、考核奖等，年初预算未含。</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城乡社区管理事务（款）工程建设管理（项）。年初预算123.45万元，支出决算118.39万元，完成年初预算的95.9%。决算数与年初预算数的差异原因：主要为根据工作完成情况，律师费等部分项目经费结转至下年度。</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（四）住房保障支出（类）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1.住房改革支出（款）住房公积金（项）。年初预算28.34万元，支出决算28.34万元，完成年初预算的100%。决算数与年初预算数相同。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2.住房改革支出（款）提租补贴（项）。年初预算65.84万元，支出决算65.84万元，完成年初预算的100%。决算数与年初预算数相同。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3.住房改革支出（款）购房补贴（项）。年初预算23.96万元，支出决算23.96万元，完成年初预算的100%。决算数与年初预算数相同。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六、财政拨款基本支出决算情况说明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2023年度财政拨款基本支出决算488.61万元，其中：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（一）人员经费458.36万元。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基本工资、津贴补贴、奖金、机关事业单位基本养老保险缴费、职业年金缴费、职工基本医疗保险缴费、公务员医疗补助缴费、住房公积金、其他工资福利支出、退休费、生活补助、其他对个人和家庭的补助。</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（二）公用经费30.25万元。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主要包括：办公费、水费、差旅费、会议费、培训费、公务接待费、工会经费、其他交通费用。</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七、一般公共预算支出决算情况说明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2023年度一般公共预算财政拨款支出决算607万元。与上年相比，减少5.33万元，减少0.87%，变动原因：主要为根据工作完成情况，律师费等部分项目经费结转至下年度。</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八、一般公共预算基本支出决算情况说明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2023年度一般公共预算财政拨款基本支出决算488.61万元，其中：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（一）人员经费458.36万元。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基本工资、津贴补贴、奖金、机关事业单位基本养老保险缴费、职业年金缴费、职工基本医疗保险缴费、公务员医疗补助缴费、住房公积金、其他工资福利支出、退休费、生活补助、其他对个人和家庭的补助。</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（二）公用经费30.25万元。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主要包括：办公费、水费、差旅费、会议费、培训费、公务接待费、工会经费、其他交通费用。</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九、财政拨款“三公”经费、会议费、培训费支出情况说明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（一）财政拨款“三公”经费支出总体情况说明。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三公”经费支出决算0.45万元（其中：一般公共预算支出0.45万元；政府性基金预算支出0万元；国有资本经营预算支出0万元）。与上年相比，增加0.45万元，变动原因：按工作需要，增加业务招待支出0.45万元。其中，因公出国（境）费支出0万元，占“三公”经费的0%；公务用车购置及运行维护费支出0万元，占“三公”经费的0%；公务接待费支出0.45万元，占“三公”经费的100%。2023年度财政拨款“三公”经费支出预算0.45万元（其中：一般公共预算支出0.45万元；政府性基金预算支出0万元；国有资本经营预算支出0万元）。</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（二）财政拨款“三公”经费支出具体情况说明。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公务用车购置及运行维护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公务用车运行维护费支出决算0万元。公务用车运行维护费主要用于按规定保留的公务用车的燃料费、维修费、过桥过路费、保险费、安全奖励费用等支出。截至2023年12月31日，使用财政拨款开支的公务用车保有量为0辆。</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公务接待费支出预算0.45万元（其中：一般公共预算支出0.45万元；政府性基金预算支出0万元；国有资本经营预算支出0万元），支出决算0.45万元（其中：一般公共预算支出0.45万元；政府性基金预算支出0万元；国有资本经营预算支出0万元），完成调整后预算的100%，决算数与预算数相同。其中：国内公务接待支出0.45万元，接待1批次，10人次，开支内容：来访对接工作人员的工作餐费等；国（境）外公务接待支出0万元，接待0批次，0人次。</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（三）财政拨款会议费支出决算情况说明。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会议费支出预算1.64万元（其中：一般公共预算支出1.64万元；政府性基金预算支出0万元；国有资本经营预算支出0万元），支出决算1.64万元（其中：一般公共预算支出1.64万元；政府性基金预算支出0万元；国有资本经营预算支出0万元），完成调整后预算的100%，决算数与预算数相同。2023年度全年召开会议4个，参加会议48人次，开支内容：征收业务工作会议租场费、会务费等。</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（四）财政拨款培训费支出决算情况说明。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培训费支出预算5.01万元（其中：一般公共预算支出5.01万元；政府性基金预算支出0万元；国有资本经营预算支出0万元），支出决算5.01万元（其中：一般公共预算支出5.01万元；政府性基金预算支出0万元；国有资本经营预算支出0万元），完成调整后预算的100%，决算数与预算数相同。2023年度全年组织培训4个，组织培训1244人次，开支内容：主要为组织征收工作人员、劳务公司人员业务培训租场费、授课费等。</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十、政府性基金预算财政拨款支出决算情况说明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2023年度政府性基金预算财政拨款支出决算0万元。与上年决算数相同。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十一、国有资本经营预算财政拨款支出决算情况说明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十二、财政拨款机关运行经费支出决算情况说明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机关运行经费支出决算30.25万元（其中：一般公共预算支出30.25万元；政府性基金预算支出0万元；国有资本经营预算支出0万元）。与上年相比，增加2.32万元，增长8.31%，变动原因：根据常委[2023]197号文，调入本中心主任一名，增加相应运行经费。</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十三、政府采购支出决算情况说明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政府采购支出总额1.85万元，其中：政府采购货物支出0.62万元、政府采购工程支出0万元、政府采购服务支出1.24万元。政府采购授予中小企业合同金额0万元，占政府采购支出总额的0%，其中：授予小微企业合同金额0万元。</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十四、国有资产占用情况说明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截至2023年12月31日，本单位共有车辆0辆，其中：副部(省)级及以上领导用车0辆、主要领导干部用车0辆、机要通信用车0辆、应急保障用车0辆、执法执勤用车0辆、特种专业技术用车0辆、离退休干部用车0辆、其他用车0辆；单价50万元（含）以上的通用设备0台（套），单价100万元（含）以上的专用设备0台（套）。</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十五、预算绩效评价工作开展情况</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本单位共对2023年度已实施完成的5个项目开展了绩效自评价，涉及财政性资金合计118.39万元；本单位共开展1项单位整体支出绩效自评价，涉及财政性资金合计607万元。</w:t>
      </w:r>
      <w:r>
        <w:rPr>
          <w:rFonts w:ascii="仿宋" w:hAnsi="仿宋" w:cs="仿宋" w:eastAsia="仿宋"/>
        </w:rPr>
        <w:t/>
      </w:r>
    </w:p>
    <w:p>
      <w:pPr>
        <w:pStyle w:val="5"/>
        <w:tabs>
          <w:tab w:val="left" w:pos="3077"/>
        </w:tabs>
        <w:spacing w:line="616" w:lineRule="exact"/>
        <w:jc w:val="center"/>
        <w:outlineLvl w:val="0"/>
        <w:rPr>
          <w:rFonts w:hint="eastAsia" w:ascii="宋体" w:hAnsi="宋体" w:eastAsia="宋体" w:cs="宋体"/>
          <w:b/>
          <w:bCs/>
          <w:sz w:val="36"/>
          <w:szCs w:val="36"/>
        </w:rPr>
      </w:pPr>
      <w:r>
        <w:rPr>
          <w:rFonts w:hint="eastAsia" w:ascii="宋体" w:hAnsi="宋体" w:eastAsia="宋体" w:cs="宋体"/>
          <w:b/>
          <w:bCs/>
          <w:sz w:val="36"/>
          <w:szCs w:val="36"/>
        </w:rPr>
        <w:t>第四部分 名词</w:t>
      </w:r>
      <w:r>
        <w:rPr>
          <w:rFonts w:hint="eastAsia" w:ascii="宋体" w:hAnsi="宋体" w:eastAsia="宋体" w:cs="宋体"/>
          <w:b/>
          <w:bCs/>
          <w:color w:val="000000"/>
          <w:kern w:val="0"/>
          <w:sz w:val="36"/>
          <w:szCs w:val="36"/>
          <w:lang w:val="zh-CN" w:eastAsia="ar-SA" w:bidi="zh-CN"/>
        </w:rPr>
        <w:t>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一、财政拨款收入</w:t>
      </w:r>
      <w:r>
        <w:rPr>
          <w:rFonts w:ascii="仿宋" w:hAnsi="仿宋" w:cs="仿宋" w:eastAsia="仿宋"/>
          <w:b w:val="true"/>
        </w:rPr>
        <w:t>：</w:t>
      </w:r>
      <w:r>
        <w:rPr>
          <w:rFonts w:hint="eastAsia" w:ascii="仿宋" w:hAnsi="仿宋" w:eastAsia="仿宋" w:cs="仿宋"/>
        </w:rPr>
        <w:t>指单位从同级财政部门取得的各类财政拨款，包括一般公共预算财政拨款、政府性基金预算财政拨款、国有资本经营预算财政拨款。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二、上级补助收入</w:t>
      </w:r>
      <w:r>
        <w:rPr>
          <w:rFonts w:ascii="仿宋" w:hAnsi="仿宋" w:cs="仿宋" w:eastAsia="仿宋"/>
          <w:b w:val="true"/>
        </w:rPr>
        <w:t>：</w:t>
      </w:r>
      <w:r>
        <w:rPr>
          <w:rFonts w:hint="eastAsia" w:ascii="仿宋" w:hAnsi="仿宋" w:eastAsia="仿宋" w:cs="仿宋"/>
        </w:rPr>
        <w:t>指事业单位从主管部门和上级单位取得的非财政补助收入。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三、财政专户管理教育收费</w:t>
      </w:r>
      <w:r>
        <w:rPr>
          <w:rFonts w:ascii="仿宋" w:hAnsi="仿宋" w:cs="仿宋" w:eastAsia="仿宋"/>
          <w:b w:val="true"/>
        </w:rPr>
        <w:t>：</w:t>
      </w:r>
      <w:r>
        <w:rPr>
          <w:rFonts w:hint="eastAsia" w:ascii="仿宋" w:hAnsi="仿宋" w:eastAsia="仿宋" w:cs="仿宋"/>
        </w:rPr>
        <w:t>指缴入财政专户、实行专项管理的高中以上学费、住宿费、高校委托培养费、函大、电大、夜大及短训班培训费等教育收费。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四、事业收入</w:t>
      </w:r>
      <w:r>
        <w:rPr>
          <w:rFonts w:ascii="仿宋" w:hAnsi="仿宋" w:cs="仿宋" w:eastAsia="仿宋"/>
          <w:b w:val="true"/>
        </w:rPr>
        <w:t>：</w:t>
      </w:r>
      <w:r>
        <w:rPr>
          <w:rFonts w:hint="eastAsia" w:ascii="仿宋" w:hAnsi="仿宋" w:eastAsia="仿宋" w:cs="仿宋"/>
        </w:rPr>
        <w:t>指事业单位开展专业业务活动及其辅助活动取得的收入。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五、经营收入</w:t>
      </w:r>
      <w:r>
        <w:rPr>
          <w:rFonts w:ascii="仿宋" w:hAnsi="仿宋" w:cs="仿宋" w:eastAsia="仿宋"/>
          <w:b w:val="true"/>
        </w:rPr>
        <w:t>：</w:t>
      </w:r>
      <w:r>
        <w:rPr>
          <w:rFonts w:hint="eastAsia" w:ascii="仿宋" w:hAnsi="仿宋" w:eastAsia="仿宋" w:cs="仿宋"/>
        </w:rPr>
        <w:t>指事业单位在专业业务活动及其辅助活动之外开展非独立核算经营活动取得的收入。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六、附属单位上缴收入</w:t>
      </w:r>
      <w:r>
        <w:rPr>
          <w:rFonts w:ascii="仿宋" w:hAnsi="仿宋" w:cs="仿宋" w:eastAsia="仿宋"/>
          <w:b w:val="true"/>
        </w:rPr>
        <w:t>：</w:t>
      </w:r>
      <w:r>
        <w:rPr>
          <w:rFonts w:hint="eastAsia" w:ascii="仿宋" w:hAnsi="仿宋" w:eastAsia="仿宋" w:cs="仿宋"/>
        </w:rPr>
        <w:t>指事业单位附属独立核算单位按照有关规定上缴的收入。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七、其他收入</w:t>
      </w:r>
      <w:r>
        <w:rPr>
          <w:rFonts w:ascii="仿宋" w:hAnsi="仿宋" w:cs="仿宋" w:eastAsia="仿宋"/>
          <w:b w:val="true"/>
        </w:rPr>
        <w:t>：</w:t>
      </w:r>
      <w:r>
        <w:rPr>
          <w:rFonts w:hint="eastAsia" w:ascii="仿宋" w:hAnsi="仿宋" w:eastAsia="仿宋" w:cs="仿宋"/>
        </w:rPr>
        <w:t>指单位取得的除上述“财政拨款收入”、 “上级补助收入”、“事业收入”、“经营收入”、“附属单位上缴收入”等以外的各项收入。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八、使用非财政拨款结余</w:t>
      </w:r>
      <w:r>
        <w:rPr>
          <w:rFonts w:ascii="仿宋" w:hAnsi="仿宋" w:cs="仿宋" w:eastAsia="仿宋"/>
          <w:b w:val="true"/>
        </w:rPr>
        <w:t>：</w:t>
      </w:r>
      <w:r>
        <w:rPr>
          <w:rFonts w:hint="eastAsia" w:ascii="仿宋" w:hAnsi="仿宋" w:eastAsia="仿宋" w:cs="仿宋"/>
        </w:rPr>
        <w:t>指事业单位按照预算管理要求使用非财政拨款结余（原事业基金）弥补当年收支差额的数额。</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九、年初结转和结余</w:t>
      </w:r>
      <w:r>
        <w:rPr>
          <w:rFonts w:ascii="仿宋" w:hAnsi="仿宋" w:cs="仿宋" w:eastAsia="仿宋"/>
          <w:b w:val="true"/>
        </w:rPr>
        <w:t>：</w:t>
      </w:r>
      <w:r>
        <w:rPr>
          <w:rFonts w:hint="eastAsia" w:ascii="仿宋" w:hAnsi="仿宋" w:eastAsia="仿宋" w:cs="仿宋"/>
        </w:rPr>
        <w:t>指单位上年结转本年使用的基本支出结转、项目支出结转和结余、经营结余。</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十、结余分配</w:t>
      </w:r>
      <w:r>
        <w:rPr>
          <w:rFonts w:ascii="仿宋" w:hAnsi="仿宋" w:cs="仿宋" w:eastAsia="仿宋"/>
          <w:b w:val="true"/>
        </w:rPr>
        <w:t>：</w:t>
      </w:r>
      <w:r>
        <w:rPr>
          <w:rFonts w:hint="eastAsia" w:ascii="仿宋" w:hAnsi="仿宋" w:eastAsia="仿宋" w:cs="仿宋"/>
        </w:rPr>
        <w:t>指事业单位按规定缴纳的所得税以及从非财政拨款结余中提取各类结余的情况。</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十一、年末结转和结余资金</w:t>
      </w:r>
      <w:r>
        <w:rPr>
          <w:rFonts w:ascii="仿宋" w:hAnsi="仿宋" w:cs="仿宋" w:eastAsia="仿宋"/>
          <w:b w:val="true"/>
        </w:rPr>
        <w:t>：</w:t>
      </w:r>
      <w:r>
        <w:rPr>
          <w:rFonts w:hint="eastAsia" w:ascii="仿宋" w:hAnsi="仿宋" w:eastAsia="仿宋" w:cs="仿宋"/>
        </w:rPr>
        <w:t>指单位结转下年的基本支出结转、项目支出结转和结余、经营结余。</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十二、基本支出</w:t>
      </w:r>
      <w:r>
        <w:rPr>
          <w:rFonts w:ascii="仿宋" w:hAnsi="仿宋" w:cs="仿宋" w:eastAsia="仿宋"/>
          <w:b w:val="true"/>
        </w:rPr>
        <w:t>：</w:t>
      </w:r>
      <w:r>
        <w:rPr>
          <w:rFonts w:hint="eastAsia" w:ascii="仿宋" w:hAnsi="仿宋" w:eastAsia="仿宋" w:cs="仿宋"/>
        </w:rPr>
        <w:t>指为保障机构正常运转、完成日常工作任务所发生的支出，包括人员经费和公用经费。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十三、项目支出</w:t>
      </w:r>
      <w:r>
        <w:rPr>
          <w:rFonts w:ascii="仿宋" w:hAnsi="仿宋" w:cs="仿宋" w:eastAsia="仿宋"/>
          <w:b w:val="true"/>
        </w:rPr>
        <w:t>：</w:t>
      </w:r>
      <w:r>
        <w:rPr>
          <w:rFonts w:hint="eastAsia" w:ascii="仿宋" w:hAnsi="仿宋" w:eastAsia="仿宋" w:cs="仿宋"/>
        </w:rPr>
        <w:t>指在为完成特定的工作任务和事业发展目标所发生的支出。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十四、上缴上级支出</w:t>
      </w:r>
      <w:r>
        <w:rPr>
          <w:rFonts w:ascii="仿宋" w:hAnsi="仿宋" w:cs="仿宋" w:eastAsia="仿宋"/>
          <w:b w:val="true"/>
        </w:rPr>
        <w:t>：</w:t>
      </w:r>
      <w:r>
        <w:rPr>
          <w:rFonts w:hint="eastAsia" w:ascii="仿宋" w:hAnsi="仿宋" w:eastAsia="仿宋" w:cs="仿宋"/>
        </w:rPr>
        <w:t>指事业单位按照财政部门和主管部门的规定上缴上级单位的支出。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十五、经营支出</w:t>
      </w:r>
      <w:r>
        <w:rPr>
          <w:rFonts w:ascii="仿宋" w:hAnsi="仿宋" w:cs="仿宋" w:eastAsia="仿宋"/>
          <w:b w:val="true"/>
        </w:rPr>
        <w:t>：</w:t>
      </w:r>
      <w:r>
        <w:rPr>
          <w:rFonts w:hint="eastAsia" w:ascii="仿宋" w:hAnsi="仿宋" w:eastAsia="仿宋" w:cs="仿宋"/>
        </w:rPr>
        <w:t>指事业单位在专业业务活动及其辅助活动之外开展非独立核算经营活动发生的支出。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十六、对附属单位补助支出</w:t>
      </w:r>
      <w:r>
        <w:rPr>
          <w:rFonts w:ascii="仿宋" w:hAnsi="仿宋" w:cs="仿宋" w:eastAsia="仿宋"/>
          <w:b w:val="true"/>
        </w:rPr>
        <w:t>：</w:t>
      </w:r>
      <w:r>
        <w:rPr>
          <w:rFonts w:hint="eastAsia" w:ascii="仿宋" w:hAnsi="仿宋" w:eastAsia="仿宋" w:cs="仿宋"/>
        </w:rPr>
        <w:t>指事业单位用财政拨款收入之外的收入对附属单位补助发生的支出。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十七、“三公”经费</w:t>
      </w:r>
      <w:r>
        <w:rPr>
          <w:rFonts w:ascii="仿宋" w:hAnsi="仿宋" w:cs="仿宋" w:eastAsia="仿宋"/>
          <w:b w:val="true"/>
        </w:rPr>
        <w:t>：</w:t>
      </w:r>
      <w:r>
        <w:rPr>
          <w:rFonts w:hint="eastAsia" w:ascii="仿宋" w:hAnsi="仿宋" w:eastAsia="仿宋" w:cs="仿宋"/>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十八、机关运行经费</w:t>
      </w:r>
      <w:r>
        <w:rPr>
          <w:rFonts w:ascii="仿宋" w:hAnsi="仿宋" w:cs="仿宋" w:eastAsia="仿宋"/>
          <w:b w:val="true"/>
        </w:rPr>
        <w:t>：</w:t>
      </w:r>
      <w:r>
        <w:rPr>
          <w:rFonts w:hint="eastAsia" w:ascii="仿宋" w:hAnsi="仿宋" w:eastAsia="仿宋" w:cs="仿宋"/>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十九、社会保障和就业支出(类)行政事业单位养老支出(款)行政单位离退休(项)</w:t>
      </w:r>
      <w:r>
        <w:rPr>
          <w:rFonts w:ascii="仿宋" w:hAnsi="仿宋" w:cs="仿宋" w:eastAsia="仿宋"/>
          <w:b w:val="true"/>
        </w:rPr>
        <w:t>：</w:t>
      </w:r>
      <w:r>
        <w:rPr>
          <w:rFonts w:hint="eastAsia" w:ascii="仿宋" w:hAnsi="仿宋" w:eastAsia="仿宋" w:cs="仿宋"/>
        </w:rPr>
        <w:t>反映行政单位（包括实行公务员管理的事业单位）开支的离退休经费。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二十、卫生健康支出(类)行政事业单位医疗(款)公务员医疗补助(项)</w:t>
      </w:r>
      <w:r>
        <w:rPr>
          <w:rFonts w:ascii="仿宋" w:hAnsi="仿宋" w:cs="仿宋" w:eastAsia="仿宋"/>
          <w:b w:val="true"/>
        </w:rPr>
        <w:t>：</w:t>
      </w:r>
      <w:r>
        <w:rPr>
          <w:rFonts w:hint="eastAsia" w:ascii="仿宋" w:hAnsi="仿宋" w:eastAsia="仿宋" w:cs="仿宋"/>
        </w:rPr>
        <w:t>反映财政部门安排的公务员医疗补助经费。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二十一、城乡社区支出(类)城乡社区管理事务(款)行政运行(项)</w:t>
      </w:r>
      <w:r>
        <w:rPr>
          <w:rFonts w:ascii="仿宋" w:hAnsi="仿宋" w:cs="仿宋" w:eastAsia="仿宋"/>
          <w:b w:val="true"/>
        </w:rPr>
        <w:t>：</w:t>
      </w:r>
      <w:r>
        <w:rPr>
          <w:rFonts w:hint="eastAsia" w:ascii="仿宋" w:hAnsi="仿宋" w:eastAsia="仿宋" w:cs="仿宋"/>
        </w:rPr>
        <w:t>反映行政单位（包括实行公务员管理的事业单位）的基本支出。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二十二、城乡社区支出(类)城乡社区管理事务(款)工程建设管理(项)</w:t>
      </w:r>
      <w:r>
        <w:rPr>
          <w:rFonts w:ascii="仿宋" w:hAnsi="仿宋" w:cs="仿宋" w:eastAsia="仿宋"/>
          <w:b w:val="true"/>
        </w:rPr>
        <w:t>：</w:t>
      </w:r>
      <w:r>
        <w:rPr>
          <w:rFonts w:hint="eastAsia" w:ascii="仿宋" w:hAnsi="仿宋" w:eastAsia="仿宋" w:cs="仿宋"/>
        </w:rPr>
        <w:t>反映调控建设市场运行、拟定建设市场法规、实施建筑工程质量、安全、工程勘察设计监管等方面的支出。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二十三、住房保障支出(类)住房改革支出(款)住房公积金(项)</w:t>
      </w:r>
      <w:r>
        <w:rPr>
          <w:rFonts w:ascii="仿宋" w:hAnsi="仿宋" w:cs="仿宋" w:eastAsia="仿宋"/>
          <w:b w:val="true"/>
        </w:rPr>
        <w:t>：</w:t>
      </w:r>
      <w:r>
        <w:rPr>
          <w:rFonts w:hint="eastAsia" w:ascii="仿宋" w:hAnsi="仿宋" w:eastAsia="仿宋" w:cs="仿宋"/>
        </w:rPr>
        <w:t>反映行政事业单位按人力资源和社会保障部、财政部规定的基本工资和津贴补贴以及规定比例为职工缴纳的住房公积金。</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二十四、住房保障支出(类)住房改革支出(款)提租补贴(项)</w:t>
      </w:r>
      <w:r>
        <w:rPr>
          <w:rFonts w:ascii="仿宋" w:hAnsi="仿宋" w:cs="仿宋" w:eastAsia="仿宋"/>
          <w:b w:val="true"/>
        </w:rPr>
        <w:t>：</w:t>
      </w:r>
      <w:r>
        <w:rPr>
          <w:rFonts w:hint="eastAsia" w:ascii="仿宋" w:hAnsi="仿宋" w:eastAsia="仿宋" w:cs="仿宋"/>
        </w:rPr>
        <w:t>反映按房改政策规定的标准，行政事业单位向职工（含离退休人员）发放的租金补贴。</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二十五、住房保障支出(类)住房改革支出(款)购房补贴(项)</w:t>
      </w:r>
      <w:r>
        <w:rPr>
          <w:rFonts w:ascii="仿宋" w:hAnsi="仿宋" w:cs="仿宋" w:eastAsia="仿宋"/>
          <w:b w:val="true"/>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440" w:right="1080" w:bottom="1440" w:left="1080"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rPr>
      <w:t>常州市房屋征收与补偿管理中心</w:t>
    </w:r>
    <w:bookmarkStart w:id="0" w:name="_GoBack"/>
    <w:bookmarkEnd w:id="0"/>
    <w:r>
      <w:t>2023</w:t>
    </w:r>
    <w:r>
      <w:rPr>
        <w:rFonts w:hint="eastAsia"/>
        <w:lang w:val="en-US" w:eastAsia="zh-CN"/>
      </w:rPr>
      <w:t>年度</w:t>
    </w:r>
    <w:r>
      <w:t>单位</w:t>
    </w:r>
    <w:r>
      <w:t>决算公开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000000"/>
    <w:rsid w:val="00064984"/>
    <w:rsid w:val="00071789"/>
    <w:rsid w:val="000C024B"/>
    <w:rsid w:val="000F12AB"/>
    <w:rsid w:val="001C31F9"/>
    <w:rsid w:val="002E63B1"/>
    <w:rsid w:val="00407CA7"/>
    <w:rsid w:val="00413AD8"/>
    <w:rsid w:val="004C0647"/>
    <w:rsid w:val="00671ED7"/>
    <w:rsid w:val="00672164"/>
    <w:rsid w:val="006732F1"/>
    <w:rsid w:val="007C0F2D"/>
    <w:rsid w:val="008322BB"/>
    <w:rsid w:val="00867423"/>
    <w:rsid w:val="008B5B05"/>
    <w:rsid w:val="009965EA"/>
    <w:rsid w:val="00A6752E"/>
    <w:rsid w:val="00B92181"/>
    <w:rsid w:val="00BD7F33"/>
    <w:rsid w:val="00C15920"/>
    <w:rsid w:val="00C8258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theme/theme1.xml" Type="http://schemas.openxmlformats.org/officeDocument/2006/relationships/theme"/><Relationship Id="rId2" Target="settings.xml" Type="http://schemas.openxmlformats.org/officeDocument/2006/relationships/settings"/><Relationship Id="rId20" Target="../customXml/item1.xml" Type="http://schemas.openxmlformats.org/officeDocument/2006/relationships/customXml"/><Relationship Id="rId21" Target="fontTable.xml" Type="http://schemas.openxmlformats.org/officeDocument/2006/relationships/fontTable"/><Relationship Id="rId22" Target="media/image1.jpeg" Type="http://schemas.openxmlformats.org/officeDocument/2006/relationships/image"/><Relationship Id="rId23"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2732</Words>
  <Characters>7627</Characters>
  <Paragraphs>501</Paragraphs>
  <TotalTime>7</TotalTime>
  <ScaleCrop>false</ScaleCrop>
  <LinksUpToDate>false</LinksUpToDate>
  <CharactersWithSpaces>7648</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CC.</cp:lastModifiedBy>
  <dcterms:modified xsi:type="dcterms:W3CDTF">2024-06-18T07:55:31Z</dcterms:modified>
  <cp:revision>175</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