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6E012F">
        <w:trPr>
          <w:trHeight w:val="3592"/>
        </w:trPr>
        <w:tc>
          <w:tcPr>
            <w:tcW w:w="10402" w:type="dxa"/>
            <w:tcBorders>
              <w:top w:val="nil"/>
              <w:left w:val="nil"/>
              <w:bottom w:val="nil"/>
              <w:right w:val="nil"/>
            </w:tcBorders>
          </w:tcPr>
          <w:p w:rsidR="006E012F" w:rsidRDefault="006E012F">
            <w:pPr>
              <w:pStyle w:val="a4"/>
              <w:spacing w:line="360" w:lineRule="auto"/>
              <w:rPr>
                <w:rFonts w:ascii="仿宋" w:eastAsia="仿宋" w:hAnsi="仿宋" w:cs="仿宋"/>
                <w:b/>
                <w:bCs/>
                <w:color w:val="FF0000"/>
                <w:sz w:val="22"/>
                <w:szCs w:val="22"/>
              </w:rPr>
            </w:pPr>
          </w:p>
        </w:tc>
      </w:tr>
      <w:tr w:rsidR="006E012F">
        <w:trPr>
          <w:trHeight w:val="4945"/>
        </w:trPr>
        <w:tc>
          <w:tcPr>
            <w:tcW w:w="10402" w:type="dxa"/>
            <w:tcBorders>
              <w:top w:val="nil"/>
              <w:left w:val="nil"/>
              <w:bottom w:val="nil"/>
              <w:right w:val="nil"/>
            </w:tcBorders>
          </w:tcPr>
          <w:p w:rsidR="006E012F" w:rsidRDefault="001A01FA">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常州市住房保障中心</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单位决算公开</w:t>
            </w:r>
          </w:p>
        </w:tc>
      </w:tr>
    </w:tbl>
    <w:p w:rsidR="006E012F" w:rsidRDefault="006E012F">
      <w:pPr>
        <w:ind w:rightChars="129" w:right="298"/>
        <w:jc w:val="both"/>
        <w:rPr>
          <w:rFonts w:ascii="宋体" w:eastAsia="宋体" w:hAnsi="宋体" w:cs="宋体"/>
          <w:b/>
          <w:bCs/>
          <w:sz w:val="52"/>
          <w:szCs w:val="52"/>
        </w:rPr>
        <w:sectPr w:rsidR="006E012F">
          <w:headerReference w:type="default" r:id="rId7"/>
          <w:headerReference w:type="first" r:id="rId8"/>
          <w:pgSz w:w="11906" w:h="16838"/>
          <w:pgMar w:top="1580" w:right="700" w:bottom="770" w:left="1020" w:header="170" w:footer="280" w:gutter="0"/>
          <w:cols w:space="720"/>
          <w:formProt w:val="0"/>
          <w:titlePg/>
          <w:docGrid w:linePitch="100"/>
        </w:sectPr>
      </w:pPr>
    </w:p>
    <w:p w:rsidR="006E012F" w:rsidRDefault="006E012F">
      <w:pPr>
        <w:pStyle w:val="a4"/>
        <w:spacing w:before="4"/>
        <w:rPr>
          <w:rFonts w:ascii="华文仿宋" w:eastAsia="华文仿宋" w:hAnsi="华文仿宋" w:cs="仿宋"/>
          <w:sz w:val="10"/>
        </w:rPr>
      </w:pPr>
    </w:p>
    <w:p w:rsidR="006E012F" w:rsidRDefault="001A01FA">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6E012F" w:rsidRDefault="006E012F">
      <w:pPr>
        <w:pStyle w:val="a4"/>
        <w:spacing w:before="7"/>
        <w:rPr>
          <w:rFonts w:ascii="仿宋" w:eastAsia="仿宋" w:hAnsi="仿宋" w:cs="仿宋"/>
          <w:sz w:val="27"/>
        </w:rPr>
      </w:pPr>
    </w:p>
    <w:p w:rsidR="006E012F" w:rsidRDefault="001A01FA">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6E012F" w:rsidRDefault="001A01FA">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6E012F" w:rsidRDefault="001A01FA">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6E012F" w:rsidRDefault="001A01FA">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6E012F" w:rsidRDefault="001A01FA">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6E012F" w:rsidRDefault="001A01FA">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6E012F" w:rsidRDefault="001A01FA">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6E012F" w:rsidRDefault="001A01FA">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6E012F" w:rsidRDefault="001A01FA">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6E012F" w:rsidRDefault="001A01FA">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6E012F" w:rsidRDefault="001A01FA">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6E012F" w:rsidRDefault="001A01FA">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6E012F" w:rsidRDefault="001A01FA">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6E012F" w:rsidRDefault="001A01FA">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6E012F" w:rsidRDefault="001A01FA">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6E012F" w:rsidRDefault="001A01FA">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6E012F" w:rsidRDefault="001A01FA">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6E012F" w:rsidRDefault="001A01FA">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6E012F" w:rsidRDefault="001A01FA">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6E012F" w:rsidRDefault="006E012F">
      <w:pPr>
        <w:pStyle w:val="a4"/>
        <w:spacing w:line="235" w:lineRule="auto"/>
        <w:ind w:leftChars="300" w:left="702" w:right="2414" w:hanging="9"/>
        <w:jc w:val="both"/>
        <w:rPr>
          <w:rFonts w:ascii="仿宋" w:eastAsia="仿宋" w:hAnsi="仿宋" w:cs="仿宋"/>
        </w:rPr>
        <w:sectPr w:rsidR="006E012F">
          <w:footerReference w:type="default" r:id="rId9"/>
          <w:pgSz w:w="11906" w:h="16838"/>
          <w:pgMar w:top="1580" w:right="700" w:bottom="770" w:left="1020" w:header="283" w:footer="280" w:gutter="0"/>
          <w:pgNumType w:fmt="numberInDash" w:start="1"/>
          <w:cols w:space="720"/>
          <w:formProt w:val="0"/>
          <w:docGrid w:linePitch="100"/>
        </w:sectPr>
      </w:pPr>
    </w:p>
    <w:p w:rsidR="006E012F" w:rsidRDefault="006E012F">
      <w:pPr>
        <w:pStyle w:val="a4"/>
        <w:spacing w:before="1"/>
        <w:rPr>
          <w:rFonts w:ascii="华文仿宋" w:eastAsia="华文仿宋" w:hAnsi="华文仿宋" w:cs="仿宋"/>
          <w:sz w:val="14"/>
        </w:rPr>
      </w:pPr>
    </w:p>
    <w:p w:rsidR="006E012F" w:rsidRDefault="001A01FA">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6E012F" w:rsidRDefault="006E012F">
      <w:pPr>
        <w:ind w:rightChars="229" w:right="529"/>
        <w:jc w:val="both"/>
      </w:pPr>
    </w:p>
    <w:p w:rsidR="006E012F" w:rsidRDefault="001A01FA">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我单位是经编制办批准设立的差额拨款全民事业单位，隶属于常州市住房和城乡建设局管理，主要负责权限范围内住房保障对象服务和政府保障实物房源管理等工作，承担物业管理相关工作。主要职责是：承担住房保障对象的资格认定、房源分配、补贴发放等工作；承担保障性住房实物资源的维护管理等工作；承担保障性住房收储等事务性管理工作；承担市区（不含金坛区、武进区、常州经开区）住宅专项维修资金、物业保修金的归集、拨付、核算等事务性工作</w:t>
      </w:r>
      <w:r>
        <w:rPr>
          <w:rFonts w:ascii="仿宋" w:eastAsia="仿宋" w:hAnsi="仿宋" w:cs="仿宋"/>
        </w:rPr>
        <w:t>;</w:t>
      </w:r>
      <w:r>
        <w:rPr>
          <w:rFonts w:ascii="仿宋" w:eastAsia="仿宋" w:hAnsi="仿宋" w:cs="仿宋"/>
        </w:rPr>
        <w:t>承担对市区住宅维修专项资金、物业保修金使用的指导、监督和考核等日常工作；承担市区住宅专项维修资金监督</w:t>
      </w:r>
      <w:r>
        <w:rPr>
          <w:rFonts w:ascii="仿宋" w:eastAsia="仿宋" w:hAnsi="仿宋" w:cs="仿宋"/>
        </w:rPr>
        <w:t>委员会日常事务和决策事项的执行；参与拟订物业管理等方面的政策；参与物业管理考评、</w:t>
      </w:r>
      <w:r>
        <w:rPr>
          <w:rFonts w:ascii="仿宋" w:eastAsia="仿宋" w:hAnsi="仿宋" w:cs="仿宋"/>
        </w:rPr>
        <w:t>“</w:t>
      </w:r>
      <w:r>
        <w:rPr>
          <w:rFonts w:ascii="仿宋" w:eastAsia="仿宋" w:hAnsi="仿宋" w:cs="仿宋"/>
        </w:rPr>
        <w:t>双随机</w:t>
      </w:r>
      <w:r>
        <w:rPr>
          <w:rFonts w:ascii="仿宋" w:eastAsia="仿宋" w:hAnsi="仿宋" w:cs="仿宋"/>
        </w:rPr>
        <w:t>”</w:t>
      </w:r>
      <w:r>
        <w:rPr>
          <w:rFonts w:ascii="仿宋" w:eastAsia="仿宋" w:hAnsi="仿宋" w:cs="仿宋"/>
        </w:rPr>
        <w:t>抽查等工作；协助开展物业管理业务培训；开展市区老旧小区改造、既有住宅加装电梯和宜居住区建设等事务性工作；指导溧阳区、武进区、金坛区、常州经开区开展老旧小区改造、既有住宅加装电梯和宜居住区建设等工作。</w:t>
      </w:r>
    </w:p>
    <w:p w:rsidR="006E012F" w:rsidRPr="00CF349C" w:rsidRDefault="001A01FA">
      <w:pPr>
        <w:pStyle w:val="a4"/>
        <w:spacing w:line="360" w:lineRule="auto"/>
        <w:ind w:leftChars="200" w:left="462" w:rightChars="229" w:right="529" w:firstLine="658"/>
        <w:jc w:val="both"/>
        <w:outlineLvl w:val="1"/>
        <w:rPr>
          <w:rFonts w:ascii="黑体" w:eastAsia="黑体" w:hAnsi="黑体" w:cs="黑体"/>
          <w:lang w:val="en-US"/>
        </w:rPr>
      </w:pPr>
      <w:r>
        <w:rPr>
          <w:rFonts w:ascii="黑体" w:eastAsia="黑体" w:hAnsi="黑体" w:cs="黑体" w:hint="eastAsia"/>
        </w:rPr>
        <w:t>二、</w:t>
      </w:r>
      <w:r w:rsidRPr="00CF349C">
        <w:rPr>
          <w:rFonts w:ascii="黑体" w:eastAsia="黑体" w:hAnsi="黑体" w:cs="黑体" w:hint="eastAsia"/>
          <w:lang w:val="en-US"/>
        </w:rPr>
        <w:t>单位</w:t>
      </w:r>
      <w:r>
        <w:rPr>
          <w:rFonts w:ascii="黑体" w:eastAsia="黑体" w:hAnsi="黑体" w:cs="黑体" w:hint="eastAsia"/>
        </w:rPr>
        <w:t>机构设置及决算单位构成情况</w:t>
      </w:r>
    </w:p>
    <w:p w:rsidR="006E012F" w:rsidRPr="00CF349C"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sidRPr="00CF349C">
        <w:rPr>
          <w:rFonts w:ascii="仿宋" w:eastAsia="仿宋" w:hAnsi="仿宋" w:cs="仿宋" w:hint="eastAsia"/>
          <w:lang w:val="en-US"/>
        </w:rPr>
        <w:t>，</w:t>
      </w:r>
      <w:r>
        <w:rPr>
          <w:rFonts w:ascii="仿宋" w:eastAsia="仿宋" w:hAnsi="仿宋" w:cs="仿宋"/>
        </w:rPr>
        <w:t>本单位内设机构包括</w:t>
      </w:r>
      <w:r>
        <w:rPr>
          <w:rFonts w:ascii="仿宋" w:eastAsia="仿宋" w:hAnsi="仿宋" w:cs="仿宋"/>
        </w:rPr>
        <w:t>综合管理科、计划财务科、法规督查科、住房保障审核科、住房保障管理科、保障房工程、保障房配租科、经营性资产管理科、维修资金归集管理科、维修资金使用管理科、物业项目管理科。本单位无下属单</w:t>
      </w:r>
      <w:r>
        <w:rPr>
          <w:rFonts w:ascii="仿宋" w:eastAsia="仿宋" w:hAnsi="仿宋" w:cs="仿宋"/>
        </w:rPr>
        <w:lastRenderedPageBreak/>
        <w:t>位。</w:t>
      </w:r>
    </w:p>
    <w:p w:rsidR="006E012F" w:rsidRDefault="001A01FA">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（一）持续增强住房保障能力，锚定精准保障</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兜好底线，持续推进精准保障。全年受理各类住房保障申请</w:t>
      </w:r>
      <w:r>
        <w:rPr>
          <w:rFonts w:ascii="仿宋" w:eastAsia="仿宋" w:hAnsi="仿宋" w:cs="仿宋"/>
        </w:rPr>
        <w:t>9100</w:t>
      </w:r>
      <w:r>
        <w:rPr>
          <w:rFonts w:ascii="仿宋" w:eastAsia="仿宋" w:hAnsi="仿宋" w:cs="仿宋"/>
        </w:rPr>
        <w:t>户，其中新申请</w:t>
      </w:r>
      <w:r>
        <w:rPr>
          <w:rFonts w:ascii="仿宋" w:eastAsia="仿宋" w:hAnsi="仿宋" w:cs="仿宋"/>
        </w:rPr>
        <w:t>837</w:t>
      </w:r>
      <w:r>
        <w:rPr>
          <w:rFonts w:ascii="仿宋" w:eastAsia="仿宋" w:hAnsi="仿宋" w:cs="仿宋"/>
        </w:rPr>
        <w:t>户（含实配家庭</w:t>
      </w:r>
      <w:r>
        <w:rPr>
          <w:rFonts w:ascii="仿宋" w:eastAsia="仿宋" w:hAnsi="仿宋" w:cs="仿宋"/>
        </w:rPr>
        <w:t>209</w:t>
      </w:r>
      <w:r>
        <w:rPr>
          <w:rFonts w:ascii="仿宋" w:eastAsia="仿宋" w:hAnsi="仿宋" w:cs="仿宋"/>
        </w:rPr>
        <w:t>户，租补家庭</w:t>
      </w:r>
      <w:r>
        <w:rPr>
          <w:rFonts w:ascii="仿宋" w:eastAsia="仿宋" w:hAnsi="仿宋" w:cs="仿宋"/>
        </w:rPr>
        <w:t>389</w:t>
      </w:r>
      <w:r>
        <w:rPr>
          <w:rFonts w:ascii="仿宋" w:eastAsia="仿宋" w:hAnsi="仿宋" w:cs="仿宋"/>
        </w:rPr>
        <w:t>户，经济适用房开发商结算</w:t>
      </w:r>
      <w:r>
        <w:rPr>
          <w:rFonts w:ascii="仿宋" w:eastAsia="仿宋" w:hAnsi="仿宋" w:cs="仿宋"/>
        </w:rPr>
        <w:t>5</w:t>
      </w:r>
      <w:r>
        <w:rPr>
          <w:rFonts w:ascii="仿宋" w:eastAsia="仿宋" w:hAnsi="仿宋" w:cs="仿宋"/>
        </w:rPr>
        <w:t>户，环卫外来务工人员</w:t>
      </w:r>
      <w:r>
        <w:rPr>
          <w:rFonts w:ascii="仿宋" w:eastAsia="仿宋" w:hAnsi="仿宋" w:cs="仿宋"/>
        </w:rPr>
        <w:t>1</w:t>
      </w:r>
      <w:r>
        <w:rPr>
          <w:rFonts w:ascii="仿宋" w:eastAsia="仿宋" w:hAnsi="仿宋" w:cs="仿宋"/>
        </w:rPr>
        <w:t>户，龙城英才、新就业高校毕业生、重大项目引进人才保障家庭</w:t>
      </w:r>
      <w:r>
        <w:rPr>
          <w:rFonts w:ascii="仿宋" w:eastAsia="仿宋" w:hAnsi="仿宋" w:cs="仿宋"/>
        </w:rPr>
        <w:t>233</w:t>
      </w:r>
      <w:r>
        <w:rPr>
          <w:rFonts w:ascii="仿宋" w:eastAsia="仿宋" w:hAnsi="仿宋" w:cs="仿宋"/>
        </w:rPr>
        <w:t>户），年度复核</w:t>
      </w:r>
      <w:r>
        <w:rPr>
          <w:rFonts w:ascii="仿宋" w:eastAsia="仿宋" w:hAnsi="仿宋" w:cs="仿宋"/>
        </w:rPr>
        <w:t>8</w:t>
      </w:r>
      <w:r>
        <w:rPr>
          <w:rFonts w:ascii="仿宋" w:eastAsia="仿宋" w:hAnsi="仿宋" w:cs="仿宋"/>
        </w:rPr>
        <w:t>188</w:t>
      </w:r>
      <w:r>
        <w:rPr>
          <w:rFonts w:ascii="仿宋" w:eastAsia="仿宋" w:hAnsi="仿宋" w:cs="仿宋"/>
        </w:rPr>
        <w:t>户，调房</w:t>
      </w:r>
      <w:r>
        <w:rPr>
          <w:rFonts w:ascii="仿宋" w:eastAsia="仿宋" w:hAnsi="仿宋" w:cs="仿宋"/>
        </w:rPr>
        <w:t>75</w:t>
      </w:r>
      <w:r>
        <w:rPr>
          <w:rFonts w:ascii="仿宋" w:eastAsia="仿宋" w:hAnsi="仿宋" w:cs="仿宋"/>
        </w:rPr>
        <w:t>户；全年发放租金补贴</w:t>
      </w:r>
      <w:r>
        <w:rPr>
          <w:rFonts w:ascii="仿宋" w:eastAsia="仿宋" w:hAnsi="仿宋" w:cs="仿宋"/>
        </w:rPr>
        <w:t>2021.48</w:t>
      </w:r>
      <w:r>
        <w:rPr>
          <w:rFonts w:ascii="仿宋" w:eastAsia="仿宋" w:hAnsi="仿宋" w:cs="仿宋"/>
        </w:rPr>
        <w:t>万元，其中新北区租金补贴发放</w:t>
      </w:r>
      <w:r>
        <w:rPr>
          <w:rFonts w:ascii="仿宋" w:eastAsia="仿宋" w:hAnsi="仿宋" w:cs="仿宋"/>
        </w:rPr>
        <w:t>202.88</w:t>
      </w:r>
      <w:r>
        <w:rPr>
          <w:rFonts w:ascii="仿宋" w:eastAsia="仿宋" w:hAnsi="仿宋" w:cs="仿宋"/>
        </w:rPr>
        <w:t>万元；全年受理完成</w:t>
      </w:r>
      <w:r>
        <w:rPr>
          <w:rFonts w:ascii="仿宋" w:eastAsia="仿宋" w:hAnsi="仿宋" w:cs="仿宋"/>
        </w:rPr>
        <w:t>169</w:t>
      </w:r>
      <w:r>
        <w:rPr>
          <w:rFonts w:ascii="仿宋" w:eastAsia="仿宋" w:hAnsi="仿宋" w:cs="仿宋"/>
        </w:rPr>
        <w:t>户经适房上市交易业务，还款</w:t>
      </w:r>
      <w:r>
        <w:rPr>
          <w:rFonts w:ascii="仿宋" w:eastAsia="仿宋" w:hAnsi="仿宋" w:cs="仿宋"/>
        </w:rPr>
        <w:t>1616.07</w:t>
      </w:r>
      <w:r>
        <w:rPr>
          <w:rFonts w:ascii="仿宋" w:eastAsia="仿宋" w:hAnsi="仿宋" w:cs="仿宋"/>
        </w:rPr>
        <w:t>万元。</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新北区住房保障工作纳入市区统一管理。新北区住房保障纳入统一管理后，市本级的住房救助窗口达到</w:t>
      </w:r>
      <w:r>
        <w:rPr>
          <w:rFonts w:ascii="仿宋" w:eastAsia="仿宋" w:hAnsi="仿宋" w:cs="仿宋"/>
        </w:rPr>
        <w:t>26</w:t>
      </w:r>
      <w:r>
        <w:rPr>
          <w:rFonts w:ascii="仿宋" w:eastAsia="仿宋" w:hAnsi="仿宋" w:cs="仿宋"/>
        </w:rPr>
        <w:t>个，全面覆盖天宁、钟楼和新北的各街道和镇政府，让市民在</w:t>
      </w:r>
      <w:r>
        <w:rPr>
          <w:rFonts w:ascii="仿宋" w:eastAsia="仿宋" w:hAnsi="仿宋" w:cs="仿宋"/>
        </w:rPr>
        <w:t>“</w:t>
      </w:r>
      <w:r>
        <w:rPr>
          <w:rFonts w:ascii="仿宋" w:eastAsia="仿宋" w:hAnsi="仿宋" w:cs="仿宋"/>
        </w:rPr>
        <w:t>家门口</w:t>
      </w:r>
      <w:r>
        <w:rPr>
          <w:rFonts w:ascii="仿宋" w:eastAsia="仿宋" w:hAnsi="仿宋" w:cs="仿宋"/>
        </w:rPr>
        <w:t>”</w:t>
      </w:r>
      <w:r>
        <w:rPr>
          <w:rFonts w:ascii="仿宋" w:eastAsia="仿宋" w:hAnsi="仿宋" w:cs="仿宋"/>
        </w:rPr>
        <w:t>享受到一站式服务。同时，将</w:t>
      </w:r>
      <w:r>
        <w:rPr>
          <w:rFonts w:ascii="仿宋" w:eastAsia="仿宋" w:hAnsi="仿宋" w:cs="仿宋"/>
        </w:rPr>
        <w:t>“</w:t>
      </w:r>
      <w:r>
        <w:rPr>
          <w:rFonts w:ascii="仿宋" w:eastAsia="仿宋" w:hAnsi="仿宋" w:cs="仿宋"/>
        </w:rPr>
        <w:t>联席工作会议机制</w:t>
      </w:r>
      <w:r>
        <w:rPr>
          <w:rFonts w:ascii="仿宋" w:eastAsia="仿宋" w:hAnsi="仿宋" w:cs="仿宋"/>
        </w:rPr>
        <w:t>”</w:t>
      </w:r>
      <w:r>
        <w:rPr>
          <w:rFonts w:ascii="仿宋" w:eastAsia="仿宋" w:hAnsi="仿宋" w:cs="仿宋"/>
        </w:rPr>
        <w:t>进一步扩大覆盖至新北区</w:t>
      </w:r>
      <w:r>
        <w:rPr>
          <w:rFonts w:ascii="仿宋" w:eastAsia="仿宋" w:hAnsi="仿宋" w:cs="仿宋"/>
        </w:rPr>
        <w:t>10</w:t>
      </w:r>
      <w:r>
        <w:rPr>
          <w:rFonts w:ascii="仿宋" w:eastAsia="仿宋" w:hAnsi="仿宋" w:cs="仿宋"/>
        </w:rPr>
        <w:t>个街道和镇政府，以</w:t>
      </w:r>
      <w:r>
        <w:rPr>
          <w:rFonts w:ascii="仿宋" w:eastAsia="仿宋" w:hAnsi="仿宋" w:cs="仿宋"/>
        </w:rPr>
        <w:t>“</w:t>
      </w:r>
      <w:r>
        <w:rPr>
          <w:rFonts w:ascii="仿宋" w:eastAsia="仿宋" w:hAnsi="仿宋" w:cs="仿宋"/>
        </w:rPr>
        <w:t>个案分析</w:t>
      </w:r>
      <w:r>
        <w:rPr>
          <w:rFonts w:ascii="仿宋" w:eastAsia="仿宋" w:hAnsi="仿宋" w:cs="仿宋"/>
        </w:rPr>
        <w:t>+</w:t>
      </w:r>
      <w:r>
        <w:rPr>
          <w:rFonts w:ascii="仿宋" w:eastAsia="仿宋" w:hAnsi="仿宋" w:cs="仿宋"/>
        </w:rPr>
        <w:t>精准帮扶</w:t>
      </w:r>
      <w:r>
        <w:rPr>
          <w:rFonts w:ascii="仿宋" w:eastAsia="仿宋" w:hAnsi="仿宋" w:cs="仿宋"/>
        </w:rPr>
        <w:t>+</w:t>
      </w:r>
      <w:r>
        <w:rPr>
          <w:rFonts w:ascii="仿宋" w:eastAsia="仿宋" w:hAnsi="仿宋" w:cs="仿宋"/>
        </w:rPr>
        <w:t>主动救助</w:t>
      </w:r>
      <w:r>
        <w:rPr>
          <w:rFonts w:ascii="仿宋" w:eastAsia="仿宋" w:hAnsi="仿宋" w:cs="仿宋"/>
        </w:rPr>
        <w:t>”</w:t>
      </w:r>
      <w:r>
        <w:rPr>
          <w:rFonts w:ascii="仿宋" w:eastAsia="仿宋" w:hAnsi="仿宋" w:cs="仿宋"/>
        </w:rPr>
        <w:t>模式，共同破解住房难题。</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积极推进公租房申请和人才服务</w:t>
      </w:r>
      <w:r>
        <w:rPr>
          <w:rFonts w:ascii="仿宋" w:eastAsia="仿宋" w:hAnsi="仿宋" w:cs="仿宋"/>
        </w:rPr>
        <w:t>“</w:t>
      </w:r>
      <w:r>
        <w:rPr>
          <w:rFonts w:ascii="仿宋" w:eastAsia="仿宋" w:hAnsi="仿宋" w:cs="仿宋"/>
        </w:rPr>
        <w:t>一件</w:t>
      </w:r>
      <w:r>
        <w:rPr>
          <w:rFonts w:ascii="仿宋" w:eastAsia="仿宋" w:hAnsi="仿宋" w:cs="仿宋"/>
        </w:rPr>
        <w:t>事</w:t>
      </w:r>
      <w:r>
        <w:rPr>
          <w:rFonts w:ascii="仿宋" w:eastAsia="仿宋" w:hAnsi="仿宋" w:cs="仿宋"/>
        </w:rPr>
        <w:t>”</w:t>
      </w:r>
      <w:r>
        <w:rPr>
          <w:rFonts w:ascii="仿宋" w:eastAsia="仿宋" w:hAnsi="仿宋" w:cs="仿宋"/>
        </w:rPr>
        <w:t>改革。配合印发《常州市公租房申请</w:t>
      </w:r>
      <w:r>
        <w:rPr>
          <w:rFonts w:ascii="仿宋" w:eastAsia="仿宋" w:hAnsi="仿宋" w:cs="仿宋"/>
        </w:rPr>
        <w:t>“</w:t>
      </w:r>
      <w:r>
        <w:rPr>
          <w:rFonts w:ascii="仿宋" w:eastAsia="仿宋" w:hAnsi="仿宋" w:cs="仿宋"/>
        </w:rPr>
        <w:t>一件事</w:t>
      </w:r>
      <w:r>
        <w:rPr>
          <w:rFonts w:ascii="仿宋" w:eastAsia="仿宋" w:hAnsi="仿宋" w:cs="仿宋"/>
        </w:rPr>
        <w:t>”</w:t>
      </w:r>
      <w:r>
        <w:rPr>
          <w:rFonts w:ascii="仿宋" w:eastAsia="仿宋" w:hAnsi="仿宋" w:cs="仿宋"/>
        </w:rPr>
        <w:t>改革实施方案》，制定公租房</w:t>
      </w:r>
      <w:r>
        <w:rPr>
          <w:rFonts w:ascii="仿宋" w:eastAsia="仿宋" w:hAnsi="仿宋" w:cs="仿宋"/>
        </w:rPr>
        <w:t>“</w:t>
      </w:r>
      <w:r>
        <w:rPr>
          <w:rFonts w:ascii="仿宋" w:eastAsia="仿宋" w:hAnsi="仿宋" w:cs="仿宋"/>
        </w:rPr>
        <w:t>一件事</w:t>
      </w:r>
      <w:r>
        <w:rPr>
          <w:rFonts w:ascii="仿宋" w:eastAsia="仿宋" w:hAnsi="仿宋" w:cs="仿宋"/>
        </w:rPr>
        <w:t>”</w:t>
      </w:r>
      <w:r>
        <w:rPr>
          <w:rFonts w:ascii="仿宋" w:eastAsia="仿宋" w:hAnsi="仿宋" w:cs="仿宋"/>
        </w:rPr>
        <w:t>办事指南，全面推行</w:t>
      </w:r>
      <w:r>
        <w:rPr>
          <w:rFonts w:ascii="仿宋" w:eastAsia="仿宋" w:hAnsi="仿宋" w:cs="仿宋"/>
        </w:rPr>
        <w:t>“</w:t>
      </w:r>
      <w:r>
        <w:rPr>
          <w:rFonts w:ascii="仿宋" w:eastAsia="仿宋" w:hAnsi="仿宋" w:cs="仿宋"/>
        </w:rPr>
        <w:t>前台综合受理、后台分类审批、统一窗口出件</w:t>
      </w:r>
      <w:r>
        <w:rPr>
          <w:rFonts w:ascii="仿宋" w:eastAsia="仿宋" w:hAnsi="仿宋" w:cs="仿宋"/>
        </w:rPr>
        <w:t>”</w:t>
      </w:r>
      <w:r>
        <w:rPr>
          <w:rFonts w:ascii="仿宋" w:eastAsia="仿宋" w:hAnsi="仿宋" w:cs="仿宋"/>
        </w:rPr>
        <w:t>的公租房申请办理方式，夯实</w:t>
      </w:r>
      <w:r>
        <w:rPr>
          <w:rFonts w:ascii="仿宋" w:eastAsia="仿宋" w:hAnsi="仿宋" w:cs="仿宋"/>
        </w:rPr>
        <w:t>“</w:t>
      </w:r>
      <w:r>
        <w:rPr>
          <w:rFonts w:ascii="仿宋" w:eastAsia="仿宋" w:hAnsi="仿宋" w:cs="仿宋"/>
        </w:rPr>
        <w:t>集成套餐、全程办理</w:t>
      </w:r>
      <w:r>
        <w:rPr>
          <w:rFonts w:ascii="仿宋" w:eastAsia="仿宋" w:hAnsi="仿宋" w:cs="仿宋"/>
        </w:rPr>
        <w:t>”</w:t>
      </w:r>
      <w:r>
        <w:rPr>
          <w:rFonts w:ascii="仿宋" w:eastAsia="仿宋" w:hAnsi="仿宋" w:cs="仿宋"/>
        </w:rPr>
        <w:t>服务模式；新就业人员、外来务工人员和城市中低收入住房困难家庭两类公租房申请办理时限分别缩短</w:t>
      </w:r>
      <w:r>
        <w:rPr>
          <w:rFonts w:ascii="仿宋" w:eastAsia="仿宋" w:hAnsi="仿宋" w:cs="仿宋"/>
        </w:rPr>
        <w:t>8</w:t>
      </w:r>
      <w:r>
        <w:rPr>
          <w:rFonts w:ascii="仿宋" w:eastAsia="仿宋" w:hAnsi="仿宋" w:cs="仿宋"/>
        </w:rPr>
        <w:t>个和</w:t>
      </w:r>
      <w:r>
        <w:rPr>
          <w:rFonts w:ascii="仿宋" w:eastAsia="仿宋" w:hAnsi="仿宋" w:cs="仿宋"/>
        </w:rPr>
        <w:t>18</w:t>
      </w:r>
      <w:r>
        <w:rPr>
          <w:rFonts w:ascii="仿宋" w:eastAsia="仿宋" w:hAnsi="仿宋" w:cs="仿宋"/>
        </w:rPr>
        <w:t>个工作日，便民政策措施落实落地；以</w:t>
      </w:r>
      <w:r>
        <w:rPr>
          <w:rFonts w:ascii="仿宋" w:eastAsia="仿宋" w:hAnsi="仿宋" w:cs="仿宋"/>
        </w:rPr>
        <w:t>“</w:t>
      </w:r>
      <w:r>
        <w:rPr>
          <w:rFonts w:ascii="仿宋" w:eastAsia="仿宋" w:hAnsi="仿宋" w:cs="仿宋"/>
        </w:rPr>
        <w:t>马上办、就近办、一次办</w:t>
      </w:r>
      <w:r>
        <w:rPr>
          <w:rFonts w:ascii="仿宋" w:eastAsia="仿宋" w:hAnsi="仿宋" w:cs="仿宋"/>
        </w:rPr>
        <w:t>”</w:t>
      </w:r>
      <w:r>
        <w:rPr>
          <w:rFonts w:ascii="仿宋" w:eastAsia="仿宋" w:hAnsi="仿宋" w:cs="仿宋"/>
        </w:rPr>
        <w:lastRenderedPageBreak/>
        <w:t>为抓手，将青年人才生活居住双资助查询与办理、</w:t>
      </w:r>
      <w:r>
        <w:rPr>
          <w:rFonts w:ascii="仿宋" w:eastAsia="仿宋" w:hAnsi="仿宋" w:cs="仿宋"/>
        </w:rPr>
        <w:t>“</w:t>
      </w:r>
      <w:r>
        <w:rPr>
          <w:rFonts w:ascii="仿宋" w:eastAsia="仿宋" w:hAnsi="仿宋" w:cs="仿宋"/>
        </w:rPr>
        <w:t>青春留常</w:t>
      </w:r>
      <w:r>
        <w:rPr>
          <w:rFonts w:ascii="仿宋" w:eastAsia="仿宋" w:hAnsi="仿宋" w:cs="仿宋"/>
        </w:rPr>
        <w:t>”</w:t>
      </w:r>
      <w:r>
        <w:rPr>
          <w:rFonts w:ascii="仿宋" w:eastAsia="仿宋" w:hAnsi="仿宋" w:cs="仿宋"/>
        </w:rPr>
        <w:t>综合资助查询事项通过整合部门资源、精简审批流程、同步共享数据、加强内部协调等措施，打造</w:t>
      </w:r>
      <w:r>
        <w:rPr>
          <w:rFonts w:ascii="仿宋" w:eastAsia="仿宋" w:hAnsi="仿宋" w:cs="仿宋"/>
        </w:rPr>
        <w:t>“</w:t>
      </w:r>
      <w:r>
        <w:rPr>
          <w:rFonts w:ascii="仿宋" w:eastAsia="仿宋" w:hAnsi="仿宋" w:cs="仿宋"/>
        </w:rPr>
        <w:t>一件事</w:t>
      </w:r>
      <w:r>
        <w:rPr>
          <w:rFonts w:ascii="仿宋" w:eastAsia="仿宋" w:hAnsi="仿宋" w:cs="仿宋"/>
        </w:rPr>
        <w:t>”</w:t>
      </w:r>
      <w:r>
        <w:rPr>
          <w:rFonts w:ascii="仿宋" w:eastAsia="仿宋" w:hAnsi="仿宋" w:cs="仿宋"/>
        </w:rPr>
        <w:t>主题集成</w:t>
      </w:r>
      <w:r>
        <w:rPr>
          <w:rFonts w:ascii="仿宋" w:eastAsia="仿宋" w:hAnsi="仿宋" w:cs="仿宋"/>
        </w:rPr>
        <w:t>服务，形成一体化服务新模式。</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4.</w:t>
      </w:r>
      <w:r>
        <w:rPr>
          <w:rFonts w:ascii="仿宋" w:eastAsia="仿宋" w:hAnsi="仿宋" w:cs="仿宋"/>
        </w:rPr>
        <w:t>扎实做好共有产权公共租赁住房工作。多方协调、主动入户、定期查访，多措并举做好共有产权公租房销售工作，合力破解政策实施过程中所涉及的</w:t>
      </w:r>
      <w:r>
        <w:rPr>
          <w:rFonts w:ascii="仿宋" w:eastAsia="仿宋" w:hAnsi="仿宋" w:cs="仿宋"/>
        </w:rPr>
        <w:t>“</w:t>
      </w:r>
      <w:r>
        <w:rPr>
          <w:rFonts w:ascii="仿宋" w:eastAsia="仿宋" w:hAnsi="仿宋" w:cs="仿宋"/>
        </w:rPr>
        <w:t>计税价格</w:t>
      </w:r>
      <w:r>
        <w:rPr>
          <w:rFonts w:ascii="仿宋" w:eastAsia="仿宋" w:hAnsi="仿宋" w:cs="仿宋"/>
        </w:rPr>
        <w:t>”</w:t>
      </w:r>
      <w:r>
        <w:rPr>
          <w:rFonts w:ascii="仿宋" w:eastAsia="仿宋" w:hAnsi="仿宋" w:cs="仿宋"/>
        </w:rPr>
        <w:t>等一系列难点问题，将共有产权公租房政策、剩余政府产权购买注意事项送到家庭手中。购买共有产权公租房的</w:t>
      </w:r>
      <w:r>
        <w:rPr>
          <w:rFonts w:ascii="仿宋" w:eastAsia="仿宋" w:hAnsi="仿宋" w:cs="仿宋"/>
        </w:rPr>
        <w:t>96</w:t>
      </w:r>
      <w:r>
        <w:rPr>
          <w:rFonts w:ascii="仿宋" w:eastAsia="仿宋" w:hAnsi="仿宋" w:cs="仿宋"/>
        </w:rPr>
        <w:t>户家庭中，累计</w:t>
      </w:r>
      <w:r>
        <w:rPr>
          <w:rFonts w:ascii="仿宋" w:eastAsia="仿宋" w:hAnsi="仿宋" w:cs="仿宋"/>
        </w:rPr>
        <w:t>87</w:t>
      </w:r>
      <w:r>
        <w:rPr>
          <w:rFonts w:ascii="仿宋" w:eastAsia="仿宋" w:hAnsi="仿宋" w:cs="仿宋"/>
        </w:rPr>
        <w:t>户保障家庭购买了</w:t>
      </w:r>
      <w:r>
        <w:rPr>
          <w:rFonts w:ascii="仿宋" w:eastAsia="仿宋" w:hAnsi="仿宋" w:cs="仿宋"/>
        </w:rPr>
        <w:t>100%</w:t>
      </w:r>
      <w:r>
        <w:rPr>
          <w:rFonts w:ascii="仿宋" w:eastAsia="仿宋" w:hAnsi="仿宋" w:cs="仿宋"/>
        </w:rPr>
        <w:t>产权份额，</w:t>
      </w:r>
      <w:r>
        <w:rPr>
          <w:rFonts w:ascii="仿宋" w:eastAsia="仿宋" w:hAnsi="仿宋" w:cs="仿宋"/>
        </w:rPr>
        <w:t>37</w:t>
      </w:r>
      <w:r>
        <w:rPr>
          <w:rFonts w:ascii="仿宋" w:eastAsia="仿宋" w:hAnsi="仿宋" w:cs="仿宋"/>
        </w:rPr>
        <w:t>户购买完全产权的家庭已申请上市交易。</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（二）同步提升软硬件水平，树立新</w:t>
      </w:r>
      <w:r>
        <w:rPr>
          <w:rFonts w:ascii="仿宋" w:eastAsia="仿宋" w:hAnsi="仿宋" w:cs="仿宋"/>
        </w:rPr>
        <w:t>“</w:t>
      </w:r>
      <w:r>
        <w:rPr>
          <w:rFonts w:ascii="仿宋" w:eastAsia="仿宋" w:hAnsi="仿宋" w:cs="仿宋"/>
        </w:rPr>
        <w:t>标杆</w:t>
      </w:r>
      <w:r>
        <w:rPr>
          <w:rFonts w:ascii="仿宋" w:eastAsia="仿宋" w:hAnsi="仿宋" w:cs="仿宋"/>
        </w:rPr>
        <w:t>”</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深入落实保障房小区精细化管理，焕发新活力。一是全力推动形成</w:t>
      </w:r>
      <w:r>
        <w:rPr>
          <w:rFonts w:ascii="仿宋" w:eastAsia="仿宋" w:hAnsi="仿宋" w:cs="仿宋"/>
        </w:rPr>
        <w:t>“</w:t>
      </w:r>
      <w:r>
        <w:rPr>
          <w:rFonts w:ascii="仿宋" w:eastAsia="仿宋" w:hAnsi="仿宋" w:cs="仿宋"/>
        </w:rPr>
        <w:t>网格托管理</w:t>
      </w:r>
      <w:r>
        <w:rPr>
          <w:rFonts w:ascii="仿宋" w:eastAsia="仿宋" w:hAnsi="仿宋" w:cs="仿宋"/>
        </w:rPr>
        <w:t>”“</w:t>
      </w:r>
      <w:r>
        <w:rPr>
          <w:rFonts w:ascii="仿宋" w:eastAsia="仿宋" w:hAnsi="仿宋" w:cs="仿宋"/>
        </w:rPr>
        <w:t>智慧惠管理</w:t>
      </w:r>
      <w:r>
        <w:rPr>
          <w:rFonts w:ascii="仿宋" w:eastAsia="仿宋" w:hAnsi="仿宋" w:cs="仿宋"/>
        </w:rPr>
        <w:t>”“</w:t>
      </w:r>
      <w:r>
        <w:rPr>
          <w:rFonts w:ascii="仿宋" w:eastAsia="仿宋" w:hAnsi="仿宋" w:cs="仿宋"/>
        </w:rPr>
        <w:t>考核促</w:t>
      </w:r>
      <w:r>
        <w:rPr>
          <w:rFonts w:ascii="仿宋" w:eastAsia="仿宋" w:hAnsi="仿宋" w:cs="仿宋"/>
        </w:rPr>
        <w:t>管理</w:t>
      </w:r>
      <w:r>
        <w:rPr>
          <w:rFonts w:ascii="仿宋" w:eastAsia="仿宋" w:hAnsi="仿宋" w:cs="仿宋"/>
        </w:rPr>
        <w:t>”</w:t>
      </w:r>
      <w:r>
        <w:rPr>
          <w:rFonts w:ascii="仿宋" w:eastAsia="仿宋" w:hAnsi="仿宋" w:cs="仿宋"/>
        </w:rPr>
        <w:t>的保障房后续管理体系。全年签订</w:t>
      </w:r>
      <w:r>
        <w:rPr>
          <w:rFonts w:ascii="仿宋" w:eastAsia="仿宋" w:hAnsi="仿宋" w:cs="仿宋"/>
        </w:rPr>
        <w:t>2595</w:t>
      </w:r>
      <w:r>
        <w:rPr>
          <w:rFonts w:ascii="仿宋" w:eastAsia="仿宋" w:hAnsi="仿宋" w:cs="仿宋"/>
        </w:rPr>
        <w:t>份合同，办理</w:t>
      </w:r>
      <w:r>
        <w:rPr>
          <w:rFonts w:ascii="仿宋" w:eastAsia="仿宋" w:hAnsi="仿宋" w:cs="仿宋"/>
        </w:rPr>
        <w:t>364</w:t>
      </w:r>
      <w:r>
        <w:rPr>
          <w:rFonts w:ascii="仿宋" w:eastAsia="仿宋" w:hAnsi="仿宋" w:cs="仿宋"/>
        </w:rPr>
        <w:t>户新申请家庭的入住，腾退房源</w:t>
      </w:r>
      <w:r>
        <w:rPr>
          <w:rFonts w:ascii="仿宋" w:eastAsia="仿宋" w:hAnsi="仿宋" w:cs="仿宋"/>
        </w:rPr>
        <w:t>508</w:t>
      </w:r>
      <w:r>
        <w:rPr>
          <w:rFonts w:ascii="仿宋" w:eastAsia="仿宋" w:hAnsi="仿宋" w:cs="仿宋"/>
        </w:rPr>
        <w:t>套，实收市区公租房租金</w:t>
      </w:r>
      <w:r>
        <w:rPr>
          <w:rFonts w:ascii="仿宋" w:eastAsia="仿宋" w:hAnsi="仿宋" w:cs="仿宋"/>
        </w:rPr>
        <w:t>2292.54</w:t>
      </w:r>
      <w:r>
        <w:rPr>
          <w:rFonts w:ascii="仿宋" w:eastAsia="仿宋" w:hAnsi="仿宋" w:cs="仿宋"/>
        </w:rPr>
        <w:t>万元，长租公寓租金</w:t>
      </w:r>
      <w:r>
        <w:rPr>
          <w:rFonts w:ascii="仿宋" w:eastAsia="仿宋" w:hAnsi="仿宋" w:cs="仿宋"/>
        </w:rPr>
        <w:t>170.74</w:t>
      </w:r>
      <w:r>
        <w:rPr>
          <w:rFonts w:ascii="仿宋" w:eastAsia="仿宋" w:hAnsi="仿宋" w:cs="仿宋"/>
        </w:rPr>
        <w:t>万元。二是持续推进城市长效管理。充分发挥《常州市市区保障房小区长效管理考核暂行办法》的作用，提高现场物业服务企业的</w:t>
      </w:r>
      <w:r w:rsidR="00106238" w:rsidRPr="00106238">
        <w:rPr>
          <w:rFonts w:ascii="仿宋" w:eastAsia="仿宋" w:hAnsi="仿宋" w:cs="仿宋" w:hint="eastAsia"/>
        </w:rPr>
        <w:t>积极性、主动性、创造性</w:t>
      </w:r>
      <w:bookmarkStart w:id="0" w:name="_GoBack"/>
      <w:bookmarkEnd w:id="0"/>
      <w:r>
        <w:rPr>
          <w:rFonts w:ascii="仿宋" w:eastAsia="仿宋" w:hAnsi="仿宋" w:cs="仿宋"/>
        </w:rPr>
        <w:t>，提升长效管理发现并整改问题的能力。全年完成</w:t>
      </w:r>
      <w:r>
        <w:rPr>
          <w:rFonts w:ascii="仿宋" w:eastAsia="仿宋" w:hAnsi="仿宋" w:cs="仿宋"/>
        </w:rPr>
        <w:t>19</w:t>
      </w:r>
      <w:r>
        <w:rPr>
          <w:rFonts w:ascii="仿宋" w:eastAsia="仿宋" w:hAnsi="仿宋" w:cs="仿宋"/>
        </w:rPr>
        <w:t>个长效管理考评问题事项的整改，申诉成功的有</w:t>
      </w:r>
      <w:r>
        <w:rPr>
          <w:rFonts w:ascii="仿宋" w:eastAsia="仿宋" w:hAnsi="仿宋" w:cs="仿宋"/>
        </w:rPr>
        <w:t>5</w:t>
      </w:r>
      <w:r>
        <w:rPr>
          <w:rFonts w:ascii="仿宋" w:eastAsia="仿宋" w:hAnsi="仿宋" w:cs="仿宋"/>
        </w:rPr>
        <w:t>个，扣分的有</w:t>
      </w:r>
      <w:r>
        <w:rPr>
          <w:rFonts w:ascii="仿宋" w:eastAsia="仿宋" w:hAnsi="仿宋" w:cs="仿宋"/>
        </w:rPr>
        <w:t>14</w:t>
      </w:r>
      <w:r>
        <w:rPr>
          <w:rFonts w:ascii="仿宋" w:eastAsia="仿宋" w:hAnsi="仿宋" w:cs="仿宋"/>
        </w:rPr>
        <w:t>个。</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稳步推进保障房小区宜居环境建设，提成色增亮色。一是开展保障房环境与功能提升工程。对华盛家园、华康家园、金</w:t>
      </w:r>
      <w:r>
        <w:rPr>
          <w:rFonts w:ascii="仿宋" w:eastAsia="仿宋" w:hAnsi="仿宋" w:cs="仿宋"/>
        </w:rPr>
        <w:t>安家园、金润家园内</w:t>
      </w:r>
      <w:r>
        <w:rPr>
          <w:rFonts w:ascii="仿宋" w:eastAsia="仿宋" w:hAnsi="仿宋" w:cs="仿宋"/>
        </w:rPr>
        <w:t>43</w:t>
      </w:r>
      <w:r>
        <w:rPr>
          <w:rFonts w:ascii="仿宋" w:eastAsia="仿宋" w:hAnsi="仿宋" w:cs="仿宋"/>
        </w:rPr>
        <w:t>个单元加装电梯，同时对华康家园、华盛家</w:t>
      </w:r>
      <w:r>
        <w:rPr>
          <w:rFonts w:ascii="仿宋" w:eastAsia="仿宋" w:hAnsi="仿宋" w:cs="仿宋"/>
        </w:rPr>
        <w:lastRenderedPageBreak/>
        <w:t>园小区环境进行整体提升，增加主题策划、场景打造、城市美学、文化创新等，让小区内所有保障家庭共享</w:t>
      </w:r>
      <w:r>
        <w:rPr>
          <w:rFonts w:ascii="仿宋" w:eastAsia="仿宋" w:hAnsi="仿宋" w:cs="仿宋"/>
        </w:rPr>
        <w:t>“</w:t>
      </w:r>
      <w:r>
        <w:rPr>
          <w:rFonts w:ascii="仿宋" w:eastAsia="仿宋" w:hAnsi="仿宋" w:cs="仿宋"/>
        </w:rPr>
        <w:t>一键直达</w:t>
      </w:r>
      <w:r>
        <w:rPr>
          <w:rFonts w:ascii="仿宋" w:eastAsia="仿宋" w:hAnsi="仿宋" w:cs="仿宋"/>
        </w:rPr>
        <w:t>”</w:t>
      </w:r>
      <w:r>
        <w:rPr>
          <w:rFonts w:ascii="仿宋" w:eastAsia="仿宋" w:hAnsi="仿宋" w:cs="仿宋"/>
        </w:rPr>
        <w:t>、旧貌换新颜的幸福生活。二是开展扶老助残帮扶行动。深入家庭摸底，了解个性需求，</w:t>
      </w:r>
      <w:r>
        <w:rPr>
          <w:rFonts w:ascii="仿宋" w:eastAsia="仿宋" w:hAnsi="仿宋" w:cs="仿宋"/>
        </w:rPr>
        <w:t>“</w:t>
      </w:r>
      <w:r>
        <w:rPr>
          <w:rFonts w:ascii="仿宋" w:eastAsia="仿宋" w:hAnsi="仿宋" w:cs="仿宋"/>
        </w:rPr>
        <w:t>量体裁衣</w:t>
      </w:r>
      <w:r>
        <w:rPr>
          <w:rFonts w:ascii="仿宋" w:eastAsia="仿宋" w:hAnsi="仿宋" w:cs="仿宋"/>
        </w:rPr>
        <w:t>”“</w:t>
      </w:r>
      <w:r>
        <w:rPr>
          <w:rFonts w:ascii="仿宋" w:eastAsia="仿宋" w:hAnsi="仿宋" w:cs="仿宋"/>
        </w:rPr>
        <w:t>私人定制</w:t>
      </w:r>
      <w:r>
        <w:rPr>
          <w:rFonts w:ascii="仿宋" w:eastAsia="仿宋" w:hAnsi="仿宋" w:cs="仿宋"/>
        </w:rPr>
        <w:t>”</w:t>
      </w:r>
      <w:r>
        <w:rPr>
          <w:rFonts w:ascii="仿宋" w:eastAsia="仿宋" w:hAnsi="仿宋" w:cs="仿宋"/>
        </w:rPr>
        <w:t>，为华康、华盛家园</w:t>
      </w:r>
      <w:r>
        <w:rPr>
          <w:rFonts w:ascii="仿宋" w:eastAsia="仿宋" w:hAnsi="仿宋" w:cs="仿宋"/>
        </w:rPr>
        <w:t>13</w:t>
      </w:r>
      <w:r>
        <w:rPr>
          <w:rFonts w:ascii="仿宋" w:eastAsia="仿宋" w:hAnsi="仿宋" w:cs="仿宋"/>
        </w:rPr>
        <w:t>户保障家庭试点开展扶老助残帮扶，安装助浴椅、马桶扶手、助浴扶手、手摇晾衣架、防滑垫和小夜灯等，确保试点改造精准匹配住户需求。三是挖掘保障房小区社交空间，打造和谐</w:t>
      </w:r>
      <w:r>
        <w:rPr>
          <w:rFonts w:ascii="仿宋" w:eastAsia="仿宋" w:hAnsi="仿宋" w:cs="仿宋"/>
        </w:rPr>
        <w:t>“</w:t>
      </w:r>
      <w:r>
        <w:rPr>
          <w:rFonts w:ascii="仿宋" w:eastAsia="仿宋" w:hAnsi="仿宋" w:cs="仿宋"/>
        </w:rPr>
        <w:t>邻里圈</w:t>
      </w:r>
      <w:r>
        <w:rPr>
          <w:rFonts w:ascii="仿宋" w:eastAsia="仿宋" w:hAnsi="仿宋" w:cs="仿宋"/>
        </w:rPr>
        <w:t>”</w:t>
      </w:r>
      <w:r>
        <w:rPr>
          <w:rFonts w:ascii="仿宋" w:eastAsia="仿宋" w:hAnsi="仿宋" w:cs="仿宋"/>
        </w:rPr>
        <w:t>。充分利用金安家园</w:t>
      </w:r>
      <w:r>
        <w:rPr>
          <w:rFonts w:ascii="仿宋" w:eastAsia="仿宋" w:hAnsi="仿宋" w:cs="仿宋"/>
        </w:rPr>
        <w:t>4</w:t>
      </w:r>
      <w:r>
        <w:rPr>
          <w:rFonts w:ascii="仿宋" w:eastAsia="仿宋" w:hAnsi="仿宋" w:cs="仿宋"/>
        </w:rPr>
        <w:t>幢、</w:t>
      </w:r>
      <w:r>
        <w:rPr>
          <w:rFonts w:ascii="仿宋" w:eastAsia="仿宋" w:hAnsi="仿宋" w:cs="仿宋"/>
        </w:rPr>
        <w:t>7</w:t>
      </w:r>
      <w:r>
        <w:rPr>
          <w:rFonts w:ascii="仿宋" w:eastAsia="仿宋" w:hAnsi="仿宋" w:cs="仿宋"/>
        </w:rPr>
        <w:t>幢和</w:t>
      </w:r>
      <w:r>
        <w:rPr>
          <w:rFonts w:ascii="仿宋" w:eastAsia="仿宋" w:hAnsi="仿宋" w:cs="仿宋"/>
        </w:rPr>
        <w:t>8</w:t>
      </w:r>
      <w:r>
        <w:rPr>
          <w:rFonts w:ascii="仿宋" w:eastAsia="仿宋" w:hAnsi="仿宋" w:cs="仿宋"/>
        </w:rPr>
        <w:t>幢架空层区域，墙面彩</w:t>
      </w:r>
      <w:r>
        <w:rPr>
          <w:rFonts w:ascii="仿宋" w:eastAsia="仿宋" w:hAnsi="仿宋" w:cs="仿宋"/>
        </w:rPr>
        <w:t>绘、地面美化，隔断、茶台桌椅、</w:t>
      </w:r>
      <w:r>
        <w:rPr>
          <w:rFonts w:ascii="仿宋" w:eastAsia="仿宋" w:hAnsi="仿宋" w:cs="仿宋"/>
        </w:rPr>
        <w:t>“</w:t>
      </w:r>
      <w:r>
        <w:rPr>
          <w:rFonts w:ascii="仿宋" w:eastAsia="仿宋" w:hAnsi="仿宋" w:cs="仿宋"/>
        </w:rPr>
        <w:t>聊心亭</w:t>
      </w:r>
      <w:r>
        <w:rPr>
          <w:rFonts w:ascii="仿宋" w:eastAsia="仿宋" w:hAnsi="仿宋" w:cs="仿宋"/>
        </w:rPr>
        <w:t>”</w:t>
      </w:r>
      <w:r>
        <w:rPr>
          <w:rFonts w:ascii="仿宋" w:eastAsia="仿宋" w:hAnsi="仿宋" w:cs="仿宋"/>
        </w:rPr>
        <w:t>设置等，营造亲切的社交氛围，为</w:t>
      </w:r>
      <w:r>
        <w:rPr>
          <w:rFonts w:ascii="仿宋" w:eastAsia="仿宋" w:hAnsi="仿宋" w:cs="仿宋"/>
        </w:rPr>
        <w:t>“</w:t>
      </w:r>
      <w:r>
        <w:rPr>
          <w:rFonts w:ascii="仿宋" w:eastAsia="仿宋" w:hAnsi="仿宋" w:cs="仿宋"/>
        </w:rPr>
        <w:t>最后一公里</w:t>
      </w:r>
      <w:r>
        <w:rPr>
          <w:rFonts w:ascii="仿宋" w:eastAsia="仿宋" w:hAnsi="仿宋" w:cs="仿宋"/>
        </w:rPr>
        <w:t>”</w:t>
      </w:r>
      <w:r>
        <w:rPr>
          <w:rFonts w:ascii="仿宋" w:eastAsia="仿宋" w:hAnsi="仿宋" w:cs="仿宋"/>
        </w:rPr>
        <w:t>服务提质增能。</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全面加大青年人才保障力度，营造优生态。一是落实青年人才生活居住</w:t>
      </w:r>
      <w:r>
        <w:rPr>
          <w:rFonts w:ascii="仿宋" w:eastAsia="仿宋" w:hAnsi="仿宋" w:cs="仿宋"/>
        </w:rPr>
        <w:t>“</w:t>
      </w:r>
      <w:r>
        <w:rPr>
          <w:rFonts w:ascii="仿宋" w:eastAsia="仿宋" w:hAnsi="仿宋" w:cs="仿宋"/>
        </w:rPr>
        <w:t>双资助</w:t>
      </w:r>
      <w:r>
        <w:rPr>
          <w:rFonts w:ascii="仿宋" w:eastAsia="仿宋" w:hAnsi="仿宋" w:cs="仿宋"/>
        </w:rPr>
        <w:t>”</w:t>
      </w:r>
      <w:r>
        <w:rPr>
          <w:rFonts w:ascii="仿宋" w:eastAsia="仿宋" w:hAnsi="仿宋" w:cs="仿宋"/>
        </w:rPr>
        <w:t>政策，完善体系助力青春留常。全年发放龙城英才购房资助</w:t>
      </w:r>
      <w:r>
        <w:rPr>
          <w:rFonts w:ascii="仿宋" w:eastAsia="仿宋" w:hAnsi="仿宋" w:cs="仿宋"/>
        </w:rPr>
        <w:t>222</w:t>
      </w:r>
      <w:r>
        <w:rPr>
          <w:rFonts w:ascii="仿宋" w:eastAsia="仿宋" w:hAnsi="仿宋" w:cs="仿宋"/>
        </w:rPr>
        <w:t>人次，总金额</w:t>
      </w:r>
      <w:r>
        <w:rPr>
          <w:rFonts w:ascii="仿宋" w:eastAsia="仿宋" w:hAnsi="仿宋" w:cs="仿宋"/>
        </w:rPr>
        <w:t>2170</w:t>
      </w:r>
      <w:r>
        <w:rPr>
          <w:rFonts w:ascii="仿宋" w:eastAsia="仿宋" w:hAnsi="仿宋" w:cs="仿宋"/>
        </w:rPr>
        <w:t>万元；发放青年人才购房资助</w:t>
      </w:r>
      <w:r>
        <w:rPr>
          <w:rFonts w:ascii="仿宋" w:eastAsia="仿宋" w:hAnsi="仿宋" w:cs="仿宋"/>
        </w:rPr>
        <w:t>1674</w:t>
      </w:r>
      <w:r>
        <w:rPr>
          <w:rFonts w:ascii="仿宋" w:eastAsia="仿宋" w:hAnsi="仿宋" w:cs="仿宋"/>
        </w:rPr>
        <w:t>人次，总金额</w:t>
      </w:r>
      <w:r>
        <w:rPr>
          <w:rFonts w:ascii="仿宋" w:eastAsia="仿宋" w:hAnsi="仿宋" w:cs="仿宋"/>
        </w:rPr>
        <w:t>7077</w:t>
      </w:r>
      <w:r>
        <w:rPr>
          <w:rFonts w:ascii="仿宋" w:eastAsia="仿宋" w:hAnsi="仿宋" w:cs="仿宋"/>
        </w:rPr>
        <w:t>万元；租房资助</w:t>
      </w:r>
      <w:r>
        <w:rPr>
          <w:rFonts w:ascii="仿宋" w:eastAsia="仿宋" w:hAnsi="仿宋" w:cs="仿宋"/>
        </w:rPr>
        <w:t>87563</w:t>
      </w:r>
      <w:r>
        <w:rPr>
          <w:rFonts w:ascii="仿宋" w:eastAsia="仿宋" w:hAnsi="仿宋" w:cs="仿宋"/>
        </w:rPr>
        <w:t>人次，总金额</w:t>
      </w:r>
      <w:r>
        <w:rPr>
          <w:rFonts w:ascii="仿宋" w:eastAsia="仿宋" w:hAnsi="仿宋" w:cs="仿宋"/>
        </w:rPr>
        <w:t>4600.72</w:t>
      </w:r>
      <w:r>
        <w:rPr>
          <w:rFonts w:ascii="仿宋" w:eastAsia="仿宋" w:hAnsi="仿宋" w:cs="仿宋"/>
        </w:rPr>
        <w:t>万元。二是开展</w:t>
      </w:r>
      <w:r>
        <w:rPr>
          <w:rFonts w:ascii="仿宋" w:eastAsia="仿宋" w:hAnsi="仿宋" w:cs="仿宋"/>
        </w:rPr>
        <w:t>“</w:t>
      </w:r>
      <w:r>
        <w:rPr>
          <w:rFonts w:ascii="仿宋" w:eastAsia="仿宋" w:hAnsi="仿宋" w:cs="仿宋"/>
        </w:rPr>
        <w:t>常有安居筑（住）梦前行</w:t>
      </w:r>
      <w:r>
        <w:rPr>
          <w:rFonts w:ascii="仿宋" w:eastAsia="仿宋" w:hAnsi="仿宋" w:cs="仿宋"/>
        </w:rPr>
        <w:t>”“</w:t>
      </w:r>
      <w:r>
        <w:rPr>
          <w:rFonts w:ascii="仿宋" w:eastAsia="仿宋" w:hAnsi="仿宋" w:cs="仿宋"/>
        </w:rPr>
        <w:t>安居红盟凤栖武进</w:t>
      </w:r>
      <w:r>
        <w:rPr>
          <w:rFonts w:ascii="仿宋" w:eastAsia="仿宋" w:hAnsi="仿宋" w:cs="仿宋"/>
        </w:rPr>
        <w:t>”</w:t>
      </w:r>
      <w:r>
        <w:rPr>
          <w:rFonts w:ascii="仿宋" w:eastAsia="仿宋" w:hAnsi="仿宋" w:cs="仿宋"/>
        </w:rPr>
        <w:t>等主题活动，发放宣传资料</w:t>
      </w:r>
      <w:r>
        <w:rPr>
          <w:rFonts w:ascii="仿宋" w:eastAsia="仿宋" w:hAnsi="仿宋" w:cs="仿宋"/>
        </w:rPr>
        <w:t>2</w:t>
      </w:r>
      <w:r>
        <w:rPr>
          <w:rFonts w:ascii="仿宋" w:eastAsia="仿宋" w:hAnsi="仿宋" w:cs="仿宋"/>
        </w:rPr>
        <w:t>万余份，扩大政策覆盖面。三是市、区联动共建栖西人才公寓，提供全方位、</w:t>
      </w:r>
      <w:r>
        <w:rPr>
          <w:rFonts w:ascii="仿宋" w:eastAsia="仿宋" w:hAnsi="仿宋" w:cs="仿宋"/>
        </w:rPr>
        <w:t>立体化、高品质的生活体验和文化交流空间，打造人才聚集高地。四是积极响应市委市政府相关人才安居政策的号召，全面提升金安家园青年人才公寓，改造房源内部装修及设施设备，美化公共区域环境，拓宽公共区域功能，增强居住吸引力，提升人才公寓入住率。</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（三）优化维修资金归集使用，答出</w:t>
      </w:r>
      <w:r>
        <w:rPr>
          <w:rFonts w:ascii="仿宋" w:eastAsia="仿宋" w:hAnsi="仿宋" w:cs="仿宋"/>
        </w:rPr>
        <w:t>“</w:t>
      </w:r>
      <w:r>
        <w:rPr>
          <w:rFonts w:ascii="仿宋" w:eastAsia="仿宋" w:hAnsi="仿宋" w:cs="仿宋"/>
        </w:rPr>
        <w:t>最优解</w:t>
      </w:r>
      <w:r>
        <w:rPr>
          <w:rFonts w:ascii="仿宋" w:eastAsia="仿宋" w:hAnsi="仿宋" w:cs="仿宋"/>
        </w:rPr>
        <w:t>”</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1.</w:t>
      </w:r>
      <w:r>
        <w:rPr>
          <w:rFonts w:ascii="仿宋" w:eastAsia="仿宋" w:hAnsi="仿宋" w:cs="仿宋"/>
        </w:rPr>
        <w:t>规范维修资金归集，管好</w:t>
      </w:r>
      <w:r>
        <w:rPr>
          <w:rFonts w:ascii="仿宋" w:eastAsia="仿宋" w:hAnsi="仿宋" w:cs="仿宋"/>
        </w:rPr>
        <w:t>“</w:t>
      </w:r>
      <w:r>
        <w:rPr>
          <w:rFonts w:ascii="仿宋" w:eastAsia="仿宋" w:hAnsi="仿宋" w:cs="仿宋"/>
        </w:rPr>
        <w:t>养老金</w:t>
      </w:r>
      <w:r>
        <w:rPr>
          <w:rFonts w:ascii="仿宋" w:eastAsia="仿宋" w:hAnsi="仿宋" w:cs="仿宋"/>
        </w:rPr>
        <w:t>”</w:t>
      </w:r>
      <w:r>
        <w:rPr>
          <w:rFonts w:ascii="仿宋" w:eastAsia="仿宋" w:hAnsi="仿宋" w:cs="仿宋"/>
        </w:rPr>
        <w:t>。一是以公开招标方式确定市区住宅专项维修资金专户银行，并于</w:t>
      </w:r>
      <w:r>
        <w:rPr>
          <w:rFonts w:ascii="仿宋" w:eastAsia="仿宋" w:hAnsi="仿宋" w:cs="仿宋"/>
        </w:rPr>
        <w:t>5</w:t>
      </w:r>
      <w:r>
        <w:rPr>
          <w:rFonts w:ascii="仿宋" w:eastAsia="仿宋" w:hAnsi="仿宋" w:cs="仿宋"/>
        </w:rPr>
        <w:t>月首次将资金分组按比例分配给专户银行，全年完成</w:t>
      </w:r>
      <w:r>
        <w:rPr>
          <w:rFonts w:ascii="仿宋" w:eastAsia="仿宋" w:hAnsi="仿宋" w:cs="仿宋"/>
        </w:rPr>
        <w:t>6</w:t>
      </w:r>
      <w:r>
        <w:rPr>
          <w:rFonts w:ascii="仿宋" w:eastAsia="仿宋" w:hAnsi="仿宋" w:cs="仿宋"/>
        </w:rPr>
        <w:t>次资金分配，实现维修资金管理保值增值。二是完成首次市区住宅专项维修资金增值收益分账到户，</w:t>
      </w:r>
      <w:r>
        <w:rPr>
          <w:rFonts w:ascii="仿宋" w:eastAsia="仿宋" w:hAnsi="仿宋" w:cs="仿宋"/>
        </w:rPr>
        <w:t>分配资金</w:t>
      </w:r>
      <w:r>
        <w:rPr>
          <w:rFonts w:ascii="仿宋" w:eastAsia="仿宋" w:hAnsi="仿宋" w:cs="仿宋"/>
        </w:rPr>
        <w:t>6.75</w:t>
      </w:r>
      <w:r>
        <w:rPr>
          <w:rFonts w:ascii="仿宋" w:eastAsia="仿宋" w:hAnsi="仿宋" w:cs="仿宋"/>
        </w:rPr>
        <w:t>亿元，受益业主</w:t>
      </w:r>
      <w:r>
        <w:rPr>
          <w:rFonts w:ascii="仿宋" w:eastAsia="仿宋" w:hAnsi="仿宋" w:cs="仿宋"/>
        </w:rPr>
        <w:t>94</w:t>
      </w:r>
      <w:r>
        <w:rPr>
          <w:rFonts w:ascii="仿宋" w:eastAsia="仿宋" w:hAnsi="仿宋" w:cs="仿宋"/>
        </w:rPr>
        <w:t>万户，充分发挥维修资金作为房屋</w:t>
      </w:r>
      <w:r>
        <w:rPr>
          <w:rFonts w:ascii="仿宋" w:eastAsia="仿宋" w:hAnsi="仿宋" w:cs="仿宋"/>
        </w:rPr>
        <w:t>“</w:t>
      </w:r>
      <w:r>
        <w:rPr>
          <w:rFonts w:ascii="仿宋" w:eastAsia="仿宋" w:hAnsi="仿宋" w:cs="仿宋"/>
        </w:rPr>
        <w:t>养老金</w:t>
      </w:r>
      <w:r>
        <w:rPr>
          <w:rFonts w:ascii="仿宋" w:eastAsia="仿宋" w:hAnsi="仿宋" w:cs="仿宋"/>
        </w:rPr>
        <w:t>”</w:t>
      </w:r>
      <w:r>
        <w:rPr>
          <w:rFonts w:ascii="仿宋" w:eastAsia="仿宋" w:hAnsi="仿宋" w:cs="仿宋"/>
        </w:rPr>
        <w:t>的保障作用。三是制定《常州市住房保障中心对市区住宅专项维修资金专户银行考核办法》，增强维修资金安全风险防范能力。四是积极与不动产登记、正泰房产居间服务有限公司等相关部门沟通协调，建立归集环节的约束机制，实现维修资金应归尽归。</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优化维修资金使用，解决</w:t>
      </w:r>
      <w:r>
        <w:rPr>
          <w:rFonts w:ascii="仿宋" w:eastAsia="仿宋" w:hAnsi="仿宋" w:cs="仿宋"/>
        </w:rPr>
        <w:t>“</w:t>
      </w:r>
      <w:r>
        <w:rPr>
          <w:rFonts w:ascii="仿宋" w:eastAsia="仿宋" w:hAnsi="仿宋" w:cs="仿宋"/>
        </w:rPr>
        <w:t>烦心事</w:t>
      </w:r>
      <w:r>
        <w:rPr>
          <w:rFonts w:ascii="仿宋" w:eastAsia="仿宋" w:hAnsi="仿宋" w:cs="仿宋"/>
        </w:rPr>
        <w:t>”</w:t>
      </w:r>
      <w:r>
        <w:rPr>
          <w:rFonts w:ascii="仿宋" w:eastAsia="仿宋" w:hAnsi="仿宋" w:cs="仿宋"/>
        </w:rPr>
        <w:t>。一是围绕明确属地责任、优化使用流程、增加简易使用程序等内容修订《常州市住宅专项维修资金使用实施细则》，实现维修资金使用便捷高效。二是出台《常州市市区住宅专项维修资金使用管理考</w:t>
      </w:r>
      <w:r>
        <w:rPr>
          <w:rFonts w:ascii="仿宋" w:eastAsia="仿宋" w:hAnsi="仿宋" w:cs="仿宋"/>
        </w:rPr>
        <w:t>核办法》，发挥考核指挥棒作用。三是对实施监理的项目及单批次预算超</w:t>
      </w:r>
      <w:r>
        <w:rPr>
          <w:rFonts w:ascii="仿宋" w:eastAsia="仿宋" w:hAnsi="仿宋" w:cs="仿宋"/>
        </w:rPr>
        <w:t>20</w:t>
      </w:r>
      <w:r>
        <w:rPr>
          <w:rFonts w:ascii="仿宋" w:eastAsia="仿宋" w:hAnsi="仿宋" w:cs="仿宋"/>
        </w:rPr>
        <w:t>万元的项目施工过程实行全过程巡检，全年完成市区</w:t>
      </w:r>
      <w:r>
        <w:rPr>
          <w:rFonts w:ascii="仿宋" w:eastAsia="仿宋" w:hAnsi="仿宋" w:cs="仿宋"/>
        </w:rPr>
        <w:t>22</w:t>
      </w:r>
      <w:r>
        <w:rPr>
          <w:rFonts w:ascii="仿宋" w:eastAsia="仿宋" w:hAnsi="仿宋" w:cs="仿宋"/>
        </w:rPr>
        <w:t>个项目的全过程巡检服务，涉及金额</w:t>
      </w:r>
      <w:r>
        <w:rPr>
          <w:rFonts w:ascii="仿宋" w:eastAsia="仿宋" w:hAnsi="仿宋" w:cs="仿宋"/>
        </w:rPr>
        <w:t>1564</w:t>
      </w:r>
      <w:r>
        <w:rPr>
          <w:rFonts w:ascii="仿宋" w:eastAsia="仿宋" w:hAnsi="仿宋" w:cs="仿宋"/>
        </w:rPr>
        <w:t>万元。四是选聘第三方审计单位对市区住宅专项维修资金使用业务开展全过程评价，及时打好</w:t>
      </w:r>
      <w:r>
        <w:rPr>
          <w:rFonts w:ascii="仿宋" w:eastAsia="仿宋" w:hAnsi="仿宋" w:cs="仿宋"/>
        </w:rPr>
        <w:t>“</w:t>
      </w:r>
      <w:r>
        <w:rPr>
          <w:rFonts w:ascii="仿宋" w:eastAsia="仿宋" w:hAnsi="仿宋" w:cs="仿宋"/>
        </w:rPr>
        <w:t>补丁</w:t>
      </w:r>
      <w:r>
        <w:rPr>
          <w:rFonts w:ascii="仿宋" w:eastAsia="仿宋" w:hAnsi="仿宋" w:cs="仿宋"/>
        </w:rPr>
        <w:t>”</w:t>
      </w:r>
      <w:r>
        <w:rPr>
          <w:rFonts w:ascii="仿宋" w:eastAsia="仿宋" w:hAnsi="仿宋" w:cs="仿宋"/>
        </w:rPr>
        <w:t>。</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（四）切实做好物业管理工作，提升</w:t>
      </w:r>
      <w:r>
        <w:rPr>
          <w:rFonts w:ascii="仿宋" w:eastAsia="仿宋" w:hAnsi="仿宋" w:cs="仿宋"/>
        </w:rPr>
        <w:t>“</w:t>
      </w:r>
      <w:r>
        <w:rPr>
          <w:rFonts w:ascii="仿宋" w:eastAsia="仿宋" w:hAnsi="仿宋" w:cs="仿宋"/>
        </w:rPr>
        <w:t>幸福感</w:t>
      </w:r>
      <w:r>
        <w:rPr>
          <w:rFonts w:ascii="仿宋" w:eastAsia="仿宋" w:hAnsi="仿宋" w:cs="仿宋"/>
        </w:rPr>
        <w:t>”</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配合起草各类文件，组建</w:t>
      </w:r>
      <w:r>
        <w:rPr>
          <w:rFonts w:ascii="仿宋" w:eastAsia="仿宋" w:hAnsi="仿宋" w:cs="仿宋"/>
        </w:rPr>
        <w:t>123</w:t>
      </w:r>
      <w:r>
        <w:rPr>
          <w:rFonts w:ascii="仿宋" w:eastAsia="仿宋" w:hAnsi="仿宋" w:cs="仿宋"/>
        </w:rPr>
        <w:t>个物管会，完成</w:t>
      </w:r>
      <w:r>
        <w:rPr>
          <w:rFonts w:ascii="仿宋" w:eastAsia="仿宋" w:hAnsi="仿宋" w:cs="仿宋"/>
        </w:rPr>
        <w:t>100</w:t>
      </w:r>
      <w:r>
        <w:rPr>
          <w:rFonts w:ascii="仿宋" w:eastAsia="仿宋" w:hAnsi="仿宋" w:cs="仿宋"/>
        </w:rPr>
        <w:t>个目标任务，弥补自治组织空缺，提升业主自治能力；参与物业管理提升行动、公共收益专项检查；积极配合物业平台开发管理工作，目</w:t>
      </w:r>
      <w:r>
        <w:rPr>
          <w:rFonts w:ascii="仿宋" w:eastAsia="仿宋" w:hAnsi="仿宋" w:cs="仿宋"/>
        </w:rPr>
        <w:lastRenderedPageBreak/>
        <w:t>前</w:t>
      </w:r>
      <w:r>
        <w:rPr>
          <w:rFonts w:ascii="仿宋" w:eastAsia="仿宋" w:hAnsi="仿宋" w:cs="仿宋"/>
        </w:rPr>
        <w:t>“</w:t>
      </w:r>
      <w:r>
        <w:rPr>
          <w:rFonts w:ascii="仿宋" w:eastAsia="仿宋" w:hAnsi="仿宋" w:cs="仿宋"/>
        </w:rPr>
        <w:t>阳光物业</w:t>
      </w:r>
      <w:r>
        <w:rPr>
          <w:rFonts w:ascii="仿宋" w:eastAsia="仿宋" w:hAnsi="仿宋" w:cs="仿宋"/>
        </w:rPr>
        <w:t>”</w:t>
      </w:r>
      <w:r>
        <w:rPr>
          <w:rFonts w:ascii="仿宋" w:eastAsia="仿宋" w:hAnsi="仿宋" w:cs="仿宋"/>
        </w:rPr>
        <w:t>平台关注和认证人数呈快速上升趋势，已达</w:t>
      </w:r>
      <w:r>
        <w:rPr>
          <w:rFonts w:ascii="仿宋" w:eastAsia="仿宋" w:hAnsi="仿宋" w:cs="仿宋"/>
        </w:rPr>
        <w:t>10.98</w:t>
      </w:r>
      <w:r>
        <w:rPr>
          <w:rFonts w:ascii="仿宋" w:eastAsia="仿宋" w:hAnsi="仿宋" w:cs="仿宋"/>
        </w:rPr>
        <w:t>万人，点击率超</w:t>
      </w:r>
      <w:r>
        <w:rPr>
          <w:rFonts w:ascii="仿宋" w:eastAsia="仿宋" w:hAnsi="仿宋" w:cs="仿宋"/>
        </w:rPr>
        <w:t>70</w:t>
      </w:r>
      <w:r>
        <w:rPr>
          <w:rFonts w:ascii="仿宋" w:eastAsia="仿宋" w:hAnsi="仿宋" w:cs="仿宋"/>
        </w:rPr>
        <w:t>万次；配合开展</w:t>
      </w:r>
      <w:r>
        <w:rPr>
          <w:rFonts w:ascii="仿宋" w:eastAsia="仿宋" w:hAnsi="仿宋" w:cs="仿宋"/>
        </w:rPr>
        <w:t>10</w:t>
      </w:r>
      <w:r>
        <w:rPr>
          <w:rFonts w:ascii="仿宋" w:eastAsia="仿宋" w:hAnsi="仿宋" w:cs="仿宋"/>
        </w:rPr>
        <w:t>期阳光物业</w:t>
      </w:r>
      <w:r>
        <w:rPr>
          <w:rFonts w:ascii="仿宋" w:eastAsia="仿宋" w:hAnsi="仿宋" w:cs="仿宋"/>
        </w:rPr>
        <w:t>“</w:t>
      </w:r>
      <w:r>
        <w:rPr>
          <w:rFonts w:ascii="仿宋" w:eastAsia="仿宋" w:hAnsi="仿宋" w:cs="仿宋"/>
        </w:rPr>
        <w:t>面对面</w:t>
      </w:r>
      <w:r>
        <w:rPr>
          <w:rFonts w:ascii="仿宋" w:eastAsia="仿宋" w:hAnsi="仿宋" w:cs="仿宋"/>
        </w:rPr>
        <w:t>”</w:t>
      </w:r>
      <w:r>
        <w:rPr>
          <w:rFonts w:ascii="仿宋" w:eastAsia="仿宋" w:hAnsi="仿宋" w:cs="仿宋"/>
        </w:rPr>
        <w:t>直播活动，宣传物业管理相关政策。</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（五）扎实推进民生保障工作，跑出</w:t>
      </w:r>
      <w:r>
        <w:rPr>
          <w:rFonts w:ascii="仿宋" w:eastAsia="仿宋" w:hAnsi="仿宋" w:cs="仿宋"/>
        </w:rPr>
        <w:t>“</w:t>
      </w:r>
      <w:r>
        <w:rPr>
          <w:rFonts w:ascii="仿宋" w:eastAsia="仿宋" w:hAnsi="仿宋" w:cs="仿宋"/>
        </w:rPr>
        <w:t>加速度</w:t>
      </w:r>
      <w:r>
        <w:rPr>
          <w:rFonts w:ascii="仿宋" w:eastAsia="仿宋" w:hAnsi="仿宋" w:cs="仿宋"/>
        </w:rPr>
        <w:t>”</w:t>
      </w:r>
    </w:p>
    <w:p w:rsidR="006E012F" w:rsidRDefault="001A01FA">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协助完成老旧小区改造提升</w:t>
      </w:r>
      <w:r>
        <w:rPr>
          <w:rFonts w:ascii="仿宋" w:eastAsia="仿宋" w:hAnsi="仿宋" w:cs="仿宋"/>
        </w:rPr>
        <w:t>98</w:t>
      </w:r>
      <w:r>
        <w:rPr>
          <w:rFonts w:ascii="仿宋" w:eastAsia="仿宋" w:hAnsi="仿宋" w:cs="仿宋"/>
        </w:rPr>
        <w:t>个，惠及居民</w:t>
      </w:r>
      <w:r>
        <w:rPr>
          <w:rFonts w:ascii="仿宋" w:eastAsia="仿宋" w:hAnsi="仿宋" w:cs="仿宋"/>
        </w:rPr>
        <w:t>66971</w:t>
      </w:r>
      <w:r>
        <w:rPr>
          <w:rFonts w:ascii="仿宋" w:eastAsia="仿宋" w:hAnsi="仿宋" w:cs="仿宋"/>
        </w:rPr>
        <w:t>户，涉及改造居民房屋</w:t>
      </w:r>
      <w:r>
        <w:rPr>
          <w:rFonts w:ascii="仿宋" w:eastAsia="仿宋" w:hAnsi="仿宋" w:cs="仿宋"/>
        </w:rPr>
        <w:t>1864</w:t>
      </w:r>
      <w:r>
        <w:rPr>
          <w:rFonts w:ascii="仿宋" w:eastAsia="仿宋" w:hAnsi="仿宋" w:cs="仿宋"/>
        </w:rPr>
        <w:t>幢，面积</w:t>
      </w:r>
      <w:r>
        <w:rPr>
          <w:rFonts w:ascii="仿宋" w:eastAsia="仿宋" w:hAnsi="仿宋" w:cs="仿宋"/>
        </w:rPr>
        <w:t>587.26</w:t>
      </w:r>
      <w:r>
        <w:rPr>
          <w:rFonts w:ascii="仿宋" w:eastAsia="仿宋" w:hAnsi="仿宋" w:cs="仿宋"/>
        </w:rPr>
        <w:t>万平方米；既有住宅加装电梯</w:t>
      </w:r>
      <w:r>
        <w:rPr>
          <w:rFonts w:ascii="仿宋" w:eastAsia="仿宋" w:hAnsi="仿宋" w:cs="仿宋"/>
        </w:rPr>
        <w:t>164</w:t>
      </w:r>
      <w:r>
        <w:rPr>
          <w:rFonts w:ascii="仿宋" w:eastAsia="仿宋" w:hAnsi="仿宋" w:cs="仿宋"/>
        </w:rPr>
        <w:t>部，累计完工</w:t>
      </w:r>
      <w:r>
        <w:rPr>
          <w:rFonts w:ascii="仿宋" w:eastAsia="仿宋" w:hAnsi="仿宋" w:cs="仿宋"/>
        </w:rPr>
        <w:t>338</w:t>
      </w:r>
      <w:r>
        <w:rPr>
          <w:rFonts w:ascii="仿宋" w:eastAsia="仿宋" w:hAnsi="仿宋" w:cs="仿宋"/>
        </w:rPr>
        <w:t>部，正在施工</w:t>
      </w:r>
      <w:r>
        <w:rPr>
          <w:rFonts w:ascii="仿宋" w:eastAsia="仿宋" w:hAnsi="仿宋" w:cs="仿宋"/>
        </w:rPr>
        <w:t>201</w:t>
      </w:r>
      <w:r>
        <w:rPr>
          <w:rFonts w:ascii="仿宋" w:eastAsia="仿宋" w:hAnsi="仿宋" w:cs="仿宋"/>
        </w:rPr>
        <w:t>部，正在开展前期工作</w:t>
      </w:r>
      <w:r>
        <w:rPr>
          <w:rFonts w:ascii="仿宋" w:eastAsia="仿宋" w:hAnsi="仿宋" w:cs="仿宋"/>
        </w:rPr>
        <w:t>304</w:t>
      </w:r>
      <w:r>
        <w:rPr>
          <w:rFonts w:ascii="仿宋" w:eastAsia="仿宋" w:hAnsi="仿宋" w:cs="仿宋"/>
        </w:rPr>
        <w:t>部；既有住宅建设电动自行车充电端口</w:t>
      </w:r>
      <w:r>
        <w:rPr>
          <w:rFonts w:ascii="仿宋" w:eastAsia="仿宋" w:hAnsi="仿宋" w:cs="仿宋"/>
        </w:rPr>
        <w:t>2.24</w:t>
      </w:r>
      <w:r>
        <w:rPr>
          <w:rFonts w:ascii="仿宋" w:eastAsia="仿宋" w:hAnsi="仿宋" w:cs="仿宋"/>
        </w:rPr>
        <w:t>万个，电动汽车公共汽车充电桩建设</w:t>
      </w:r>
      <w:r>
        <w:rPr>
          <w:rFonts w:ascii="仿宋" w:eastAsia="仿宋" w:hAnsi="仿宋" w:cs="仿宋"/>
        </w:rPr>
        <w:t>1412</w:t>
      </w:r>
      <w:r>
        <w:rPr>
          <w:rFonts w:ascii="仿宋" w:eastAsia="仿宋" w:hAnsi="仿宋" w:cs="仿宋"/>
        </w:rPr>
        <w:t>个。</w:t>
      </w:r>
    </w:p>
    <w:p w:rsidR="006E012F" w:rsidRPr="00CF349C" w:rsidRDefault="006E012F">
      <w:pPr>
        <w:pStyle w:val="a4"/>
        <w:spacing w:line="235" w:lineRule="auto"/>
        <w:ind w:leftChars="300" w:left="702" w:right="2414" w:hanging="9"/>
        <w:jc w:val="both"/>
        <w:rPr>
          <w:rFonts w:ascii="仿宋" w:eastAsia="仿宋" w:hAnsi="仿宋" w:cs="仿宋"/>
          <w:lang w:val="en-US"/>
        </w:rPr>
        <w:sectPr w:rsidR="006E012F" w:rsidRPr="00CF349C">
          <w:footerReference w:type="default" r:id="rId10"/>
          <w:pgSz w:w="11906" w:h="16838"/>
          <w:pgMar w:top="1580" w:right="700" w:bottom="770" w:left="1020" w:header="283" w:footer="280" w:gutter="0"/>
          <w:pgNumType w:fmt="numberInDash"/>
          <w:cols w:space="720"/>
          <w:formProt w:val="0"/>
          <w:docGrid w:linePitch="100"/>
        </w:sectPr>
      </w:pPr>
    </w:p>
    <w:p w:rsidR="006E012F" w:rsidRDefault="006E012F">
      <w:pPr>
        <w:pStyle w:val="a4"/>
        <w:spacing w:line="360" w:lineRule="auto"/>
        <w:ind w:leftChars="200" w:left="462" w:rightChars="229" w:right="529" w:firstLine="658"/>
        <w:jc w:val="both"/>
        <w:rPr>
          <w:rFonts w:ascii="仿宋" w:eastAsia="仿宋" w:hAnsi="仿宋" w:cs="仿宋"/>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Pr="00CF349C" w:rsidRDefault="006E012F">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6E012F" w:rsidRDefault="001A01FA">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6E012F" w:rsidRPr="00106238" w:rsidRDefault="001A01FA">
      <w:pPr>
        <w:pStyle w:val="10"/>
        <w:tabs>
          <w:tab w:val="left" w:pos="1609"/>
        </w:tabs>
        <w:spacing w:before="12" w:line="300" w:lineRule="auto"/>
        <w:ind w:left="340" w:right="567" w:firstLine="0"/>
        <w:jc w:val="center"/>
        <w:rPr>
          <w:rFonts w:ascii="宋体" w:eastAsia="宋体" w:hAnsi="宋体" w:cs="宋体"/>
          <w:b/>
          <w:bCs/>
          <w:sz w:val="36"/>
          <w:szCs w:val="36"/>
          <w:lang w:val="en-US"/>
        </w:rPr>
      </w:pPr>
      <w:r>
        <w:rPr>
          <w:rFonts w:ascii="宋体" w:eastAsia="宋体" w:hAnsi="宋体" w:cs="宋体" w:hint="eastAsia"/>
          <w:b/>
          <w:bCs/>
          <w:sz w:val="36"/>
          <w:szCs w:val="36"/>
        </w:rPr>
        <w:t>常州市住房保障中心</w:t>
      </w:r>
    </w:p>
    <w:p w:rsidR="006E012F" w:rsidRDefault="001A01FA">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6E012F">
        <w:trPr>
          <w:trHeight w:val="544"/>
          <w:jc w:val="center"/>
        </w:trPr>
        <w:tc>
          <w:tcPr>
            <w:tcW w:w="10447" w:type="dxa"/>
            <w:gridSpan w:val="5"/>
          </w:tcPr>
          <w:p w:rsidR="006E012F" w:rsidRDefault="001A01FA">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6E012F">
        <w:trPr>
          <w:trHeight w:val="348"/>
          <w:jc w:val="center"/>
        </w:trPr>
        <w:tc>
          <w:tcPr>
            <w:tcW w:w="3468" w:type="dxa"/>
          </w:tcPr>
          <w:p w:rsidR="006E012F" w:rsidRDefault="006E012F">
            <w:pPr>
              <w:rPr>
                <w:rFonts w:ascii="仿宋" w:eastAsia="仿宋" w:hAnsi="仿宋" w:cs="仿宋"/>
                <w:color w:val="000000"/>
                <w:sz w:val="20"/>
              </w:rPr>
            </w:pPr>
          </w:p>
        </w:tc>
        <w:tc>
          <w:tcPr>
            <w:tcW w:w="1777" w:type="dxa"/>
          </w:tcPr>
          <w:p w:rsidR="006E012F" w:rsidRDefault="006E012F">
            <w:pPr>
              <w:rPr>
                <w:rFonts w:ascii="仿宋" w:eastAsia="仿宋" w:hAnsi="仿宋" w:cs="仿宋"/>
                <w:color w:val="000000"/>
                <w:sz w:val="20"/>
              </w:rPr>
            </w:pPr>
          </w:p>
        </w:tc>
        <w:tc>
          <w:tcPr>
            <w:tcW w:w="5202" w:type="dxa"/>
            <w:gridSpan w:val="3"/>
          </w:tcPr>
          <w:p w:rsidR="006E012F" w:rsidRDefault="001A01FA">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6E012F">
        <w:trPr>
          <w:trHeight w:val="333"/>
          <w:jc w:val="center"/>
        </w:trPr>
        <w:tc>
          <w:tcPr>
            <w:tcW w:w="7280" w:type="dxa"/>
            <w:gridSpan w:val="3"/>
            <w:tcBorders>
              <w:bottom w:val="single" w:sz="4" w:space="0" w:color="000000"/>
            </w:tcBorders>
            <w:vAlign w:val="center"/>
          </w:tcPr>
          <w:p w:rsidR="006E012F" w:rsidRDefault="001A01FA">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常州市住房保障中心</w:t>
            </w:r>
          </w:p>
        </w:tc>
        <w:tc>
          <w:tcPr>
            <w:tcW w:w="3167" w:type="dxa"/>
            <w:gridSpan w:val="2"/>
            <w:tcBorders>
              <w:bottom w:val="single" w:sz="4" w:space="0" w:color="000000"/>
            </w:tcBorders>
            <w:vAlign w:val="center"/>
          </w:tcPr>
          <w:p w:rsidR="006E012F" w:rsidRDefault="001A01FA">
            <w:pPr>
              <w:jc w:val="right"/>
              <w:rPr>
                <w:rFonts w:ascii="仿宋" w:eastAsia="仿宋" w:hAnsi="仿宋" w:cs="仿宋"/>
                <w:color w:val="000000"/>
              </w:rPr>
            </w:pPr>
            <w:r>
              <w:rPr>
                <w:rFonts w:ascii="仿宋" w:eastAsia="仿宋" w:hAnsi="仿宋" w:cs="仿宋" w:hint="eastAsia"/>
                <w:color w:val="000000"/>
              </w:rPr>
              <w:t>金额单位：万元</w:t>
            </w:r>
          </w:p>
        </w:tc>
      </w:tr>
      <w:tr w:rsidR="006E012F">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color w:val="000000"/>
                <w:lang w:eastAsia="ar-SA"/>
              </w:rPr>
              <w:t>支出</w:t>
            </w:r>
          </w:p>
        </w:tc>
      </w:tr>
      <w:tr w:rsidR="006E012F">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color w:val="000000"/>
                <w:lang w:eastAsia="ar-SA"/>
              </w:rPr>
              <w:t>决算数</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23,498.54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2,155.45</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12,748.90</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3,235.88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0.22</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22.44</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7,187.38</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8,930.94</w:t>
            </w: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6E012F">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keepNext/>
              <w:keepLines/>
              <w:jc w:val="right"/>
              <w:rPr>
                <w:rFonts w:ascii="仿宋" w:eastAsia="仿宋" w:hAnsi="仿宋" w:cs="仿宋"/>
                <w:color w:val="000000"/>
                <w:lang w:eastAsia="ar-SA"/>
              </w:rPr>
            </w:pPr>
          </w:p>
        </w:tc>
      </w:tr>
      <w:tr w:rsidR="006E012F">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right"/>
              <w:rPr>
                <w:rFonts w:ascii="仿宋" w:eastAsia="仿宋" w:hAnsi="仿宋" w:cs="仿宋"/>
                <w:color w:val="000000"/>
              </w:rPr>
            </w:pPr>
            <w:r>
              <w:rPr>
                <w:rFonts w:ascii="仿宋" w:eastAsia="仿宋" w:hAnsi="仿宋" w:cs="仿宋" w:hint="eastAsia"/>
                <w:color w:val="000000"/>
                <w:lang w:eastAsia="ar-SA"/>
              </w:rPr>
              <w:t>28,889.88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right"/>
              <w:rPr>
                <w:rFonts w:ascii="仿宋" w:eastAsia="仿宋" w:hAnsi="仿宋" w:cs="仿宋"/>
                <w:color w:val="000000"/>
              </w:rPr>
            </w:pPr>
            <w:r>
              <w:rPr>
                <w:rFonts w:ascii="仿宋" w:eastAsia="仿宋" w:hAnsi="仿宋" w:cs="仿宋" w:hint="eastAsia"/>
                <w:color w:val="000000"/>
                <w:lang w:eastAsia="ar-SA"/>
              </w:rPr>
              <w:t>28,889.88</w:t>
            </w:r>
          </w:p>
        </w:tc>
      </w:tr>
      <w:tr w:rsidR="006E012F">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color w:val="000000"/>
              </w:rPr>
            </w:pPr>
          </w:p>
        </w:tc>
      </w:tr>
      <w:tr w:rsidR="006E012F">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color w:val="000000"/>
              </w:rPr>
            </w:pPr>
          </w:p>
        </w:tc>
      </w:tr>
      <w:tr w:rsidR="006E012F">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6E012F" w:rsidRDefault="006E012F">
            <w:pPr>
              <w:rPr>
                <w:rFonts w:ascii="仿宋" w:eastAsia="仿宋" w:hAnsi="仿宋" w:cs="仿宋"/>
                <w:color w:val="000000"/>
              </w:rPr>
            </w:pPr>
          </w:p>
        </w:tc>
      </w:tr>
      <w:tr w:rsidR="006E012F">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right"/>
              <w:rPr>
                <w:rFonts w:ascii="仿宋" w:eastAsia="仿宋" w:hAnsi="仿宋" w:cs="仿宋"/>
                <w:color w:val="000000"/>
              </w:rPr>
            </w:pPr>
            <w:r>
              <w:rPr>
                <w:rFonts w:ascii="仿宋" w:eastAsia="仿宋" w:hAnsi="仿宋" w:cs="仿宋" w:hint="eastAsia"/>
                <w:color w:val="000000"/>
                <w:lang w:eastAsia="ar-SA"/>
              </w:rPr>
              <w:t>28,889.88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6E012F" w:rsidRDefault="001A01FA">
            <w:pPr>
              <w:jc w:val="right"/>
              <w:rPr>
                <w:rFonts w:ascii="仿宋" w:eastAsia="仿宋" w:hAnsi="仿宋" w:cs="仿宋"/>
                <w:color w:val="000000"/>
              </w:rPr>
            </w:pPr>
            <w:r>
              <w:rPr>
                <w:rFonts w:ascii="仿宋" w:eastAsia="仿宋" w:hAnsi="仿宋" w:cs="仿宋" w:hint="eastAsia"/>
                <w:color w:val="000000"/>
                <w:lang w:eastAsia="ar-SA"/>
              </w:rPr>
              <w:t>28,889.88</w:t>
            </w:r>
          </w:p>
        </w:tc>
      </w:tr>
    </w:tbl>
    <w:p w:rsidR="006E012F" w:rsidRDefault="001A01FA">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6E012F" w:rsidRPr="00CF349C" w:rsidRDefault="006E012F">
      <w:pPr>
        <w:spacing w:before="66"/>
        <w:jc w:val="both"/>
        <w:rPr>
          <w:rFonts w:ascii="仿宋" w:eastAsia="仿宋" w:hAnsi="仿宋" w:cs="仿宋"/>
          <w:color w:val="000000"/>
          <w:lang w:val="en-US"/>
        </w:rPr>
        <w:sectPr w:rsidR="006E012F" w:rsidRPr="00CF349C">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6E012F">
        <w:trPr>
          <w:trHeight w:val="403"/>
          <w:jc w:val="center"/>
        </w:trPr>
        <w:tc>
          <w:tcPr>
            <w:tcW w:w="16660" w:type="dxa"/>
            <w:gridSpan w:val="10"/>
            <w:vAlign w:val="center"/>
          </w:tcPr>
          <w:p w:rsidR="006E012F" w:rsidRDefault="001A01FA">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6E012F">
        <w:trPr>
          <w:trHeight w:val="247"/>
          <w:jc w:val="center"/>
        </w:trPr>
        <w:tc>
          <w:tcPr>
            <w:tcW w:w="4357" w:type="dxa"/>
            <w:gridSpan w:val="2"/>
            <w:vAlign w:val="center"/>
          </w:tcPr>
          <w:p w:rsidR="006E012F" w:rsidRDefault="006E012F">
            <w:pPr>
              <w:pStyle w:val="TableParagraph"/>
              <w:jc w:val="center"/>
              <w:rPr>
                <w:rFonts w:ascii="仿宋" w:eastAsia="仿宋" w:hAnsi="仿宋" w:cs="仿宋"/>
              </w:rPr>
            </w:pPr>
          </w:p>
        </w:tc>
        <w:tc>
          <w:tcPr>
            <w:tcW w:w="1716" w:type="dxa"/>
            <w:vAlign w:val="center"/>
          </w:tcPr>
          <w:p w:rsidR="006E012F" w:rsidRDefault="006E012F">
            <w:pPr>
              <w:pStyle w:val="TableParagraph"/>
              <w:jc w:val="center"/>
              <w:rPr>
                <w:rFonts w:ascii="仿宋" w:eastAsia="仿宋" w:hAnsi="仿宋" w:cs="仿宋"/>
              </w:rPr>
            </w:pPr>
          </w:p>
        </w:tc>
        <w:tc>
          <w:tcPr>
            <w:tcW w:w="1728" w:type="dxa"/>
            <w:vAlign w:val="center"/>
          </w:tcPr>
          <w:p w:rsidR="006E012F" w:rsidRDefault="006E012F">
            <w:pPr>
              <w:pStyle w:val="TableParagraph"/>
              <w:jc w:val="center"/>
              <w:rPr>
                <w:rFonts w:ascii="仿宋" w:eastAsia="仿宋" w:hAnsi="仿宋" w:cs="仿宋"/>
              </w:rPr>
            </w:pPr>
          </w:p>
        </w:tc>
        <w:tc>
          <w:tcPr>
            <w:tcW w:w="1686" w:type="dxa"/>
            <w:vAlign w:val="center"/>
          </w:tcPr>
          <w:p w:rsidR="006E012F" w:rsidRDefault="006E012F">
            <w:pPr>
              <w:pStyle w:val="TableParagraph"/>
              <w:jc w:val="center"/>
              <w:rPr>
                <w:rFonts w:ascii="仿宋" w:eastAsia="仿宋" w:hAnsi="仿宋" w:cs="仿宋"/>
              </w:rPr>
            </w:pPr>
          </w:p>
        </w:tc>
        <w:tc>
          <w:tcPr>
            <w:tcW w:w="3207" w:type="dxa"/>
            <w:gridSpan w:val="2"/>
            <w:vAlign w:val="center"/>
          </w:tcPr>
          <w:p w:rsidR="006E012F" w:rsidRDefault="006E012F">
            <w:pPr>
              <w:pStyle w:val="TableParagraph"/>
              <w:jc w:val="center"/>
              <w:rPr>
                <w:rFonts w:ascii="仿宋" w:eastAsia="仿宋" w:hAnsi="仿宋" w:cs="仿宋"/>
              </w:rPr>
            </w:pPr>
          </w:p>
        </w:tc>
        <w:tc>
          <w:tcPr>
            <w:tcW w:w="1263" w:type="dxa"/>
            <w:vAlign w:val="center"/>
          </w:tcPr>
          <w:p w:rsidR="006E012F" w:rsidRDefault="006E012F">
            <w:pPr>
              <w:pStyle w:val="TableParagraph"/>
              <w:jc w:val="center"/>
              <w:rPr>
                <w:rFonts w:ascii="仿宋" w:eastAsia="仿宋" w:hAnsi="仿宋" w:cs="仿宋"/>
              </w:rPr>
            </w:pPr>
          </w:p>
        </w:tc>
        <w:tc>
          <w:tcPr>
            <w:tcW w:w="2703" w:type="dxa"/>
            <w:gridSpan w:val="2"/>
            <w:vAlign w:val="center"/>
          </w:tcPr>
          <w:p w:rsidR="006E012F" w:rsidRDefault="001A01F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6E012F">
        <w:trPr>
          <w:trHeight w:val="247"/>
          <w:jc w:val="center"/>
        </w:trPr>
        <w:tc>
          <w:tcPr>
            <w:tcW w:w="13957" w:type="dxa"/>
            <w:gridSpan w:val="8"/>
            <w:vAlign w:val="center"/>
          </w:tcPr>
          <w:p w:rsidR="006E012F" w:rsidRDefault="001A01F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2703" w:type="dxa"/>
            <w:gridSpan w:val="2"/>
            <w:vAlign w:val="center"/>
          </w:tcPr>
          <w:p w:rsidR="006E012F" w:rsidRDefault="001A01FA">
            <w:pPr>
              <w:pStyle w:val="TableParagraph"/>
              <w:jc w:val="right"/>
              <w:rPr>
                <w:rFonts w:ascii="仿宋" w:eastAsia="仿宋" w:hAnsi="仿宋" w:cs="仿宋"/>
              </w:rPr>
            </w:pPr>
            <w:r>
              <w:rPr>
                <w:rFonts w:ascii="仿宋" w:eastAsia="仿宋" w:hAnsi="仿宋" w:cs="仿宋" w:hint="eastAsia"/>
              </w:rPr>
              <w:t>金额单位：万元</w:t>
            </w:r>
          </w:p>
        </w:tc>
      </w:tr>
      <w:tr w:rsidR="006E012F">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其他收入</w:t>
            </w:r>
          </w:p>
        </w:tc>
      </w:tr>
      <w:tr w:rsidR="006E012F">
        <w:trPr>
          <w:cantSplit/>
          <w:trHeight w:val="502"/>
          <w:jc w:val="center"/>
        </w:trPr>
        <w:tc>
          <w:tcPr>
            <w:tcW w:w="1201"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功能分类</w:t>
            </w:r>
          </w:p>
          <w:p w:rsidR="006E012F" w:rsidRDefault="001A01FA">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6E012F" w:rsidRDefault="006E012F">
            <w:pPr>
              <w:rPr>
                <w:rFonts w:ascii="仿宋" w:eastAsia="仿宋" w:hAnsi="仿宋" w:cs="仿宋"/>
              </w:rPr>
            </w:pPr>
          </w:p>
        </w:tc>
        <w:tc>
          <w:tcPr>
            <w:tcW w:w="1728" w:type="dxa"/>
            <w:vMerge/>
            <w:tcBorders>
              <w:left w:val="single" w:sz="4" w:space="0" w:color="000000"/>
              <w:bottom w:val="single" w:sz="4" w:space="0" w:color="000000"/>
            </w:tcBorders>
          </w:tcPr>
          <w:p w:rsidR="006E012F" w:rsidRDefault="006E012F">
            <w:pPr>
              <w:rPr>
                <w:rFonts w:ascii="仿宋" w:eastAsia="仿宋" w:hAnsi="仿宋" w:cs="仿宋"/>
              </w:rPr>
            </w:pPr>
          </w:p>
        </w:tc>
        <w:tc>
          <w:tcPr>
            <w:tcW w:w="1686" w:type="dxa"/>
            <w:vMerge/>
            <w:tcBorders>
              <w:left w:val="single" w:sz="4" w:space="0" w:color="000000"/>
              <w:bottom w:val="single" w:sz="4" w:space="0" w:color="000000"/>
            </w:tcBorders>
          </w:tcPr>
          <w:p w:rsidR="006E012F" w:rsidRDefault="006E012F">
            <w:pPr>
              <w:rPr>
                <w:rFonts w:ascii="仿宋" w:eastAsia="仿宋" w:hAnsi="仿宋" w:cs="仿宋"/>
              </w:rPr>
            </w:pPr>
          </w:p>
        </w:tc>
        <w:tc>
          <w:tcPr>
            <w:tcW w:w="1503"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6E012F" w:rsidRDefault="006E012F">
            <w:pPr>
              <w:rPr>
                <w:rFonts w:ascii="仿宋" w:eastAsia="仿宋" w:hAnsi="仿宋" w:cs="仿宋"/>
              </w:rPr>
            </w:pPr>
          </w:p>
        </w:tc>
        <w:tc>
          <w:tcPr>
            <w:tcW w:w="1375" w:type="dxa"/>
            <w:vMerge/>
            <w:tcBorders>
              <w:left w:val="single" w:sz="4" w:space="0" w:color="000000"/>
              <w:bottom w:val="single" w:sz="4" w:space="0" w:color="000000"/>
            </w:tcBorders>
          </w:tcPr>
          <w:p w:rsidR="006E012F" w:rsidRDefault="006E012F">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cantSplit/>
          <w:trHeight w:hRule="exact" w:val="267"/>
          <w:jc w:val="center"/>
        </w:trPr>
        <w:tc>
          <w:tcPr>
            <w:tcW w:w="4357"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6E012F" w:rsidRDefault="001A01FA">
            <w:pPr>
              <w:jc w:val="right"/>
              <w:rPr>
                <w:rFonts w:ascii="仿宋" w:eastAsia="仿宋" w:hAnsi="仿宋" w:cs="仿宋"/>
                <w:sz w:val="20"/>
                <w:szCs w:val="20"/>
              </w:rPr>
            </w:pPr>
            <w:r>
              <w:rPr>
                <w:rFonts w:ascii="仿宋" w:eastAsia="仿宋" w:hAnsi="仿宋" w:cs="仿宋" w:hint="eastAsia"/>
                <w:sz w:val="20"/>
                <w:szCs w:val="20"/>
              </w:rPr>
              <w:t>28,889.88</w:t>
            </w:r>
          </w:p>
        </w:tc>
        <w:tc>
          <w:tcPr>
            <w:tcW w:w="1728" w:type="dxa"/>
            <w:tcBorders>
              <w:left w:val="single" w:sz="4" w:space="0" w:color="000000"/>
              <w:bottom w:val="single" w:sz="4" w:space="0" w:color="000000"/>
            </w:tcBorders>
            <w:vAlign w:val="center"/>
          </w:tcPr>
          <w:p w:rsidR="006E012F" w:rsidRDefault="001A01FA">
            <w:pPr>
              <w:jc w:val="right"/>
              <w:rPr>
                <w:rFonts w:ascii="仿宋" w:eastAsia="仿宋" w:hAnsi="仿宋" w:cs="仿宋"/>
                <w:sz w:val="20"/>
                <w:szCs w:val="20"/>
              </w:rPr>
            </w:pPr>
            <w:r>
              <w:rPr>
                <w:rFonts w:ascii="仿宋" w:eastAsia="仿宋" w:hAnsi="仿宋" w:cs="仿宋" w:hint="eastAsia"/>
                <w:sz w:val="20"/>
                <w:szCs w:val="20"/>
              </w:rPr>
              <w:t>23,498.54</w:t>
            </w:r>
          </w:p>
        </w:tc>
        <w:tc>
          <w:tcPr>
            <w:tcW w:w="1686"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6E012F" w:rsidRDefault="001A01FA">
            <w:pPr>
              <w:jc w:val="right"/>
              <w:rPr>
                <w:rFonts w:ascii="仿宋" w:eastAsia="仿宋" w:hAnsi="仿宋" w:cs="仿宋"/>
                <w:sz w:val="20"/>
                <w:szCs w:val="20"/>
              </w:rPr>
            </w:pPr>
            <w:r>
              <w:rPr>
                <w:rFonts w:ascii="仿宋" w:eastAsia="仿宋" w:hAnsi="仿宋" w:cs="仿宋" w:hint="eastAsia"/>
                <w:sz w:val="20"/>
                <w:szCs w:val="20"/>
              </w:rPr>
              <w:t>2,155.45</w:t>
            </w:r>
          </w:p>
        </w:tc>
        <w:tc>
          <w:tcPr>
            <w:tcW w:w="1375" w:type="dxa"/>
            <w:tcBorders>
              <w:left w:val="single" w:sz="4" w:space="0" w:color="000000"/>
              <w:bottom w:val="single" w:sz="4" w:space="0" w:color="000000"/>
            </w:tcBorders>
            <w:vAlign w:val="center"/>
          </w:tcPr>
          <w:p w:rsidR="006E012F" w:rsidRDefault="006E012F">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6E012F" w:rsidRDefault="001A01FA">
            <w:pPr>
              <w:jc w:val="right"/>
              <w:rPr>
                <w:rFonts w:ascii="仿宋" w:eastAsia="仿宋" w:hAnsi="仿宋" w:cs="仿宋"/>
                <w:sz w:val="20"/>
                <w:szCs w:val="20"/>
              </w:rPr>
            </w:pPr>
            <w:r>
              <w:rPr>
                <w:rFonts w:ascii="仿宋" w:eastAsia="仿宋" w:hAnsi="仿宋" w:cs="仿宋" w:hint="eastAsia"/>
                <w:sz w:val="20"/>
                <w:szCs w:val="20"/>
              </w:rPr>
              <w:t>3,235.88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科学技术支出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12,748.90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12,748.90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20604</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2060499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10,548.90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2,200.00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0.22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0.22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0.22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0.22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0.22</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0.22</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7,187.38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920.19</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2120399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6,267.19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920.19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920.19</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920.19</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920.19</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8,930.94</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4,459.79</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1,235.27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3,235.88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4,461.38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1,225.50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3,235.88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2210106</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3,823.88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588.00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3,235.88</w:t>
            </w: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2210107</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637.50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637.50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495.65</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495.65</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153.37</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153.37</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118.00</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118.00</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224.28</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224.28</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22103</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3,973.91</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2,738.64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1,235.27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r w:rsidR="006E012F">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2210399</w:t>
            </w:r>
          </w:p>
        </w:tc>
        <w:tc>
          <w:tcPr>
            <w:tcW w:w="315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3,973.91</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2,738.64</w:t>
            </w:r>
          </w:p>
        </w:tc>
        <w:tc>
          <w:tcPr>
            <w:tcW w:w="168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20"/>
                <w:szCs w:val="20"/>
              </w:rPr>
            </w:pPr>
            <w:r>
              <w:rPr>
                <w:rFonts w:ascii="仿宋" w:eastAsia="仿宋" w:hAnsi="仿宋" w:cs="仿宋" w:hint="eastAsia"/>
                <w:sz w:val="20"/>
                <w:szCs w:val="20"/>
              </w:rPr>
              <w:t>1,235.27</w:t>
            </w:r>
          </w:p>
        </w:tc>
        <w:tc>
          <w:tcPr>
            <w:tcW w:w="137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sz w:val="20"/>
                <w:szCs w:val="20"/>
              </w:rPr>
            </w:pPr>
          </w:p>
        </w:tc>
      </w:tr>
    </w:tbl>
    <w:p w:rsidR="006E012F" w:rsidRDefault="001A01FA">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6E012F" w:rsidRDefault="006E012F">
      <w:pPr>
        <w:spacing w:before="66"/>
        <w:ind w:left="57" w:firstLineChars="100" w:firstLine="220"/>
        <w:jc w:val="both"/>
        <w:rPr>
          <w:rFonts w:ascii="仿宋" w:eastAsia="仿宋" w:hAnsi="仿宋" w:cs="仿宋"/>
        </w:rPr>
        <w:sectPr w:rsidR="006E012F">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6E012F">
        <w:trPr>
          <w:trHeight w:val="532"/>
        </w:trPr>
        <w:tc>
          <w:tcPr>
            <w:tcW w:w="15689" w:type="dxa"/>
            <w:gridSpan w:val="8"/>
            <w:vAlign w:val="center"/>
          </w:tcPr>
          <w:p w:rsidR="006E012F" w:rsidRDefault="001A01FA">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6E012F">
        <w:trPr>
          <w:trHeight w:val="227"/>
        </w:trPr>
        <w:tc>
          <w:tcPr>
            <w:tcW w:w="5115" w:type="dxa"/>
            <w:gridSpan w:val="2"/>
            <w:vAlign w:val="center"/>
          </w:tcPr>
          <w:p w:rsidR="006E012F" w:rsidRDefault="006E012F">
            <w:pPr>
              <w:pStyle w:val="TableParagraph"/>
              <w:jc w:val="center"/>
              <w:rPr>
                <w:rFonts w:ascii="仿宋" w:eastAsia="仿宋" w:hAnsi="仿宋" w:cs="仿宋"/>
              </w:rPr>
            </w:pPr>
          </w:p>
        </w:tc>
        <w:tc>
          <w:tcPr>
            <w:tcW w:w="2164" w:type="dxa"/>
            <w:vAlign w:val="center"/>
          </w:tcPr>
          <w:p w:rsidR="006E012F" w:rsidRDefault="006E012F">
            <w:pPr>
              <w:pStyle w:val="TableParagraph"/>
              <w:jc w:val="center"/>
              <w:rPr>
                <w:rFonts w:ascii="仿宋" w:eastAsia="仿宋" w:hAnsi="仿宋" w:cs="仿宋"/>
                <w:sz w:val="20"/>
              </w:rPr>
            </w:pPr>
          </w:p>
        </w:tc>
        <w:tc>
          <w:tcPr>
            <w:tcW w:w="1897" w:type="dxa"/>
            <w:vAlign w:val="center"/>
          </w:tcPr>
          <w:p w:rsidR="006E012F" w:rsidRDefault="006E012F">
            <w:pPr>
              <w:pStyle w:val="TableParagraph"/>
              <w:jc w:val="center"/>
              <w:rPr>
                <w:rFonts w:ascii="仿宋" w:eastAsia="仿宋" w:hAnsi="仿宋" w:cs="仿宋"/>
                <w:sz w:val="20"/>
              </w:rPr>
            </w:pPr>
          </w:p>
        </w:tc>
        <w:tc>
          <w:tcPr>
            <w:tcW w:w="1739" w:type="dxa"/>
            <w:vAlign w:val="center"/>
          </w:tcPr>
          <w:p w:rsidR="006E012F" w:rsidRDefault="006E012F">
            <w:pPr>
              <w:pStyle w:val="TableParagraph"/>
              <w:jc w:val="center"/>
              <w:rPr>
                <w:rFonts w:ascii="仿宋" w:eastAsia="仿宋" w:hAnsi="仿宋" w:cs="仿宋"/>
                <w:sz w:val="20"/>
              </w:rPr>
            </w:pPr>
          </w:p>
        </w:tc>
        <w:tc>
          <w:tcPr>
            <w:tcW w:w="1715" w:type="dxa"/>
            <w:vAlign w:val="center"/>
          </w:tcPr>
          <w:p w:rsidR="006E012F" w:rsidRDefault="006E012F">
            <w:pPr>
              <w:pStyle w:val="TableParagraph"/>
              <w:jc w:val="center"/>
              <w:rPr>
                <w:rFonts w:ascii="仿宋" w:eastAsia="仿宋" w:hAnsi="仿宋" w:cs="仿宋"/>
                <w:sz w:val="20"/>
              </w:rPr>
            </w:pPr>
          </w:p>
        </w:tc>
        <w:tc>
          <w:tcPr>
            <w:tcW w:w="3059" w:type="dxa"/>
            <w:gridSpan w:val="2"/>
            <w:vAlign w:val="center"/>
          </w:tcPr>
          <w:p w:rsidR="006E012F" w:rsidRDefault="001A01F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6E012F">
        <w:trPr>
          <w:trHeight w:val="90"/>
        </w:trPr>
        <w:tc>
          <w:tcPr>
            <w:tcW w:w="12630" w:type="dxa"/>
            <w:gridSpan w:val="6"/>
            <w:vAlign w:val="center"/>
          </w:tcPr>
          <w:p w:rsidR="006E012F" w:rsidRDefault="001A01F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3059" w:type="dxa"/>
            <w:gridSpan w:val="2"/>
            <w:vAlign w:val="center"/>
          </w:tcPr>
          <w:p w:rsidR="006E012F" w:rsidRDefault="001A01FA">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90"/>
        </w:trPr>
        <w:tc>
          <w:tcPr>
            <w:tcW w:w="5115" w:type="dxa"/>
            <w:gridSpan w:val="2"/>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对附属单位补助支出</w:t>
            </w:r>
          </w:p>
        </w:tc>
      </w:tr>
      <w:tr w:rsidR="006E012F">
        <w:trPr>
          <w:trHeight w:val="176"/>
        </w:trPr>
        <w:tc>
          <w:tcPr>
            <w:tcW w:w="1188"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功能分类</w:t>
            </w:r>
          </w:p>
          <w:p w:rsidR="006E012F" w:rsidRDefault="001A01FA">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6E012F" w:rsidRDefault="006E012F">
            <w:pPr>
              <w:rPr>
                <w:rFonts w:ascii="仿宋" w:eastAsia="仿宋" w:hAnsi="仿宋" w:cs="仿宋"/>
              </w:rPr>
            </w:pPr>
          </w:p>
        </w:tc>
        <w:tc>
          <w:tcPr>
            <w:tcW w:w="1897" w:type="dxa"/>
            <w:vMerge/>
            <w:tcBorders>
              <w:left w:val="single" w:sz="4" w:space="0" w:color="000000"/>
              <w:bottom w:val="single" w:sz="4" w:space="0" w:color="000000"/>
            </w:tcBorders>
          </w:tcPr>
          <w:p w:rsidR="006E012F" w:rsidRDefault="006E012F">
            <w:pPr>
              <w:rPr>
                <w:rFonts w:ascii="仿宋" w:eastAsia="仿宋" w:hAnsi="仿宋" w:cs="仿宋"/>
              </w:rPr>
            </w:pPr>
          </w:p>
        </w:tc>
        <w:tc>
          <w:tcPr>
            <w:tcW w:w="1739" w:type="dxa"/>
            <w:vMerge/>
            <w:tcBorders>
              <w:left w:val="single" w:sz="4" w:space="0" w:color="000000"/>
              <w:bottom w:val="single" w:sz="4" w:space="0" w:color="000000"/>
            </w:tcBorders>
          </w:tcPr>
          <w:p w:rsidR="006E012F" w:rsidRDefault="006E012F">
            <w:pPr>
              <w:rPr>
                <w:rFonts w:ascii="仿宋" w:eastAsia="仿宋" w:hAnsi="仿宋" w:cs="仿宋"/>
              </w:rPr>
            </w:pPr>
          </w:p>
        </w:tc>
        <w:tc>
          <w:tcPr>
            <w:tcW w:w="1715" w:type="dxa"/>
            <w:vMerge/>
            <w:tcBorders>
              <w:left w:val="single" w:sz="4" w:space="0" w:color="000000"/>
              <w:bottom w:val="single" w:sz="4" w:space="0" w:color="000000"/>
            </w:tcBorders>
          </w:tcPr>
          <w:p w:rsidR="006E012F" w:rsidRDefault="006E012F">
            <w:pPr>
              <w:rPr>
                <w:rFonts w:ascii="仿宋" w:eastAsia="仿宋" w:hAnsi="仿宋" w:cs="仿宋"/>
              </w:rPr>
            </w:pPr>
          </w:p>
        </w:tc>
        <w:tc>
          <w:tcPr>
            <w:tcW w:w="1633" w:type="dxa"/>
            <w:vMerge/>
            <w:tcBorders>
              <w:left w:val="single" w:sz="4" w:space="0" w:color="000000"/>
              <w:bottom w:val="single" w:sz="4" w:space="0" w:color="000000"/>
            </w:tcBorders>
          </w:tcPr>
          <w:p w:rsidR="006E012F" w:rsidRDefault="006E012F">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hRule="exact" w:val="382"/>
        </w:trPr>
        <w:tc>
          <w:tcPr>
            <w:tcW w:w="5115"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28,889.88</w:t>
            </w:r>
          </w:p>
        </w:tc>
        <w:tc>
          <w:tcPr>
            <w:tcW w:w="1897" w:type="dxa"/>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2,089.06</w:t>
            </w:r>
          </w:p>
        </w:tc>
        <w:tc>
          <w:tcPr>
            <w:tcW w:w="1739" w:type="dxa"/>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24,645.37</w:t>
            </w:r>
          </w:p>
        </w:tc>
        <w:tc>
          <w:tcPr>
            <w:tcW w:w="1715" w:type="dxa"/>
            <w:tcBorders>
              <w:left w:val="single" w:sz="4" w:space="0" w:color="000000"/>
              <w:bottom w:val="single" w:sz="4" w:space="0" w:color="000000"/>
            </w:tcBorders>
            <w:vAlign w:val="center"/>
          </w:tcPr>
          <w:p w:rsidR="006E012F" w:rsidRDefault="006E012F">
            <w:pPr>
              <w:jc w:val="right"/>
              <w:rPr>
                <w:rFonts w:ascii="仿宋" w:eastAsia="仿宋" w:hAnsi="仿宋" w:cs="仿宋"/>
              </w:rPr>
            </w:pPr>
          </w:p>
        </w:tc>
        <w:tc>
          <w:tcPr>
            <w:tcW w:w="1633" w:type="dxa"/>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2,155.45</w:t>
            </w:r>
          </w:p>
        </w:tc>
        <w:tc>
          <w:tcPr>
            <w:tcW w:w="1426" w:type="dxa"/>
            <w:tcBorders>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科学技术支出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12,748.90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12,748.90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20604</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2060499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10,548.90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20699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2069999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2,200.00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0.22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0.22</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0.22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0.22</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0.22</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0.22</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22.44</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22.44</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22.44</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7,187.38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920.19</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21203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2120399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6,267.19</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920.19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920.19</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920.19</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920.19</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lastRenderedPageBreak/>
              <w:t>221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8,930.94</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2,066.40</w:t>
            </w: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5,629.28</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1,235.27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4,461.38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4,461.38</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2210106</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3,823.88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3,823.88</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2210107</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637.50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637.50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495.65</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495.65</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153.37</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153.37</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118.00</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118.00</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224.28</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224.28</w:t>
            </w:r>
          </w:p>
        </w:tc>
        <w:tc>
          <w:tcPr>
            <w:tcW w:w="1739"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22103</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3,973.91</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1,570.75</w:t>
            </w: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1,167.90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1,235.27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r w:rsidR="006E012F">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2210399</w:t>
            </w:r>
          </w:p>
        </w:tc>
        <w:tc>
          <w:tcPr>
            <w:tcW w:w="392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2164"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3,973.91</w:t>
            </w:r>
          </w:p>
        </w:tc>
        <w:tc>
          <w:tcPr>
            <w:tcW w:w="1897"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1,570.75</w:t>
            </w:r>
          </w:p>
        </w:tc>
        <w:tc>
          <w:tcPr>
            <w:tcW w:w="1739"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1,167.90</w:t>
            </w:r>
          </w:p>
        </w:tc>
        <w:tc>
          <w:tcPr>
            <w:tcW w:w="1715"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6E012F" w:rsidRDefault="001A01FA">
            <w:pPr>
              <w:pStyle w:val="TableParagraph"/>
              <w:spacing w:before="30"/>
              <w:ind w:left="107"/>
              <w:jc w:val="right"/>
              <w:rPr>
                <w:rFonts w:ascii="仿宋" w:eastAsia="仿宋" w:hAnsi="仿宋" w:cs="仿宋"/>
              </w:rPr>
            </w:pPr>
            <w:r>
              <w:rPr>
                <w:rFonts w:ascii="仿宋" w:eastAsia="仿宋" w:hAnsi="仿宋" w:cs="仿宋" w:hint="eastAsia"/>
              </w:rPr>
              <w:t>1,235.27</w:t>
            </w:r>
          </w:p>
        </w:tc>
        <w:tc>
          <w:tcPr>
            <w:tcW w:w="1426" w:type="dxa"/>
            <w:tcBorders>
              <w:top w:val="single" w:sz="4" w:space="0" w:color="000000"/>
              <w:left w:val="single" w:sz="4" w:space="0" w:color="000000"/>
              <w:bottom w:val="single" w:sz="4" w:space="0" w:color="000000"/>
              <w:right w:val="single" w:sz="4" w:space="0" w:color="000000"/>
            </w:tcBorders>
          </w:tcPr>
          <w:p w:rsidR="006E012F" w:rsidRDefault="006E012F">
            <w:pPr>
              <w:pStyle w:val="TableParagraph"/>
              <w:spacing w:before="30"/>
              <w:ind w:left="107"/>
              <w:jc w:val="right"/>
              <w:rPr>
                <w:rFonts w:ascii="仿宋" w:eastAsia="仿宋" w:hAnsi="仿宋" w:cs="仿宋"/>
              </w:rPr>
            </w:pPr>
          </w:p>
        </w:tc>
      </w:tr>
    </w:tbl>
    <w:p w:rsidR="006E012F" w:rsidRDefault="001A01FA">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6E012F" w:rsidRDefault="006E012F">
      <w:pPr>
        <w:spacing w:before="59"/>
        <w:ind w:left="57"/>
        <w:rPr>
          <w:rFonts w:ascii="仿宋" w:eastAsia="仿宋" w:hAnsi="仿宋" w:cs="仿宋"/>
        </w:rPr>
        <w:sectPr w:rsidR="006E012F">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6E012F">
        <w:trPr>
          <w:trHeight w:val="319"/>
        </w:trPr>
        <w:tc>
          <w:tcPr>
            <w:tcW w:w="15372" w:type="dxa"/>
            <w:gridSpan w:val="10"/>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6E012F">
        <w:trPr>
          <w:trHeight w:val="319"/>
        </w:trPr>
        <w:tc>
          <w:tcPr>
            <w:tcW w:w="5562" w:type="dxa"/>
            <w:gridSpan w:val="2"/>
          </w:tcPr>
          <w:p w:rsidR="006E012F" w:rsidRDefault="006E012F">
            <w:pPr>
              <w:pStyle w:val="TableParagraph"/>
              <w:rPr>
                <w:rFonts w:ascii="仿宋" w:eastAsia="仿宋" w:hAnsi="仿宋" w:cs="仿宋"/>
                <w:sz w:val="20"/>
              </w:rPr>
            </w:pPr>
          </w:p>
        </w:tc>
        <w:tc>
          <w:tcPr>
            <w:tcW w:w="847" w:type="dxa"/>
          </w:tcPr>
          <w:p w:rsidR="006E012F" w:rsidRDefault="006E012F">
            <w:pPr>
              <w:pStyle w:val="TableParagraph"/>
              <w:rPr>
                <w:rFonts w:ascii="仿宋" w:eastAsia="仿宋" w:hAnsi="仿宋" w:cs="仿宋"/>
                <w:sz w:val="20"/>
              </w:rPr>
            </w:pPr>
          </w:p>
        </w:tc>
        <w:tc>
          <w:tcPr>
            <w:tcW w:w="1913" w:type="dxa"/>
          </w:tcPr>
          <w:p w:rsidR="006E012F" w:rsidRDefault="006E012F">
            <w:pPr>
              <w:pStyle w:val="TableParagraph"/>
              <w:rPr>
                <w:rFonts w:ascii="仿宋" w:eastAsia="仿宋" w:hAnsi="仿宋" w:cs="仿宋"/>
                <w:sz w:val="20"/>
              </w:rPr>
            </w:pPr>
          </w:p>
        </w:tc>
        <w:tc>
          <w:tcPr>
            <w:tcW w:w="2635" w:type="dxa"/>
            <w:gridSpan w:val="2"/>
          </w:tcPr>
          <w:p w:rsidR="006E012F" w:rsidRDefault="006E012F">
            <w:pPr>
              <w:pStyle w:val="TableParagraph"/>
              <w:rPr>
                <w:rFonts w:ascii="仿宋" w:eastAsia="仿宋" w:hAnsi="仿宋" w:cs="仿宋"/>
                <w:sz w:val="20"/>
              </w:rPr>
            </w:pPr>
          </w:p>
        </w:tc>
        <w:tc>
          <w:tcPr>
            <w:tcW w:w="1194" w:type="dxa"/>
          </w:tcPr>
          <w:p w:rsidR="006E012F" w:rsidRDefault="006E012F">
            <w:pPr>
              <w:pStyle w:val="TableParagraph"/>
              <w:rPr>
                <w:rFonts w:ascii="仿宋" w:eastAsia="仿宋" w:hAnsi="仿宋" w:cs="仿宋"/>
                <w:sz w:val="20"/>
              </w:rPr>
            </w:pPr>
          </w:p>
        </w:tc>
        <w:tc>
          <w:tcPr>
            <w:tcW w:w="3221" w:type="dxa"/>
            <w:gridSpan w:val="3"/>
            <w:vAlign w:val="center"/>
          </w:tcPr>
          <w:p w:rsidR="006E012F" w:rsidRDefault="001A01F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6E012F">
        <w:trPr>
          <w:trHeight w:val="319"/>
        </w:trPr>
        <w:tc>
          <w:tcPr>
            <w:tcW w:w="12151" w:type="dxa"/>
            <w:gridSpan w:val="7"/>
          </w:tcPr>
          <w:p w:rsidR="006E012F" w:rsidRDefault="001A01F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3221" w:type="dxa"/>
            <w:gridSpan w:val="3"/>
            <w:vAlign w:val="center"/>
          </w:tcPr>
          <w:p w:rsidR="006E012F" w:rsidRDefault="001A01FA">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162"/>
        </w:trPr>
        <w:tc>
          <w:tcPr>
            <w:tcW w:w="5562" w:type="dxa"/>
            <w:gridSpan w:val="2"/>
            <w:tcBorders>
              <w:top w:val="single" w:sz="4" w:space="0" w:color="000000"/>
              <w:left w:val="single" w:sz="4" w:space="0" w:color="000000"/>
              <w:bottom w:val="single" w:sz="4" w:space="0" w:color="000000"/>
            </w:tcBorders>
          </w:tcPr>
          <w:p w:rsidR="006E012F" w:rsidRDefault="001A01FA">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6E012F" w:rsidRDefault="001A01FA">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6E012F">
        <w:trPr>
          <w:trHeight w:val="199"/>
        </w:trPr>
        <w:tc>
          <w:tcPr>
            <w:tcW w:w="3725" w:type="dxa"/>
            <w:vMerge w:val="restart"/>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6E012F" w:rsidRDefault="001A01FA">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6E012F" w:rsidRDefault="001A01FA">
            <w:pPr>
              <w:jc w:val="center"/>
              <w:rPr>
                <w:rFonts w:ascii="仿宋" w:eastAsia="仿宋" w:hAnsi="仿宋" w:cs="仿宋"/>
              </w:rPr>
            </w:pPr>
            <w:r>
              <w:rPr>
                <w:rFonts w:ascii="仿宋" w:eastAsia="仿宋" w:hAnsi="仿宋" w:cs="仿宋" w:hint="eastAsia"/>
              </w:rPr>
              <w:t>决算数</w:t>
            </w:r>
          </w:p>
        </w:tc>
      </w:tr>
      <w:tr w:rsidR="006E012F">
        <w:trPr>
          <w:trHeight w:val="578"/>
        </w:trPr>
        <w:tc>
          <w:tcPr>
            <w:tcW w:w="3725" w:type="dxa"/>
            <w:vMerge/>
            <w:tcBorders>
              <w:left w:val="single" w:sz="4" w:space="0" w:color="000000"/>
              <w:bottom w:val="single" w:sz="4" w:space="0" w:color="000000"/>
            </w:tcBorders>
          </w:tcPr>
          <w:p w:rsidR="006E012F" w:rsidRDefault="006E012F">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6E012F" w:rsidRDefault="006E012F">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国有资本经营预算财政拨款</w:t>
            </w: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23,498.54</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12,748.90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12,748.90</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4,459.79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4,459.79</w:t>
            </w: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hRule="exact" w:val="359"/>
        </w:trPr>
        <w:tc>
          <w:tcPr>
            <w:tcW w:w="3725" w:type="dxa"/>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23,498.54</w:t>
            </w:r>
          </w:p>
        </w:tc>
        <w:tc>
          <w:tcPr>
            <w:tcW w:w="3667" w:type="dxa"/>
            <w:gridSpan w:val="3"/>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23,498.54</w:t>
            </w:r>
          </w:p>
        </w:tc>
        <w:tc>
          <w:tcPr>
            <w:tcW w:w="1415" w:type="dxa"/>
            <w:gridSpan w:val="2"/>
            <w:tcBorders>
              <w:top w:val="single" w:sz="4" w:space="0" w:color="000000"/>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23,498.54</w:t>
            </w:r>
          </w:p>
        </w:tc>
        <w:tc>
          <w:tcPr>
            <w:tcW w:w="1500" w:type="dxa"/>
            <w:tcBorders>
              <w:top w:val="single" w:sz="4" w:space="0" w:color="000000"/>
              <w:left w:val="single" w:sz="4" w:space="0" w:color="000000"/>
              <w:bottom w:val="single" w:sz="4" w:space="0" w:color="000000"/>
            </w:tcBorders>
            <w:vAlign w:val="center"/>
          </w:tcPr>
          <w:p w:rsidR="006E012F" w:rsidRDefault="006E012F">
            <w:pPr>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trHeight w:val="242"/>
        </w:trPr>
        <w:tc>
          <w:tcPr>
            <w:tcW w:w="3725"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6E012F" w:rsidRDefault="006E012F">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hRule="exact" w:val="322"/>
        </w:trPr>
        <w:tc>
          <w:tcPr>
            <w:tcW w:w="3725"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23,498.54</w:t>
            </w:r>
          </w:p>
        </w:tc>
        <w:tc>
          <w:tcPr>
            <w:tcW w:w="3667" w:type="dxa"/>
            <w:gridSpan w:val="3"/>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23,498.54</w:t>
            </w:r>
          </w:p>
        </w:tc>
        <w:tc>
          <w:tcPr>
            <w:tcW w:w="1415" w:type="dxa"/>
            <w:gridSpan w:val="2"/>
            <w:tcBorders>
              <w:left w:val="single" w:sz="4" w:space="0" w:color="000000"/>
              <w:bottom w:val="single" w:sz="4" w:space="0" w:color="000000"/>
            </w:tcBorders>
            <w:vAlign w:val="center"/>
          </w:tcPr>
          <w:p w:rsidR="006E012F" w:rsidRDefault="001A01FA">
            <w:pPr>
              <w:jc w:val="right"/>
              <w:rPr>
                <w:rFonts w:ascii="仿宋" w:eastAsia="仿宋" w:hAnsi="仿宋" w:cs="仿宋"/>
              </w:rPr>
            </w:pPr>
            <w:r>
              <w:rPr>
                <w:rFonts w:ascii="仿宋" w:eastAsia="仿宋" w:hAnsi="仿宋" w:cs="仿宋" w:hint="eastAsia"/>
              </w:rPr>
              <w:t>23,498.54</w:t>
            </w:r>
          </w:p>
        </w:tc>
        <w:tc>
          <w:tcPr>
            <w:tcW w:w="1500" w:type="dxa"/>
            <w:tcBorders>
              <w:left w:val="single" w:sz="4" w:space="0" w:color="000000"/>
              <w:bottom w:val="single" w:sz="4" w:space="0" w:color="000000"/>
            </w:tcBorders>
            <w:vAlign w:val="center"/>
          </w:tcPr>
          <w:p w:rsidR="006E012F" w:rsidRDefault="006E012F">
            <w:pPr>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1A01FA">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6E012F" w:rsidRDefault="006E012F">
      <w:pPr>
        <w:jc w:val="both"/>
        <w:rPr>
          <w:rFonts w:ascii="仿宋" w:eastAsia="仿宋" w:hAnsi="仿宋" w:cs="仿宋"/>
        </w:rPr>
        <w:sectPr w:rsidR="006E012F">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6E012F">
        <w:trPr>
          <w:trHeight w:val="321"/>
        </w:trPr>
        <w:tc>
          <w:tcPr>
            <w:tcW w:w="15417" w:type="dxa"/>
            <w:gridSpan w:val="5"/>
            <w:vAlign w:val="center"/>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6E012F">
        <w:trPr>
          <w:trHeight w:val="321"/>
        </w:trPr>
        <w:tc>
          <w:tcPr>
            <w:tcW w:w="6300" w:type="dxa"/>
            <w:gridSpan w:val="2"/>
          </w:tcPr>
          <w:p w:rsidR="006E012F" w:rsidRDefault="006E012F">
            <w:pPr>
              <w:pStyle w:val="TableParagraph"/>
              <w:rPr>
                <w:rFonts w:ascii="仿宋" w:eastAsia="仿宋" w:hAnsi="仿宋" w:cs="仿宋"/>
                <w:sz w:val="20"/>
              </w:rPr>
            </w:pPr>
          </w:p>
        </w:tc>
        <w:tc>
          <w:tcPr>
            <w:tcW w:w="3184" w:type="dxa"/>
          </w:tcPr>
          <w:p w:rsidR="006E012F" w:rsidRDefault="006E012F">
            <w:pPr>
              <w:pStyle w:val="TableParagraph"/>
              <w:rPr>
                <w:rFonts w:ascii="仿宋" w:eastAsia="仿宋" w:hAnsi="仿宋" w:cs="仿宋"/>
                <w:sz w:val="27"/>
              </w:rPr>
            </w:pPr>
          </w:p>
        </w:tc>
        <w:tc>
          <w:tcPr>
            <w:tcW w:w="5933" w:type="dxa"/>
            <w:gridSpan w:val="2"/>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6E012F">
        <w:trPr>
          <w:trHeight w:val="288"/>
        </w:trPr>
        <w:tc>
          <w:tcPr>
            <w:tcW w:w="6300" w:type="dxa"/>
            <w:gridSpan w:val="2"/>
          </w:tcPr>
          <w:p w:rsidR="006E012F" w:rsidRDefault="001A01F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3184" w:type="dxa"/>
          </w:tcPr>
          <w:p w:rsidR="006E012F" w:rsidRDefault="006E012F">
            <w:pPr>
              <w:pStyle w:val="TableParagraph"/>
              <w:rPr>
                <w:rFonts w:ascii="仿宋" w:eastAsia="仿宋" w:hAnsi="仿宋" w:cs="仿宋"/>
                <w:sz w:val="27"/>
              </w:rPr>
            </w:pPr>
          </w:p>
        </w:tc>
        <w:tc>
          <w:tcPr>
            <w:tcW w:w="2778" w:type="dxa"/>
            <w:vAlign w:val="center"/>
          </w:tcPr>
          <w:p w:rsidR="006E012F" w:rsidRDefault="006E012F">
            <w:pPr>
              <w:pStyle w:val="TableParagraph"/>
              <w:jc w:val="right"/>
              <w:rPr>
                <w:rFonts w:ascii="仿宋" w:eastAsia="仿宋" w:hAnsi="仿宋" w:cs="仿宋"/>
                <w:sz w:val="27"/>
              </w:rPr>
            </w:pPr>
          </w:p>
        </w:tc>
        <w:tc>
          <w:tcPr>
            <w:tcW w:w="3155" w:type="dxa"/>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319"/>
        </w:trPr>
        <w:tc>
          <w:tcPr>
            <w:tcW w:w="6300" w:type="dxa"/>
            <w:gridSpan w:val="2"/>
            <w:tcBorders>
              <w:top w:val="single" w:sz="6" w:space="0" w:color="000000"/>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341"/>
        </w:trPr>
        <w:tc>
          <w:tcPr>
            <w:tcW w:w="1278"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功能分类</w:t>
            </w:r>
          </w:p>
          <w:p w:rsidR="006E012F" w:rsidRDefault="001A01FA">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6E012F" w:rsidRDefault="006E012F">
            <w:pPr>
              <w:rPr>
                <w:rFonts w:ascii="仿宋" w:eastAsia="仿宋" w:hAnsi="仿宋" w:cs="仿宋"/>
              </w:rPr>
            </w:pPr>
          </w:p>
        </w:tc>
        <w:tc>
          <w:tcPr>
            <w:tcW w:w="2778" w:type="dxa"/>
            <w:vMerge/>
            <w:tcBorders>
              <w:left w:val="single" w:sz="6" w:space="0" w:color="000000"/>
              <w:bottom w:val="single" w:sz="6" w:space="0" w:color="000000"/>
            </w:tcBorders>
          </w:tcPr>
          <w:p w:rsidR="006E012F" w:rsidRDefault="006E012F">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6E012F" w:rsidRDefault="006E012F">
            <w:pPr>
              <w:rPr>
                <w:rFonts w:ascii="仿宋" w:eastAsia="仿宋" w:hAnsi="仿宋" w:cs="仿宋"/>
              </w:rPr>
            </w:pPr>
          </w:p>
        </w:tc>
      </w:tr>
      <w:tr w:rsidR="006E012F">
        <w:trPr>
          <w:trHeight w:val="275"/>
        </w:trPr>
        <w:tc>
          <w:tcPr>
            <w:tcW w:w="6300" w:type="dxa"/>
            <w:gridSpan w:val="2"/>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3</w:t>
            </w:r>
          </w:p>
        </w:tc>
      </w:tr>
      <w:tr w:rsidR="006E012F">
        <w:trPr>
          <w:trHeight w:hRule="exact" w:val="374"/>
        </w:trPr>
        <w:tc>
          <w:tcPr>
            <w:tcW w:w="6300" w:type="dxa"/>
            <w:gridSpan w:val="2"/>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6E012F" w:rsidRDefault="001A01FA">
            <w:pPr>
              <w:pStyle w:val="TableParagraph"/>
              <w:jc w:val="right"/>
              <w:rPr>
                <w:rFonts w:ascii="仿宋" w:eastAsia="仿宋" w:hAnsi="仿宋" w:cs="仿宋"/>
              </w:rPr>
            </w:pPr>
            <w:r>
              <w:rPr>
                <w:rFonts w:ascii="仿宋" w:eastAsia="仿宋" w:hAnsi="仿宋" w:cs="仿宋" w:hint="eastAsia"/>
              </w:rPr>
              <w:t>23,498.54</w:t>
            </w:r>
          </w:p>
        </w:tc>
        <w:tc>
          <w:tcPr>
            <w:tcW w:w="2778" w:type="dxa"/>
            <w:tcBorders>
              <w:left w:val="single" w:sz="6" w:space="0" w:color="000000"/>
              <w:bottom w:val="single" w:sz="6" w:space="0" w:color="000000"/>
            </w:tcBorders>
          </w:tcPr>
          <w:p w:rsidR="006E012F" w:rsidRDefault="001A01FA">
            <w:pPr>
              <w:pStyle w:val="TableParagraph"/>
              <w:jc w:val="right"/>
              <w:rPr>
                <w:rFonts w:ascii="仿宋" w:eastAsia="仿宋" w:hAnsi="仿宋" w:cs="仿宋"/>
              </w:rPr>
            </w:pPr>
            <w:r>
              <w:rPr>
                <w:rFonts w:ascii="仿宋" w:eastAsia="仿宋" w:hAnsi="仿宋" w:cs="仿宋" w:hint="eastAsia"/>
              </w:rPr>
              <w:t>2,089.06</w:t>
            </w:r>
          </w:p>
        </w:tc>
        <w:tc>
          <w:tcPr>
            <w:tcW w:w="3155" w:type="dxa"/>
            <w:tcBorders>
              <w:left w:val="single" w:sz="6" w:space="0" w:color="000000"/>
              <w:bottom w:val="single" w:sz="6" w:space="0" w:color="000000"/>
              <w:right w:val="single" w:sz="6" w:space="0" w:color="000000"/>
            </w:tcBorders>
          </w:tcPr>
          <w:p w:rsidR="006E012F" w:rsidRDefault="001A01FA">
            <w:pPr>
              <w:pStyle w:val="TableParagraph"/>
              <w:jc w:val="right"/>
              <w:rPr>
                <w:rFonts w:ascii="仿宋" w:eastAsia="仿宋" w:hAnsi="仿宋" w:cs="仿宋"/>
              </w:rPr>
            </w:pPr>
            <w:r>
              <w:rPr>
                <w:rFonts w:ascii="仿宋" w:eastAsia="仿宋" w:hAnsi="仿宋" w:cs="仿宋" w:hint="eastAsia"/>
              </w:rPr>
              <w:t>21,409.49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科学技术支出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12,748.90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12,748.90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20604</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2060499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2120399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4,459.79</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2,066.40</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2,393.40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1,225.50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1,225.50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2210106</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588.00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588.00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2210107</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637.50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637.50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495.65</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495.65</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118.00</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118.00</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224.28</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224.28</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22103</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2,738.64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1,570.75</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1,167.90</w:t>
            </w:r>
          </w:p>
        </w:tc>
      </w:tr>
      <w:tr w:rsidR="006E012F">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2210399</w:t>
            </w:r>
          </w:p>
        </w:tc>
        <w:tc>
          <w:tcPr>
            <w:tcW w:w="5022"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2,738.64</w:t>
            </w:r>
          </w:p>
        </w:tc>
        <w:tc>
          <w:tcPr>
            <w:tcW w:w="2778" w:type="dxa"/>
            <w:tcBorders>
              <w:top w:val="single" w:sz="6" w:space="0" w:color="000000"/>
              <w:left w:val="single" w:sz="4" w:space="0" w:color="000000"/>
              <w:bottom w:val="single" w:sz="6"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1,570.75</w:t>
            </w:r>
          </w:p>
        </w:tc>
        <w:tc>
          <w:tcPr>
            <w:tcW w:w="3155" w:type="dxa"/>
            <w:tcBorders>
              <w:top w:val="single" w:sz="6" w:space="0" w:color="000000"/>
              <w:left w:val="single" w:sz="4"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1,167.90</w:t>
            </w:r>
          </w:p>
        </w:tc>
      </w:tr>
    </w:tbl>
    <w:p w:rsidR="006E012F" w:rsidRDefault="001A01FA">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6E012F" w:rsidRDefault="006E012F">
      <w:pPr>
        <w:tabs>
          <w:tab w:val="left" w:pos="55"/>
        </w:tabs>
        <w:jc w:val="both"/>
        <w:rPr>
          <w:rFonts w:ascii="仿宋" w:eastAsia="仿宋" w:hAnsi="仿宋" w:cs="仿宋"/>
        </w:rPr>
        <w:sectPr w:rsidR="006E012F">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6E012F">
        <w:trPr>
          <w:trHeight w:val="319"/>
        </w:trPr>
        <w:tc>
          <w:tcPr>
            <w:tcW w:w="10515" w:type="dxa"/>
            <w:gridSpan w:val="5"/>
            <w:vAlign w:val="center"/>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6E012F">
        <w:trPr>
          <w:trHeight w:val="319"/>
        </w:trPr>
        <w:tc>
          <w:tcPr>
            <w:tcW w:w="4532" w:type="dxa"/>
            <w:gridSpan w:val="2"/>
          </w:tcPr>
          <w:p w:rsidR="006E012F" w:rsidRDefault="006E012F">
            <w:pPr>
              <w:pStyle w:val="TableParagraph"/>
              <w:rPr>
                <w:rFonts w:ascii="仿宋" w:eastAsia="仿宋" w:hAnsi="仿宋" w:cs="仿宋"/>
                <w:sz w:val="20"/>
              </w:rPr>
            </w:pPr>
          </w:p>
        </w:tc>
        <w:tc>
          <w:tcPr>
            <w:tcW w:w="2047" w:type="dxa"/>
          </w:tcPr>
          <w:p w:rsidR="006E012F" w:rsidRDefault="006E012F">
            <w:pPr>
              <w:pStyle w:val="TableParagraph"/>
              <w:rPr>
                <w:rFonts w:ascii="仿宋" w:eastAsia="仿宋" w:hAnsi="仿宋" w:cs="仿宋"/>
                <w:sz w:val="20"/>
              </w:rPr>
            </w:pPr>
          </w:p>
        </w:tc>
        <w:tc>
          <w:tcPr>
            <w:tcW w:w="2040" w:type="dxa"/>
          </w:tcPr>
          <w:p w:rsidR="006E012F" w:rsidRDefault="006E012F">
            <w:pPr>
              <w:pStyle w:val="TableParagraph"/>
              <w:rPr>
                <w:rFonts w:ascii="仿宋" w:eastAsia="仿宋" w:hAnsi="仿宋" w:cs="仿宋"/>
                <w:sz w:val="20"/>
              </w:rPr>
            </w:pPr>
          </w:p>
        </w:tc>
        <w:tc>
          <w:tcPr>
            <w:tcW w:w="1896" w:type="dxa"/>
            <w:vAlign w:val="center"/>
          </w:tcPr>
          <w:p w:rsidR="006E012F" w:rsidRDefault="001A01FA">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6E012F">
        <w:trPr>
          <w:trHeight w:val="319"/>
        </w:trPr>
        <w:tc>
          <w:tcPr>
            <w:tcW w:w="8619" w:type="dxa"/>
            <w:gridSpan w:val="4"/>
          </w:tcPr>
          <w:p w:rsidR="006E012F" w:rsidRDefault="001A01F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1896" w:type="dxa"/>
            <w:vAlign w:val="center"/>
          </w:tcPr>
          <w:p w:rsidR="006E012F" w:rsidRDefault="001A01FA">
            <w:pPr>
              <w:pStyle w:val="TableParagraph"/>
              <w:jc w:val="right"/>
              <w:rPr>
                <w:rFonts w:ascii="仿宋" w:eastAsia="仿宋" w:hAnsi="仿宋" w:cs="仿宋"/>
                <w:sz w:val="20"/>
              </w:rPr>
            </w:pPr>
            <w:r>
              <w:rPr>
                <w:rFonts w:ascii="仿宋" w:eastAsia="仿宋" w:hAnsi="仿宋" w:cs="仿宋" w:hint="eastAsia"/>
              </w:rPr>
              <w:t>金额单位：万元</w:t>
            </w:r>
          </w:p>
        </w:tc>
      </w:tr>
      <w:tr w:rsidR="006E012F">
        <w:trPr>
          <w:trHeight w:val="243"/>
        </w:trPr>
        <w:tc>
          <w:tcPr>
            <w:tcW w:w="4532" w:type="dxa"/>
            <w:gridSpan w:val="2"/>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sz w:val="20"/>
              </w:rPr>
            </w:pPr>
            <w:r>
              <w:rPr>
                <w:rFonts w:ascii="仿宋" w:eastAsia="仿宋" w:hAnsi="仿宋" w:cs="仿宋" w:hint="eastAsia"/>
              </w:rPr>
              <w:t>财政拨款基本支出</w:t>
            </w:r>
          </w:p>
        </w:tc>
      </w:tr>
      <w:tr w:rsidR="006E012F">
        <w:trPr>
          <w:trHeight w:val="483"/>
        </w:trPr>
        <w:tc>
          <w:tcPr>
            <w:tcW w:w="99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公用经费</w:t>
            </w:r>
          </w:p>
        </w:tc>
      </w:tr>
      <w:tr w:rsidR="006E012F">
        <w:trPr>
          <w:trHeight w:hRule="exact" w:val="409"/>
        </w:trPr>
        <w:tc>
          <w:tcPr>
            <w:tcW w:w="4532"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2,089.06</w:t>
            </w:r>
          </w:p>
        </w:tc>
        <w:tc>
          <w:tcPr>
            <w:tcW w:w="2040"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1,970.59</w:t>
            </w:r>
          </w:p>
        </w:tc>
        <w:tc>
          <w:tcPr>
            <w:tcW w:w="1896"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118.47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1,949.63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1,949.63</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235.73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235.73</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338.66</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338.66</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1.80</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1.80</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967.74</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967.74</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109.36</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109.36</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55.62</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55.62</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37.23</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37.23</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50.12</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50.12</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118.48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118.47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5.74</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5.74</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0.52</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0.52</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8.40</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8.40</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7.15</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7.15</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34.98</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34.98</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1.52</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1.52</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0.21</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0.21</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26.41</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26.41</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32.47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32.47</w:t>
            </w: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20.96</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20.96</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16.09</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16.09</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4.87</w:t>
            </w: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4.87</w:t>
            </w: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bl>
    <w:p w:rsidR="006E012F" w:rsidRDefault="001A01FA">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6E012F" w:rsidRDefault="006E012F">
      <w:pPr>
        <w:spacing w:line="255" w:lineRule="exact"/>
        <w:jc w:val="both"/>
        <w:rPr>
          <w:rFonts w:ascii="仿宋" w:eastAsia="仿宋" w:hAnsi="仿宋" w:cs="仿宋"/>
        </w:rPr>
        <w:sectPr w:rsidR="006E012F">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6E012F">
        <w:trPr>
          <w:trHeight w:val="560"/>
        </w:trPr>
        <w:tc>
          <w:tcPr>
            <w:tcW w:w="10446" w:type="dxa"/>
            <w:gridSpan w:val="5"/>
            <w:vAlign w:val="center"/>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6E012F">
        <w:trPr>
          <w:trHeight w:val="147"/>
        </w:trPr>
        <w:tc>
          <w:tcPr>
            <w:tcW w:w="5466" w:type="dxa"/>
            <w:gridSpan w:val="2"/>
          </w:tcPr>
          <w:p w:rsidR="006E012F" w:rsidRDefault="006E012F">
            <w:pPr>
              <w:pStyle w:val="TableParagraph"/>
              <w:rPr>
                <w:rFonts w:ascii="仿宋" w:eastAsia="仿宋" w:hAnsi="仿宋" w:cs="仿宋"/>
                <w:sz w:val="20"/>
              </w:rPr>
            </w:pPr>
          </w:p>
        </w:tc>
        <w:tc>
          <w:tcPr>
            <w:tcW w:w="1969" w:type="dxa"/>
          </w:tcPr>
          <w:p w:rsidR="006E012F" w:rsidRDefault="006E012F">
            <w:pPr>
              <w:pStyle w:val="TableParagraph"/>
              <w:rPr>
                <w:rFonts w:ascii="仿宋" w:eastAsia="仿宋" w:hAnsi="仿宋" w:cs="仿宋"/>
                <w:sz w:val="20"/>
              </w:rPr>
            </w:pPr>
          </w:p>
        </w:tc>
        <w:tc>
          <w:tcPr>
            <w:tcW w:w="1499" w:type="dxa"/>
          </w:tcPr>
          <w:p w:rsidR="006E012F" w:rsidRDefault="006E012F">
            <w:pPr>
              <w:pStyle w:val="TableParagraph"/>
              <w:rPr>
                <w:rFonts w:ascii="仿宋" w:eastAsia="仿宋" w:hAnsi="仿宋" w:cs="仿宋"/>
                <w:sz w:val="20"/>
              </w:rPr>
            </w:pPr>
          </w:p>
        </w:tc>
        <w:tc>
          <w:tcPr>
            <w:tcW w:w="1512" w:type="dxa"/>
            <w:vAlign w:val="center"/>
          </w:tcPr>
          <w:p w:rsidR="006E012F" w:rsidRDefault="001A01FA">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6E012F">
        <w:trPr>
          <w:trHeight w:val="303"/>
        </w:trPr>
        <w:tc>
          <w:tcPr>
            <w:tcW w:w="7435" w:type="dxa"/>
            <w:gridSpan w:val="3"/>
          </w:tcPr>
          <w:p w:rsidR="006E012F" w:rsidRDefault="001A01F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3011" w:type="dxa"/>
            <w:gridSpan w:val="2"/>
          </w:tcPr>
          <w:p w:rsidR="006E012F" w:rsidRDefault="001A01FA">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158"/>
        </w:trPr>
        <w:tc>
          <w:tcPr>
            <w:tcW w:w="5466" w:type="dxa"/>
            <w:gridSpan w:val="2"/>
            <w:tcBorders>
              <w:top w:val="single" w:sz="6" w:space="0" w:color="000000"/>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561"/>
        </w:trPr>
        <w:tc>
          <w:tcPr>
            <w:tcW w:w="1134"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6E012F" w:rsidRDefault="006E012F">
            <w:pPr>
              <w:rPr>
                <w:rFonts w:ascii="仿宋" w:eastAsia="仿宋" w:hAnsi="仿宋" w:cs="仿宋"/>
                <w:sz w:val="2"/>
                <w:szCs w:val="2"/>
              </w:rPr>
            </w:pPr>
          </w:p>
        </w:tc>
        <w:tc>
          <w:tcPr>
            <w:tcW w:w="1499" w:type="dxa"/>
            <w:vMerge/>
            <w:tcBorders>
              <w:left w:val="single" w:sz="6" w:space="0" w:color="000000"/>
              <w:bottom w:val="single" w:sz="6" w:space="0" w:color="000000"/>
            </w:tcBorders>
          </w:tcPr>
          <w:p w:rsidR="006E012F" w:rsidRDefault="006E012F">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6E012F" w:rsidRDefault="006E012F">
            <w:pPr>
              <w:rPr>
                <w:rFonts w:ascii="仿宋" w:eastAsia="仿宋" w:hAnsi="仿宋" w:cs="仿宋"/>
                <w:sz w:val="2"/>
                <w:szCs w:val="2"/>
              </w:rPr>
            </w:pPr>
          </w:p>
        </w:tc>
      </w:tr>
      <w:tr w:rsidR="006E012F">
        <w:trPr>
          <w:trHeight w:val="152"/>
        </w:trPr>
        <w:tc>
          <w:tcPr>
            <w:tcW w:w="5466" w:type="dxa"/>
            <w:gridSpan w:val="2"/>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3</w:t>
            </w:r>
          </w:p>
        </w:tc>
      </w:tr>
      <w:tr w:rsidR="006E012F">
        <w:trPr>
          <w:trHeight w:hRule="exact" w:val="298"/>
        </w:trPr>
        <w:tc>
          <w:tcPr>
            <w:tcW w:w="5466" w:type="dxa"/>
            <w:gridSpan w:val="2"/>
            <w:tcBorders>
              <w:left w:val="single" w:sz="6" w:space="0" w:color="000000"/>
              <w:bottom w:val="single" w:sz="6" w:space="0" w:color="000000"/>
            </w:tcBorders>
            <w:vAlign w:val="center"/>
          </w:tcPr>
          <w:p w:rsidR="006E012F" w:rsidRDefault="001A01FA">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23,498.54</w:t>
            </w:r>
          </w:p>
        </w:tc>
        <w:tc>
          <w:tcPr>
            <w:tcW w:w="1499" w:type="dxa"/>
            <w:tcBorders>
              <w:left w:val="single" w:sz="6" w:space="0" w:color="000000"/>
              <w:bottom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2,089.06</w:t>
            </w:r>
          </w:p>
        </w:tc>
        <w:tc>
          <w:tcPr>
            <w:tcW w:w="1512" w:type="dxa"/>
            <w:tcBorders>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21,409.49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科学技术支出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12,748.90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12,748.90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20604</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技术研究与开发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2060499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其他技术研究与开发支出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10,548.90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2069999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其他科学技术支出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2,200.00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0.22</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22.44</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2120399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其他城乡社区公共设施支出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6,267.19</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4,459.79</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2,066.40</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2,393.40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1,225.50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1,225.50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2210106</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588.00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588.00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2210107</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保障性住房租金补贴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637.50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637.50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495.65</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495.65</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118.00</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118.00</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224.28</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224.28</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22103</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城乡社区住宅</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2,738.64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1,570.75</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1,167.90</w:t>
            </w:r>
          </w:p>
        </w:tc>
      </w:tr>
      <w:tr w:rsidR="006E012F">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2210399</w:t>
            </w:r>
          </w:p>
        </w:tc>
        <w:tc>
          <w:tcPr>
            <w:tcW w:w="433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其他城乡社区住宅支出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2,738.64</w:t>
            </w:r>
          </w:p>
        </w:tc>
        <w:tc>
          <w:tcPr>
            <w:tcW w:w="1499"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1,570.75</w:t>
            </w:r>
          </w:p>
        </w:tc>
        <w:tc>
          <w:tcPr>
            <w:tcW w:w="1512" w:type="dxa"/>
            <w:tcBorders>
              <w:top w:val="single" w:sz="6" w:space="0" w:color="000000"/>
              <w:left w:val="single" w:sz="6" w:space="0" w:color="000000"/>
              <w:bottom w:val="single" w:sz="6" w:space="0" w:color="000000"/>
              <w:right w:val="single" w:sz="6"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1,167.90</w:t>
            </w:r>
          </w:p>
        </w:tc>
      </w:tr>
    </w:tbl>
    <w:p w:rsidR="006E012F" w:rsidRDefault="001A01FA">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6E012F" w:rsidRDefault="006E012F">
      <w:pPr>
        <w:spacing w:before="25"/>
        <w:jc w:val="both"/>
        <w:rPr>
          <w:rFonts w:ascii="仿宋" w:eastAsia="仿宋" w:hAnsi="仿宋" w:cs="仿宋"/>
        </w:rPr>
        <w:sectPr w:rsidR="006E012F">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6E012F">
        <w:trPr>
          <w:trHeight w:val="319"/>
        </w:trPr>
        <w:tc>
          <w:tcPr>
            <w:tcW w:w="10473" w:type="dxa"/>
            <w:gridSpan w:val="5"/>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6E012F">
        <w:trPr>
          <w:trHeight w:val="199"/>
        </w:trPr>
        <w:tc>
          <w:tcPr>
            <w:tcW w:w="8595" w:type="dxa"/>
            <w:gridSpan w:val="4"/>
            <w:vAlign w:val="center"/>
          </w:tcPr>
          <w:p w:rsidR="006E012F" w:rsidRDefault="006E012F">
            <w:pPr>
              <w:pStyle w:val="TableParagraph"/>
              <w:jc w:val="right"/>
              <w:rPr>
                <w:rFonts w:ascii="仿宋" w:eastAsia="仿宋" w:hAnsi="仿宋" w:cs="仿宋"/>
                <w:color w:val="000000"/>
              </w:rPr>
            </w:pPr>
          </w:p>
        </w:tc>
        <w:tc>
          <w:tcPr>
            <w:tcW w:w="1878" w:type="dxa"/>
            <w:vAlign w:val="center"/>
          </w:tcPr>
          <w:p w:rsidR="006E012F" w:rsidRDefault="001A01F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6E012F">
        <w:trPr>
          <w:trHeight w:val="320"/>
        </w:trPr>
        <w:tc>
          <w:tcPr>
            <w:tcW w:w="8595" w:type="dxa"/>
            <w:gridSpan w:val="4"/>
            <w:vAlign w:val="center"/>
          </w:tcPr>
          <w:p w:rsidR="006E012F" w:rsidRDefault="001A01F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1878" w:type="dxa"/>
            <w:vAlign w:val="center"/>
          </w:tcPr>
          <w:p w:rsidR="006E012F" w:rsidRDefault="001A01FA">
            <w:pPr>
              <w:pStyle w:val="TableParagraph"/>
              <w:jc w:val="right"/>
              <w:rPr>
                <w:rFonts w:ascii="仿宋" w:eastAsia="仿宋" w:hAnsi="仿宋" w:cs="仿宋"/>
                <w:sz w:val="20"/>
              </w:rPr>
            </w:pPr>
            <w:r>
              <w:rPr>
                <w:rFonts w:ascii="仿宋" w:eastAsia="仿宋" w:hAnsi="仿宋" w:cs="仿宋" w:hint="eastAsia"/>
              </w:rPr>
              <w:t>金额单位：万元</w:t>
            </w:r>
          </w:p>
        </w:tc>
      </w:tr>
      <w:tr w:rsidR="006E012F">
        <w:trPr>
          <w:trHeight w:val="180"/>
        </w:trPr>
        <w:tc>
          <w:tcPr>
            <w:tcW w:w="4687" w:type="dxa"/>
            <w:gridSpan w:val="2"/>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6E012F">
        <w:trPr>
          <w:trHeight w:val="474"/>
        </w:trPr>
        <w:tc>
          <w:tcPr>
            <w:tcW w:w="1121"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公用经费</w:t>
            </w:r>
          </w:p>
        </w:tc>
      </w:tr>
      <w:tr w:rsidR="006E012F">
        <w:trPr>
          <w:trHeight w:hRule="exact" w:val="394"/>
        </w:trPr>
        <w:tc>
          <w:tcPr>
            <w:tcW w:w="4687"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2,089.06</w:t>
            </w:r>
          </w:p>
        </w:tc>
        <w:tc>
          <w:tcPr>
            <w:tcW w:w="1708"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1,970.59</w:t>
            </w:r>
          </w:p>
        </w:tc>
        <w:tc>
          <w:tcPr>
            <w:tcW w:w="1878"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118.47</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1,949.63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1,949.63</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235.73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235.73</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338.66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338.66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1.80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1.80</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967.74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967.74</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109.36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109.36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55.62</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55.62</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37.23</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37.23</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153.37</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50.12</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50.12</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118.47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118.47</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5.74</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5.74</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0.52</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0.52</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8.40</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8.40</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7.15</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7.15</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34.98</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34.98</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1.52</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1.52</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0.21</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1.07</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26.41</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26.41</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32.47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32.47</w:t>
            </w: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20.96</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20.96</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16.09</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16.09</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4.87</w:t>
            </w: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4.87</w:t>
            </w: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bl>
    <w:p w:rsidR="006E012F" w:rsidRDefault="001A01FA">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6E012F" w:rsidRDefault="006E012F">
      <w:pPr>
        <w:spacing w:before="25"/>
        <w:jc w:val="both"/>
        <w:rPr>
          <w:rFonts w:ascii="仿宋" w:eastAsia="仿宋" w:hAnsi="仿宋" w:cs="仿宋"/>
        </w:rPr>
        <w:sectPr w:rsidR="006E012F">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6E012F">
        <w:trPr>
          <w:trHeight w:val="321"/>
        </w:trPr>
        <w:tc>
          <w:tcPr>
            <w:tcW w:w="16486" w:type="dxa"/>
            <w:gridSpan w:val="16"/>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6E012F">
        <w:trPr>
          <w:trHeight w:val="207"/>
        </w:trPr>
        <w:tc>
          <w:tcPr>
            <w:tcW w:w="16486" w:type="dxa"/>
            <w:gridSpan w:val="16"/>
          </w:tcPr>
          <w:p w:rsidR="006E012F" w:rsidRDefault="001A01FA">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6E012F">
        <w:trPr>
          <w:trHeight w:val="103"/>
        </w:trPr>
        <w:tc>
          <w:tcPr>
            <w:tcW w:w="8212" w:type="dxa"/>
            <w:gridSpan w:val="8"/>
            <w:tcBorders>
              <w:bottom w:val="single" w:sz="4" w:space="0" w:color="auto"/>
            </w:tcBorders>
          </w:tcPr>
          <w:p w:rsidR="006E012F" w:rsidRDefault="001A01F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8274" w:type="dxa"/>
            <w:gridSpan w:val="8"/>
            <w:tcBorders>
              <w:bottom w:val="single" w:sz="4" w:space="0" w:color="auto"/>
            </w:tcBorders>
          </w:tcPr>
          <w:p w:rsidR="006E012F" w:rsidRDefault="001A01FA">
            <w:pPr>
              <w:pStyle w:val="TableParagraph"/>
              <w:jc w:val="right"/>
              <w:rPr>
                <w:rFonts w:ascii="仿宋" w:eastAsia="仿宋" w:hAnsi="仿宋" w:cs="仿宋"/>
              </w:rPr>
            </w:pPr>
            <w:r>
              <w:rPr>
                <w:rFonts w:ascii="仿宋" w:eastAsia="仿宋" w:hAnsi="仿宋" w:cs="仿宋" w:hint="eastAsia"/>
              </w:rPr>
              <w:t>金额单位：万元</w:t>
            </w:r>
          </w:p>
        </w:tc>
      </w:tr>
      <w:tr w:rsidR="006E012F">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6E012F" w:rsidRDefault="001A01FA">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6E012F" w:rsidRDefault="001A01FA">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6E012F">
        <w:trPr>
          <w:trHeight w:val="179"/>
        </w:trPr>
        <w:tc>
          <w:tcPr>
            <w:tcW w:w="6159" w:type="dxa"/>
            <w:gridSpan w:val="6"/>
            <w:tcBorders>
              <w:top w:val="single" w:sz="4" w:space="0" w:color="auto"/>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培训费</w:t>
            </w:r>
          </w:p>
        </w:tc>
      </w:tr>
      <w:tr w:rsidR="006E012F">
        <w:trPr>
          <w:trHeight w:val="297"/>
        </w:trPr>
        <w:tc>
          <w:tcPr>
            <w:tcW w:w="1044" w:type="dxa"/>
            <w:vMerge w:val="restart"/>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w:t>
            </w:r>
          </w:p>
          <w:p w:rsidR="006E012F" w:rsidRDefault="001A01FA">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6E012F" w:rsidRDefault="006E012F">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6E012F" w:rsidRDefault="006E012F">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6E012F" w:rsidRDefault="001A01FA">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6E012F" w:rsidRDefault="001A01FA">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w:t>
            </w:r>
          </w:p>
          <w:p w:rsidR="006E012F" w:rsidRDefault="001A01FA">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6E012F" w:rsidRDefault="006E012F">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6E012F" w:rsidRDefault="006E012F">
            <w:pPr>
              <w:jc w:val="center"/>
              <w:rPr>
                <w:rFonts w:ascii="仿宋" w:eastAsia="仿宋" w:hAnsi="仿宋" w:cs="仿宋"/>
                <w:sz w:val="20"/>
              </w:rPr>
            </w:pPr>
          </w:p>
        </w:tc>
      </w:tr>
      <w:tr w:rsidR="006E012F">
        <w:trPr>
          <w:trHeight w:hRule="exact" w:val="621"/>
        </w:trPr>
        <w:tc>
          <w:tcPr>
            <w:tcW w:w="1044"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42"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43" w:type="dxa"/>
            <w:vMerge/>
            <w:tcBorders>
              <w:left w:val="single" w:sz="4" w:space="0" w:color="000000"/>
              <w:bottom w:val="single" w:sz="4" w:space="0" w:color="000000"/>
            </w:tcBorders>
          </w:tcPr>
          <w:p w:rsidR="006E012F" w:rsidRDefault="006E012F">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sz w:val="2"/>
                <w:szCs w:val="2"/>
              </w:rPr>
            </w:pPr>
          </w:p>
        </w:tc>
      </w:tr>
      <w:tr w:rsidR="006E012F">
        <w:trPr>
          <w:cantSplit/>
          <w:trHeight w:val="380"/>
        </w:trPr>
        <w:tc>
          <w:tcPr>
            <w:tcW w:w="1044"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11.05</w:t>
            </w:r>
          </w:p>
        </w:tc>
        <w:tc>
          <w:tcPr>
            <w:tcW w:w="1042"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9.40</w:t>
            </w:r>
          </w:p>
        </w:tc>
        <w:tc>
          <w:tcPr>
            <w:tcW w:w="1029"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9.40</w:t>
            </w:r>
          </w:p>
        </w:tc>
        <w:tc>
          <w:tcPr>
            <w:tcW w:w="1026"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1.65</w:t>
            </w:r>
          </w:p>
        </w:tc>
        <w:tc>
          <w:tcPr>
            <w:tcW w:w="1043" w:type="dxa"/>
            <w:tcBorders>
              <w:left w:val="single" w:sz="4" w:space="0" w:color="000000"/>
              <w:bottom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4.95</w:t>
            </w:r>
          </w:p>
        </w:tc>
        <w:tc>
          <w:tcPr>
            <w:tcW w:w="1010"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20.20</w:t>
            </w:r>
          </w:p>
        </w:tc>
        <w:tc>
          <w:tcPr>
            <w:tcW w:w="1058"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9.39</w:t>
            </w:r>
          </w:p>
        </w:tc>
        <w:tc>
          <w:tcPr>
            <w:tcW w:w="1010"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8.31</w:t>
            </w:r>
          </w:p>
        </w:tc>
        <w:tc>
          <w:tcPr>
            <w:tcW w:w="1089"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8.31</w:t>
            </w:r>
          </w:p>
        </w:tc>
        <w:tc>
          <w:tcPr>
            <w:tcW w:w="1043"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1.07</w:t>
            </w:r>
          </w:p>
        </w:tc>
        <w:tc>
          <w:tcPr>
            <w:tcW w:w="1057"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3.86</w:t>
            </w:r>
          </w:p>
        </w:tc>
        <w:tc>
          <w:tcPr>
            <w:tcW w:w="1027" w:type="dxa"/>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sz w:val="18"/>
                <w:szCs w:val="18"/>
              </w:rPr>
            </w:pPr>
            <w:r>
              <w:rPr>
                <w:rFonts w:ascii="仿宋" w:eastAsia="仿宋" w:hAnsi="仿宋" w:cs="仿宋" w:hint="eastAsia"/>
                <w:sz w:val="18"/>
                <w:szCs w:val="18"/>
              </w:rPr>
              <w:t>19.06</w:t>
            </w:r>
          </w:p>
        </w:tc>
      </w:tr>
    </w:tbl>
    <w:p w:rsidR="006E012F" w:rsidRDefault="001A01FA">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6E012F">
        <w:trPr>
          <w:cantSplit/>
          <w:trHeight w:val="214"/>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统计数</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0</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4</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6</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72</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0</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6</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98</w:t>
            </w:r>
          </w:p>
        </w:tc>
      </w:tr>
      <w:tr w:rsidR="006E012F">
        <w:trPr>
          <w:cantSplit/>
          <w:trHeight w:val="190"/>
        </w:trPr>
        <w:tc>
          <w:tcPr>
            <w:tcW w:w="4028" w:type="dxa"/>
            <w:tcBorders>
              <w:top w:val="single" w:sz="4" w:space="0" w:color="auto"/>
              <w:left w:val="single" w:sz="4" w:space="0" w:color="auto"/>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4</w:t>
            </w:r>
          </w:p>
        </w:tc>
        <w:tc>
          <w:tcPr>
            <w:tcW w:w="3908" w:type="dxa"/>
            <w:tcBorders>
              <w:top w:val="single" w:sz="4" w:space="0" w:color="auto"/>
              <w:left w:val="single" w:sz="4" w:space="0" w:color="000000"/>
              <w:bottom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70</w:t>
            </w:r>
          </w:p>
        </w:tc>
      </w:tr>
    </w:tbl>
    <w:p w:rsidR="006E012F" w:rsidRDefault="001A01FA">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6E012F" w:rsidRDefault="006E012F">
      <w:pPr>
        <w:ind w:left="227" w:firstLineChars="100" w:firstLine="220"/>
        <w:jc w:val="both"/>
        <w:rPr>
          <w:rFonts w:ascii="仿宋" w:eastAsia="仿宋" w:hAnsi="仿宋" w:cs="仿宋"/>
        </w:rPr>
        <w:sectPr w:rsidR="006E012F">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6E012F">
        <w:trPr>
          <w:trHeight w:val="395"/>
        </w:trPr>
        <w:tc>
          <w:tcPr>
            <w:tcW w:w="15400" w:type="dxa"/>
            <w:gridSpan w:val="5"/>
            <w:vAlign w:val="center"/>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6E012F">
        <w:trPr>
          <w:trHeight w:val="323"/>
        </w:trPr>
        <w:tc>
          <w:tcPr>
            <w:tcW w:w="8426" w:type="dxa"/>
            <w:gridSpan w:val="2"/>
          </w:tcPr>
          <w:p w:rsidR="006E012F" w:rsidRDefault="006E012F">
            <w:pPr>
              <w:pStyle w:val="TableParagraph"/>
              <w:rPr>
                <w:rFonts w:ascii="仿宋" w:eastAsia="仿宋" w:hAnsi="仿宋" w:cs="仿宋"/>
                <w:sz w:val="20"/>
              </w:rPr>
            </w:pPr>
          </w:p>
        </w:tc>
        <w:tc>
          <w:tcPr>
            <w:tcW w:w="2684" w:type="dxa"/>
          </w:tcPr>
          <w:p w:rsidR="006E012F" w:rsidRDefault="006E012F">
            <w:pPr>
              <w:pStyle w:val="TableParagraph"/>
              <w:rPr>
                <w:rFonts w:ascii="仿宋" w:eastAsia="仿宋" w:hAnsi="仿宋" w:cs="仿宋"/>
                <w:sz w:val="27"/>
              </w:rPr>
            </w:pPr>
          </w:p>
        </w:tc>
        <w:tc>
          <w:tcPr>
            <w:tcW w:w="2432" w:type="dxa"/>
          </w:tcPr>
          <w:p w:rsidR="006E012F" w:rsidRDefault="006E012F">
            <w:pPr>
              <w:pStyle w:val="TableParagraph"/>
              <w:rPr>
                <w:rFonts w:ascii="仿宋" w:eastAsia="仿宋" w:hAnsi="仿宋" w:cs="仿宋"/>
                <w:sz w:val="20"/>
              </w:rPr>
            </w:pPr>
          </w:p>
        </w:tc>
        <w:tc>
          <w:tcPr>
            <w:tcW w:w="1858" w:type="dxa"/>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6E012F">
        <w:trPr>
          <w:trHeight w:val="152"/>
        </w:trPr>
        <w:tc>
          <w:tcPr>
            <w:tcW w:w="13542" w:type="dxa"/>
            <w:gridSpan w:val="4"/>
            <w:vAlign w:val="center"/>
          </w:tcPr>
          <w:p w:rsidR="006E012F" w:rsidRDefault="001A01F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1858" w:type="dxa"/>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267"/>
        </w:trPr>
        <w:tc>
          <w:tcPr>
            <w:tcW w:w="8426" w:type="dxa"/>
            <w:gridSpan w:val="2"/>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427"/>
        </w:trPr>
        <w:tc>
          <w:tcPr>
            <w:tcW w:w="1431"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功能分类</w:t>
            </w:r>
          </w:p>
          <w:p w:rsidR="006E012F" w:rsidRDefault="001A01FA">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6E012F" w:rsidRDefault="006E012F">
            <w:pPr>
              <w:rPr>
                <w:rFonts w:ascii="仿宋" w:eastAsia="仿宋" w:hAnsi="仿宋" w:cs="仿宋"/>
              </w:rPr>
            </w:pPr>
          </w:p>
        </w:tc>
        <w:tc>
          <w:tcPr>
            <w:tcW w:w="2432"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val="275"/>
        </w:trPr>
        <w:tc>
          <w:tcPr>
            <w:tcW w:w="8426"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6E012F" w:rsidRDefault="004743E0">
            <w:pPr>
              <w:pStyle w:val="TableParagraph"/>
              <w:jc w:val="center"/>
              <w:rPr>
                <w:rFonts w:ascii="仿宋" w:eastAsia="仿宋" w:hAnsi="仿宋" w:cs="仿宋"/>
                <w:lang w:val="en-US"/>
              </w:rPr>
            </w:pPr>
            <w:r>
              <w:rPr>
                <w:rFonts w:ascii="仿宋" w:eastAsia="仿宋" w:hAnsi="仿宋" w:cs="仿宋" w:hint="eastAsia"/>
                <w:lang w:val="en-US"/>
              </w:rPr>
              <w:t>3</w:t>
            </w:r>
          </w:p>
        </w:tc>
      </w:tr>
      <w:tr w:rsidR="006E012F">
        <w:trPr>
          <w:trHeight w:hRule="exact" w:val="389"/>
        </w:trPr>
        <w:tc>
          <w:tcPr>
            <w:tcW w:w="8426"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2432"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6995"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268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432"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1A01FA">
      <w:pPr>
        <w:spacing w:before="25"/>
        <w:jc w:val="both"/>
        <w:rPr>
          <w:rFonts w:ascii="仿宋" w:eastAsia="仿宋" w:hAnsi="仿宋" w:cs="仿宋"/>
        </w:rPr>
      </w:pPr>
      <w:r>
        <w:rPr>
          <w:rFonts w:ascii="仿宋" w:eastAsia="仿宋" w:hAnsi="仿宋" w:cs="仿宋" w:hint="eastAsia"/>
        </w:rPr>
        <w:t>注：本表反映本年度政府性基金预算财政拨款支出情况。</w:t>
      </w:r>
    </w:p>
    <w:p w:rsidR="006E012F" w:rsidRDefault="001A01FA">
      <w:pPr>
        <w:spacing w:before="25"/>
        <w:ind w:leftChars="200" w:left="462"/>
        <w:jc w:val="both"/>
        <w:rPr>
          <w:rFonts w:ascii="仿宋" w:eastAsia="仿宋" w:hAnsi="仿宋" w:cs="仿宋"/>
          <w:lang w:val="en-US"/>
        </w:rPr>
      </w:pPr>
      <w:r>
        <w:rPr>
          <w:rFonts w:ascii="仿宋" w:eastAsia="仿宋" w:hAnsi="仿宋" w:cs="仿宋"/>
        </w:rPr>
        <w:t>本单位无政府性基金预算收入支出决算，故本表为空。</w:t>
      </w:r>
    </w:p>
    <w:p w:rsidR="006E012F" w:rsidRDefault="006E012F">
      <w:pPr>
        <w:spacing w:before="25"/>
        <w:jc w:val="both"/>
        <w:rPr>
          <w:rFonts w:ascii="仿宋" w:eastAsia="仿宋" w:hAnsi="仿宋" w:cs="仿宋"/>
          <w:lang w:val="en-US"/>
        </w:rPr>
        <w:sectPr w:rsidR="006E012F">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6E012F">
        <w:trPr>
          <w:trHeight w:val="395"/>
        </w:trPr>
        <w:tc>
          <w:tcPr>
            <w:tcW w:w="15400" w:type="dxa"/>
            <w:gridSpan w:val="5"/>
            <w:vAlign w:val="center"/>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6E012F">
        <w:trPr>
          <w:trHeight w:val="323"/>
        </w:trPr>
        <w:tc>
          <w:tcPr>
            <w:tcW w:w="8520" w:type="dxa"/>
            <w:gridSpan w:val="2"/>
          </w:tcPr>
          <w:p w:rsidR="006E012F" w:rsidRDefault="006E012F">
            <w:pPr>
              <w:pStyle w:val="TableParagraph"/>
              <w:rPr>
                <w:rFonts w:ascii="仿宋" w:eastAsia="仿宋" w:hAnsi="仿宋" w:cs="仿宋"/>
                <w:sz w:val="20"/>
              </w:rPr>
            </w:pPr>
          </w:p>
        </w:tc>
        <w:tc>
          <w:tcPr>
            <w:tcW w:w="2510" w:type="dxa"/>
          </w:tcPr>
          <w:p w:rsidR="006E012F" w:rsidRDefault="006E012F">
            <w:pPr>
              <w:pStyle w:val="TableParagraph"/>
              <w:rPr>
                <w:rFonts w:ascii="仿宋" w:eastAsia="仿宋" w:hAnsi="仿宋" w:cs="仿宋"/>
                <w:sz w:val="27"/>
              </w:rPr>
            </w:pPr>
          </w:p>
        </w:tc>
        <w:tc>
          <w:tcPr>
            <w:tcW w:w="2309" w:type="dxa"/>
          </w:tcPr>
          <w:p w:rsidR="006E012F" w:rsidRDefault="006E012F">
            <w:pPr>
              <w:pStyle w:val="TableParagraph"/>
              <w:rPr>
                <w:rFonts w:ascii="仿宋" w:eastAsia="仿宋" w:hAnsi="仿宋" w:cs="仿宋"/>
                <w:sz w:val="20"/>
              </w:rPr>
            </w:pPr>
          </w:p>
        </w:tc>
        <w:tc>
          <w:tcPr>
            <w:tcW w:w="2061" w:type="dxa"/>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6E012F">
        <w:trPr>
          <w:trHeight w:val="152"/>
        </w:trPr>
        <w:tc>
          <w:tcPr>
            <w:tcW w:w="13339" w:type="dxa"/>
            <w:gridSpan w:val="4"/>
            <w:vAlign w:val="center"/>
          </w:tcPr>
          <w:p w:rsidR="006E012F" w:rsidRDefault="001A01F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2061" w:type="dxa"/>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267"/>
        </w:trPr>
        <w:tc>
          <w:tcPr>
            <w:tcW w:w="8520" w:type="dxa"/>
            <w:gridSpan w:val="2"/>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项目支出</w:t>
            </w:r>
          </w:p>
        </w:tc>
      </w:tr>
      <w:tr w:rsidR="006E012F">
        <w:trPr>
          <w:trHeight w:val="427"/>
        </w:trPr>
        <w:tc>
          <w:tcPr>
            <w:tcW w:w="1462"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功能分类</w:t>
            </w:r>
          </w:p>
          <w:p w:rsidR="006E012F" w:rsidRDefault="001A01FA">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6E012F" w:rsidRDefault="006E012F">
            <w:pPr>
              <w:rPr>
                <w:rFonts w:ascii="仿宋" w:eastAsia="仿宋" w:hAnsi="仿宋" w:cs="仿宋"/>
              </w:rPr>
            </w:pPr>
          </w:p>
        </w:tc>
        <w:tc>
          <w:tcPr>
            <w:tcW w:w="2309" w:type="dxa"/>
            <w:vMerge/>
            <w:tcBorders>
              <w:left w:val="single" w:sz="4" w:space="0" w:color="000000"/>
              <w:bottom w:val="single" w:sz="4" w:space="0" w:color="000000"/>
            </w:tcBorders>
            <w:vAlign w:val="center"/>
          </w:tcPr>
          <w:p w:rsidR="006E012F" w:rsidRDefault="006E012F">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val="275"/>
        </w:trPr>
        <w:tc>
          <w:tcPr>
            <w:tcW w:w="8520"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6E012F" w:rsidRDefault="00CF349C">
            <w:pPr>
              <w:pStyle w:val="TableParagraph"/>
              <w:jc w:val="center"/>
              <w:rPr>
                <w:rFonts w:ascii="仿宋" w:eastAsia="仿宋" w:hAnsi="仿宋" w:cs="仿宋"/>
                <w:lang w:val="en-US"/>
              </w:rPr>
            </w:pPr>
            <w:r>
              <w:rPr>
                <w:rFonts w:ascii="仿宋" w:eastAsia="仿宋" w:hAnsi="仿宋" w:cs="仿宋" w:hint="eastAsia"/>
                <w:lang w:val="en-US"/>
              </w:rPr>
              <w:t>3</w:t>
            </w:r>
          </w:p>
        </w:tc>
      </w:tr>
      <w:tr w:rsidR="006E012F">
        <w:trPr>
          <w:trHeight w:hRule="exact" w:val="389"/>
        </w:trPr>
        <w:tc>
          <w:tcPr>
            <w:tcW w:w="8520"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6E012F" w:rsidRDefault="006E012F">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6E012F" w:rsidRDefault="006E012F">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1A01FA">
      <w:pPr>
        <w:jc w:val="both"/>
        <w:rPr>
          <w:rFonts w:ascii="仿宋" w:eastAsia="仿宋" w:hAnsi="仿宋" w:cs="仿宋"/>
        </w:rPr>
      </w:pPr>
      <w:r>
        <w:rPr>
          <w:rFonts w:ascii="仿宋" w:eastAsia="仿宋" w:hAnsi="仿宋" w:cs="仿宋" w:hint="eastAsia"/>
        </w:rPr>
        <w:t>注：本表反映本年度国有资本经营预算财政拨款支出情况。</w:t>
      </w:r>
    </w:p>
    <w:p w:rsidR="006E012F" w:rsidRDefault="001A01FA">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6E012F" w:rsidRDefault="006E012F">
      <w:pPr>
        <w:spacing w:before="25"/>
        <w:ind w:leftChars="-100" w:left="-231"/>
        <w:jc w:val="both"/>
        <w:rPr>
          <w:rFonts w:ascii="仿宋" w:eastAsia="仿宋" w:hAnsi="仿宋" w:cs="仿宋"/>
          <w:lang w:val="en-US"/>
        </w:rPr>
        <w:sectPr w:rsidR="006E012F">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6E012F">
        <w:trPr>
          <w:trHeight w:val="319"/>
        </w:trPr>
        <w:tc>
          <w:tcPr>
            <w:tcW w:w="10466" w:type="dxa"/>
            <w:gridSpan w:val="3"/>
          </w:tcPr>
          <w:p w:rsidR="006E012F" w:rsidRDefault="001A01FA">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6E012F">
        <w:trPr>
          <w:trHeight w:val="90"/>
        </w:trPr>
        <w:tc>
          <w:tcPr>
            <w:tcW w:w="6632" w:type="dxa"/>
            <w:gridSpan w:val="2"/>
          </w:tcPr>
          <w:p w:rsidR="006E012F" w:rsidRDefault="006E012F">
            <w:pPr>
              <w:pStyle w:val="TableParagraph"/>
              <w:rPr>
                <w:rFonts w:ascii="仿宋" w:eastAsia="仿宋" w:hAnsi="仿宋" w:cs="仿宋"/>
                <w:sz w:val="20"/>
              </w:rPr>
            </w:pPr>
          </w:p>
        </w:tc>
        <w:tc>
          <w:tcPr>
            <w:tcW w:w="3834" w:type="dxa"/>
            <w:vAlign w:val="center"/>
          </w:tcPr>
          <w:p w:rsidR="006E012F" w:rsidRDefault="001A01F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6E012F">
        <w:trPr>
          <w:trHeight w:val="90"/>
        </w:trPr>
        <w:tc>
          <w:tcPr>
            <w:tcW w:w="6632" w:type="dxa"/>
            <w:gridSpan w:val="2"/>
            <w:vAlign w:val="center"/>
          </w:tcPr>
          <w:p w:rsidR="006E012F" w:rsidRDefault="001A01FA">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3834" w:type="dxa"/>
            <w:vAlign w:val="center"/>
          </w:tcPr>
          <w:p w:rsidR="006E012F" w:rsidRDefault="001A01FA">
            <w:pPr>
              <w:pStyle w:val="TableParagraph"/>
              <w:jc w:val="right"/>
              <w:rPr>
                <w:rFonts w:ascii="仿宋" w:eastAsia="仿宋" w:hAnsi="仿宋" w:cs="仿宋"/>
                <w:sz w:val="27"/>
              </w:rPr>
            </w:pPr>
            <w:r>
              <w:rPr>
                <w:rFonts w:ascii="仿宋" w:eastAsia="仿宋" w:hAnsi="仿宋" w:cs="仿宋" w:hint="eastAsia"/>
              </w:rPr>
              <w:t>金额单位：万元</w:t>
            </w:r>
          </w:p>
        </w:tc>
      </w:tr>
      <w:tr w:rsidR="006E012F">
        <w:trPr>
          <w:trHeight w:val="319"/>
        </w:trPr>
        <w:tc>
          <w:tcPr>
            <w:tcW w:w="6632" w:type="dxa"/>
            <w:gridSpan w:val="2"/>
            <w:tcBorders>
              <w:top w:val="single" w:sz="4" w:space="0" w:color="000000"/>
              <w:left w:val="single" w:sz="4" w:space="0" w:color="000000"/>
              <w:bottom w:val="single" w:sz="4" w:space="0" w:color="000000"/>
            </w:tcBorders>
          </w:tcPr>
          <w:p w:rsidR="006E012F" w:rsidRDefault="001A01FA">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机关运行经费支出决算</w:t>
            </w:r>
          </w:p>
        </w:tc>
      </w:tr>
      <w:tr w:rsidR="006E012F">
        <w:trPr>
          <w:trHeight w:val="363"/>
        </w:trPr>
        <w:tc>
          <w:tcPr>
            <w:tcW w:w="1642"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6E012F" w:rsidRDefault="006E012F">
            <w:pPr>
              <w:rPr>
                <w:rFonts w:ascii="仿宋" w:eastAsia="仿宋" w:hAnsi="仿宋" w:cs="仿宋"/>
              </w:rPr>
            </w:pPr>
          </w:p>
        </w:tc>
      </w:tr>
      <w:tr w:rsidR="006E012F">
        <w:trPr>
          <w:trHeight w:val="229"/>
        </w:trPr>
        <w:tc>
          <w:tcPr>
            <w:tcW w:w="6632" w:type="dxa"/>
            <w:gridSpan w:val="2"/>
            <w:tcBorders>
              <w:left w:val="single" w:sz="4" w:space="0" w:color="000000"/>
              <w:bottom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r w:rsidR="006E012F">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6E012F" w:rsidRDefault="006E012F">
            <w:pPr>
              <w:jc w:val="right"/>
              <w:rPr>
                <w:rFonts w:ascii="仿宋" w:eastAsia="仿宋" w:hAnsi="仿宋" w:cs="仿宋"/>
              </w:rPr>
            </w:pPr>
          </w:p>
        </w:tc>
      </w:tr>
    </w:tbl>
    <w:p w:rsidR="006E012F" w:rsidRDefault="001A01FA">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6E012F" w:rsidRDefault="001A01FA">
      <w:pPr>
        <w:tabs>
          <w:tab w:val="left" w:pos="440"/>
        </w:tabs>
        <w:spacing w:before="25"/>
        <w:ind w:leftChars="200" w:left="462"/>
        <w:jc w:val="both"/>
        <w:rPr>
          <w:rFonts w:ascii="仿宋" w:eastAsia="仿宋" w:hAnsi="仿宋" w:cs="仿宋"/>
        </w:rPr>
      </w:pPr>
      <w:r>
        <w:rPr>
          <w:rFonts w:ascii="仿宋" w:eastAsia="仿宋" w:hAnsi="仿宋" w:cs="仿宋" w:hint="eastAsia"/>
        </w:rPr>
        <w:t>本</w:t>
      </w:r>
      <w:r w:rsidRPr="00CF349C">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sidRPr="00CF349C">
        <w:rPr>
          <w:rFonts w:ascii="仿宋" w:eastAsia="仿宋" w:hAnsi="仿宋" w:cs="仿宋" w:hint="eastAsia"/>
          <w:lang w:val="en-US"/>
        </w:rPr>
        <w:t>，</w:t>
      </w:r>
      <w:r>
        <w:rPr>
          <w:rFonts w:ascii="仿宋" w:eastAsia="仿宋" w:hAnsi="仿宋" w:cs="仿宋" w:hint="eastAsia"/>
        </w:rPr>
        <w:t>故本表为空。</w:t>
      </w:r>
    </w:p>
    <w:p w:rsidR="006E012F" w:rsidRDefault="006E012F">
      <w:pPr>
        <w:tabs>
          <w:tab w:val="left" w:pos="440"/>
        </w:tabs>
        <w:spacing w:before="25"/>
        <w:ind w:leftChars="200" w:left="462"/>
        <w:jc w:val="both"/>
        <w:rPr>
          <w:rFonts w:ascii="仿宋" w:eastAsia="仿宋" w:hAnsi="仿宋" w:cs="仿宋"/>
          <w:lang w:val="en-US"/>
        </w:rPr>
        <w:sectPr w:rsidR="006E012F">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6E012F">
        <w:trPr>
          <w:trHeight w:val="333"/>
        </w:trPr>
        <w:tc>
          <w:tcPr>
            <w:tcW w:w="10459" w:type="dxa"/>
            <w:gridSpan w:val="4"/>
            <w:vAlign w:val="center"/>
          </w:tcPr>
          <w:p w:rsidR="006E012F" w:rsidRDefault="001A01FA">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6E012F">
        <w:trPr>
          <w:trHeight w:val="333"/>
        </w:trPr>
        <w:tc>
          <w:tcPr>
            <w:tcW w:w="4472" w:type="dxa"/>
          </w:tcPr>
          <w:p w:rsidR="006E012F" w:rsidRDefault="006E012F">
            <w:pPr>
              <w:pStyle w:val="TableParagraph"/>
              <w:rPr>
                <w:rFonts w:ascii="仿宋" w:eastAsia="仿宋" w:hAnsi="仿宋" w:cs="仿宋"/>
              </w:rPr>
            </w:pPr>
          </w:p>
        </w:tc>
        <w:tc>
          <w:tcPr>
            <w:tcW w:w="722" w:type="dxa"/>
          </w:tcPr>
          <w:p w:rsidR="006E012F" w:rsidRDefault="006E012F">
            <w:pPr>
              <w:pStyle w:val="TableParagraph"/>
              <w:rPr>
                <w:rFonts w:ascii="仿宋" w:eastAsia="仿宋" w:hAnsi="仿宋" w:cs="仿宋"/>
              </w:rPr>
            </w:pPr>
          </w:p>
        </w:tc>
        <w:tc>
          <w:tcPr>
            <w:tcW w:w="1992" w:type="dxa"/>
          </w:tcPr>
          <w:p w:rsidR="006E012F" w:rsidRDefault="006E012F">
            <w:pPr>
              <w:pStyle w:val="TableParagraph"/>
              <w:rPr>
                <w:rFonts w:ascii="仿宋" w:eastAsia="仿宋" w:hAnsi="仿宋" w:cs="仿宋"/>
              </w:rPr>
            </w:pPr>
          </w:p>
        </w:tc>
        <w:tc>
          <w:tcPr>
            <w:tcW w:w="3273" w:type="dxa"/>
            <w:vAlign w:val="center"/>
          </w:tcPr>
          <w:p w:rsidR="006E012F" w:rsidRDefault="001A01FA">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6E012F">
        <w:trPr>
          <w:trHeight w:val="90"/>
        </w:trPr>
        <w:tc>
          <w:tcPr>
            <w:tcW w:w="7186" w:type="dxa"/>
            <w:gridSpan w:val="3"/>
          </w:tcPr>
          <w:p w:rsidR="006E012F" w:rsidRDefault="001A01FA">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常州市住房保障中心</w:t>
            </w:r>
          </w:p>
        </w:tc>
        <w:tc>
          <w:tcPr>
            <w:tcW w:w="3273" w:type="dxa"/>
            <w:vAlign w:val="center"/>
          </w:tcPr>
          <w:p w:rsidR="006E012F" w:rsidRDefault="001A01FA">
            <w:pPr>
              <w:pStyle w:val="TableParagraph"/>
              <w:jc w:val="right"/>
              <w:rPr>
                <w:rFonts w:ascii="仿宋" w:eastAsia="仿宋" w:hAnsi="仿宋" w:cs="仿宋"/>
              </w:rPr>
            </w:pPr>
            <w:r>
              <w:rPr>
                <w:rFonts w:ascii="仿宋" w:eastAsia="仿宋" w:hAnsi="仿宋" w:cs="仿宋" w:hint="eastAsia"/>
              </w:rPr>
              <w:t>单位：万元</w:t>
            </w:r>
          </w:p>
        </w:tc>
      </w:tr>
      <w:tr w:rsidR="006E012F">
        <w:trPr>
          <w:trHeight w:val="244"/>
        </w:trPr>
        <w:tc>
          <w:tcPr>
            <w:tcW w:w="4472" w:type="dxa"/>
            <w:tcBorders>
              <w:top w:val="single" w:sz="4" w:space="0" w:color="000000"/>
              <w:left w:val="single" w:sz="4" w:space="0" w:color="000000"/>
              <w:bottom w:val="single" w:sz="4" w:space="0" w:color="000000"/>
            </w:tcBorders>
            <w:vAlign w:val="center"/>
          </w:tcPr>
          <w:p w:rsidR="006E012F" w:rsidRDefault="001A01FA">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6E012F" w:rsidRDefault="001A01FA">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6E012F">
        <w:trPr>
          <w:cantSplit/>
          <w:trHeight w:val="277"/>
        </w:trPr>
        <w:tc>
          <w:tcPr>
            <w:tcW w:w="4472"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1,571.11</w:t>
            </w:r>
          </w:p>
        </w:tc>
      </w:tr>
      <w:tr w:rsidR="006E012F">
        <w:trPr>
          <w:cantSplit/>
          <w:trHeight w:val="277"/>
        </w:trPr>
        <w:tc>
          <w:tcPr>
            <w:tcW w:w="4472"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1.04</w:t>
            </w:r>
          </w:p>
        </w:tc>
      </w:tr>
      <w:tr w:rsidR="006E012F">
        <w:trPr>
          <w:cantSplit/>
          <w:trHeight w:val="277"/>
        </w:trPr>
        <w:tc>
          <w:tcPr>
            <w:tcW w:w="4472"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6E012F" w:rsidRDefault="006E012F">
            <w:pPr>
              <w:pStyle w:val="TableParagraph"/>
              <w:jc w:val="right"/>
              <w:rPr>
                <w:rFonts w:ascii="仿宋" w:eastAsia="仿宋" w:hAnsi="仿宋" w:cs="仿宋"/>
              </w:rPr>
            </w:pPr>
          </w:p>
        </w:tc>
      </w:tr>
      <w:tr w:rsidR="006E012F">
        <w:trPr>
          <w:cantSplit/>
          <w:trHeight w:val="277"/>
        </w:trPr>
        <w:tc>
          <w:tcPr>
            <w:tcW w:w="4472"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1,570.08</w:t>
            </w:r>
          </w:p>
        </w:tc>
      </w:tr>
      <w:tr w:rsidR="006E012F">
        <w:trPr>
          <w:cantSplit/>
          <w:trHeight w:val="277"/>
        </w:trPr>
        <w:tc>
          <w:tcPr>
            <w:tcW w:w="4472"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885.77</w:t>
            </w:r>
          </w:p>
        </w:tc>
      </w:tr>
      <w:tr w:rsidR="006E012F">
        <w:trPr>
          <w:cantSplit/>
          <w:trHeight w:val="277"/>
        </w:trPr>
        <w:tc>
          <w:tcPr>
            <w:tcW w:w="4472" w:type="dxa"/>
            <w:tcBorders>
              <w:left w:val="single" w:sz="4" w:space="0" w:color="000000"/>
              <w:bottom w:val="single" w:sz="4" w:space="0" w:color="000000"/>
            </w:tcBorders>
            <w:vAlign w:val="center"/>
          </w:tcPr>
          <w:p w:rsidR="006E012F" w:rsidRDefault="001A01FA">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6E012F" w:rsidRDefault="001A01FA">
            <w:pPr>
              <w:pStyle w:val="TableParagraph"/>
              <w:jc w:val="right"/>
              <w:rPr>
                <w:rFonts w:ascii="仿宋" w:eastAsia="仿宋" w:hAnsi="仿宋" w:cs="仿宋"/>
              </w:rPr>
            </w:pPr>
            <w:r>
              <w:rPr>
                <w:rFonts w:ascii="仿宋" w:eastAsia="仿宋" w:hAnsi="仿宋" w:cs="仿宋" w:hint="eastAsia"/>
              </w:rPr>
              <w:t>885.77</w:t>
            </w:r>
          </w:p>
        </w:tc>
      </w:tr>
    </w:tbl>
    <w:p w:rsidR="006E012F" w:rsidRDefault="001A01FA">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6E012F" w:rsidRPr="00CF349C" w:rsidRDefault="006E012F">
      <w:pPr>
        <w:ind w:leftChars="200" w:left="462"/>
        <w:jc w:val="both"/>
        <w:rPr>
          <w:rFonts w:ascii="仿宋" w:eastAsia="仿宋" w:hAnsi="仿宋" w:cs="仿宋"/>
          <w:lang w:val="en-US"/>
        </w:rPr>
        <w:sectPr w:rsidR="006E012F" w:rsidRPr="00CF349C">
          <w:pgSz w:w="11906" w:h="16838"/>
          <w:pgMar w:top="720" w:right="720" w:bottom="720" w:left="720" w:header="170" w:footer="280" w:gutter="0"/>
          <w:pgNumType w:fmt="numberInDash"/>
          <w:cols w:space="720"/>
          <w:formProt w:val="0"/>
          <w:docGrid w:linePitch="100"/>
        </w:sectPr>
      </w:pPr>
    </w:p>
    <w:p w:rsidR="006E012F" w:rsidRPr="00CF349C" w:rsidRDefault="001A01FA">
      <w:pPr>
        <w:pStyle w:val="4"/>
        <w:tabs>
          <w:tab w:val="left" w:pos="3077"/>
        </w:tabs>
        <w:spacing w:line="616" w:lineRule="exact"/>
        <w:rPr>
          <w:rFonts w:ascii="宋体" w:eastAsia="宋体" w:hAnsi="宋体" w:cs="宋体"/>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sidRPr="00CF349C">
        <w:rPr>
          <w:rFonts w:ascii="宋体" w:eastAsia="宋体" w:hAnsi="宋体" w:cs="宋体" w:hint="eastAsia"/>
          <w:b/>
          <w:bCs/>
          <w:color w:val="000000"/>
          <w:lang w:val="en-US"/>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sidRPr="00CF349C">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rsidR="006E012F" w:rsidRDefault="006E012F">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28,889.88</w:t>
      </w:r>
      <w:r>
        <w:rPr>
          <w:rFonts w:ascii="仿宋" w:eastAsia="仿宋" w:hAnsi="仿宋" w:cs="仿宋"/>
        </w:rPr>
        <w:t>万元。与上年相比，收、支总计各增加</w:t>
      </w:r>
      <w:r>
        <w:rPr>
          <w:rFonts w:ascii="仿宋" w:eastAsia="仿宋" w:hAnsi="仿宋" w:cs="仿宋"/>
        </w:rPr>
        <w:t>14,085.69</w:t>
      </w:r>
      <w:r>
        <w:rPr>
          <w:rFonts w:ascii="仿宋" w:eastAsia="仿宋" w:hAnsi="仿宋" w:cs="仿宋"/>
        </w:rPr>
        <w:t>万元，增长</w:t>
      </w:r>
      <w:r>
        <w:rPr>
          <w:rFonts w:ascii="仿宋" w:eastAsia="仿宋" w:hAnsi="仿宋" w:cs="仿宋"/>
        </w:rPr>
        <w:t>95.15%</w:t>
      </w:r>
      <w:r>
        <w:rPr>
          <w:rFonts w:ascii="仿宋" w:eastAsia="仿宋" w:hAnsi="仿宋" w:cs="仿宋"/>
        </w:rPr>
        <w:t>。其中：</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28,889.88</w:t>
      </w:r>
      <w:r>
        <w:rPr>
          <w:rFonts w:ascii="仿宋" w:eastAsia="仿宋" w:hAnsi="仿宋" w:cs="仿宋"/>
          <w:b/>
        </w:rPr>
        <w:t>万元。包括：</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28,889.88</w:t>
      </w:r>
      <w:r>
        <w:rPr>
          <w:rFonts w:ascii="仿宋" w:eastAsia="仿宋" w:hAnsi="仿宋" w:cs="仿宋"/>
        </w:rPr>
        <w:t>万元。与上年相比，增加</w:t>
      </w:r>
      <w:r>
        <w:rPr>
          <w:rFonts w:ascii="仿宋" w:eastAsia="仿宋" w:hAnsi="仿宋" w:cs="仿宋"/>
        </w:rPr>
        <w:t>14,085.69</w:t>
      </w:r>
      <w:r>
        <w:rPr>
          <w:rFonts w:ascii="仿宋" w:eastAsia="仿宋" w:hAnsi="仿宋" w:cs="仿宋"/>
        </w:rPr>
        <w:t>万元，增长</w:t>
      </w:r>
      <w:r>
        <w:rPr>
          <w:rFonts w:ascii="仿宋" w:eastAsia="仿宋" w:hAnsi="仿宋" w:cs="仿宋"/>
        </w:rPr>
        <w:t>95.15%</w:t>
      </w:r>
      <w:r>
        <w:rPr>
          <w:rFonts w:ascii="仿宋" w:eastAsia="仿宋" w:hAnsi="仿宋" w:cs="仿宋"/>
        </w:rPr>
        <w:t>，变动原因：基本支出较上年增加</w:t>
      </w:r>
      <w:r>
        <w:rPr>
          <w:rFonts w:ascii="仿宋" w:eastAsia="仿宋" w:hAnsi="仿宋" w:cs="仿宋"/>
        </w:rPr>
        <w:t>289.08</w:t>
      </w:r>
      <w:r>
        <w:rPr>
          <w:rFonts w:ascii="仿宋" w:eastAsia="仿宋" w:hAnsi="仿宋" w:cs="仿宋"/>
        </w:rPr>
        <w:t>万元，住房保障专项资金收入较上年减少</w:t>
      </w:r>
      <w:r>
        <w:rPr>
          <w:rFonts w:ascii="仿宋" w:eastAsia="仿宋" w:hAnsi="仿宋" w:cs="仿宋"/>
        </w:rPr>
        <w:t>84.95</w:t>
      </w:r>
      <w:r>
        <w:rPr>
          <w:rFonts w:ascii="仿宋" w:eastAsia="仿宋" w:hAnsi="仿宋" w:cs="仿宋"/>
        </w:rPr>
        <w:t>万元，龙城英才购房补贴收入较上年减少</w:t>
      </w:r>
      <w:r>
        <w:rPr>
          <w:rFonts w:ascii="仿宋" w:eastAsia="仿宋" w:hAnsi="仿宋" w:cs="仿宋"/>
        </w:rPr>
        <w:t>450</w:t>
      </w:r>
      <w:r>
        <w:rPr>
          <w:rFonts w:ascii="仿宋" w:eastAsia="仿宋" w:hAnsi="仿宋" w:cs="仿宋"/>
        </w:rPr>
        <w:t>万元，双资助购房、租房补贴及人才公寓工作经费收入较上年增加</w:t>
      </w:r>
      <w:r>
        <w:rPr>
          <w:rFonts w:ascii="仿宋" w:eastAsia="仿宋" w:hAnsi="仿宋" w:cs="仿宋"/>
        </w:rPr>
        <w:t>6233.08</w:t>
      </w:r>
      <w:r>
        <w:rPr>
          <w:rFonts w:ascii="仿宋" w:eastAsia="仿宋" w:hAnsi="仿宋" w:cs="仿宋"/>
        </w:rPr>
        <w:t>万元，房屋拆迁费用支出项目收</w:t>
      </w:r>
      <w:r>
        <w:rPr>
          <w:rFonts w:ascii="仿宋" w:eastAsia="仿宋" w:hAnsi="仿宋" w:cs="仿宋"/>
        </w:rPr>
        <w:t>入较上年增加</w:t>
      </w:r>
      <w:r>
        <w:rPr>
          <w:rFonts w:ascii="仿宋" w:eastAsia="仿宋" w:hAnsi="仿宋" w:cs="仿宋"/>
        </w:rPr>
        <w:t>6267.19</w:t>
      </w:r>
      <w:r>
        <w:rPr>
          <w:rFonts w:ascii="仿宋" w:eastAsia="仿宋" w:hAnsi="仿宋" w:cs="仿宋"/>
        </w:rPr>
        <w:t>万元，老小区改造及加梯经费项目收入较上年增加</w:t>
      </w:r>
      <w:r>
        <w:rPr>
          <w:rFonts w:ascii="仿宋" w:eastAsia="仿宋" w:hAnsi="仿宋" w:cs="仿宋"/>
        </w:rPr>
        <w:t>1703.96</w:t>
      </w:r>
      <w:r>
        <w:rPr>
          <w:rFonts w:ascii="仿宋" w:eastAsia="仿宋" w:hAnsi="仿宋" w:cs="仿宋"/>
        </w:rPr>
        <w:t>万元，其他项目经费收入较上年增加</w:t>
      </w:r>
      <w:r>
        <w:rPr>
          <w:rFonts w:ascii="仿宋" w:eastAsia="仿宋" w:hAnsi="仿宋" w:cs="仿宋"/>
        </w:rPr>
        <w:t>127.33</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28,889.88</w:t>
      </w:r>
      <w:r>
        <w:rPr>
          <w:rFonts w:ascii="仿宋" w:eastAsia="仿宋" w:hAnsi="仿宋" w:cs="仿宋"/>
          <w:b/>
        </w:rPr>
        <w:t>万元。包括：</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28,889.88</w:t>
      </w:r>
      <w:r>
        <w:rPr>
          <w:rFonts w:ascii="仿宋" w:eastAsia="仿宋" w:hAnsi="仿宋" w:cs="仿宋"/>
        </w:rPr>
        <w:t>万元。与上年相比，增加</w:t>
      </w:r>
      <w:r>
        <w:rPr>
          <w:rFonts w:ascii="仿宋" w:eastAsia="仿宋" w:hAnsi="仿宋" w:cs="仿宋"/>
        </w:rPr>
        <w:t>14,085.69</w:t>
      </w:r>
      <w:r>
        <w:rPr>
          <w:rFonts w:ascii="仿宋" w:eastAsia="仿宋" w:hAnsi="仿宋" w:cs="仿宋"/>
        </w:rPr>
        <w:t>万元，增长</w:t>
      </w:r>
      <w:r>
        <w:rPr>
          <w:rFonts w:ascii="仿宋" w:eastAsia="仿宋" w:hAnsi="仿宋" w:cs="仿宋"/>
        </w:rPr>
        <w:t>95.15%</w:t>
      </w:r>
      <w:r>
        <w:rPr>
          <w:rFonts w:ascii="仿宋" w:eastAsia="仿宋" w:hAnsi="仿宋" w:cs="仿宋"/>
        </w:rPr>
        <w:t>，变动原因：基本支出较上年增加</w:t>
      </w:r>
      <w:r>
        <w:rPr>
          <w:rFonts w:ascii="仿宋" w:eastAsia="仿宋" w:hAnsi="仿宋" w:cs="仿宋"/>
        </w:rPr>
        <w:t>289.08</w:t>
      </w:r>
      <w:r>
        <w:rPr>
          <w:rFonts w:ascii="仿宋" w:eastAsia="仿宋" w:hAnsi="仿宋" w:cs="仿宋"/>
        </w:rPr>
        <w:t>万元，住房保障专项资金支出较上年减少</w:t>
      </w:r>
      <w:r>
        <w:rPr>
          <w:rFonts w:ascii="仿宋" w:eastAsia="仿宋" w:hAnsi="仿宋" w:cs="仿宋"/>
        </w:rPr>
        <w:t>84.95</w:t>
      </w:r>
      <w:r>
        <w:rPr>
          <w:rFonts w:ascii="仿宋" w:eastAsia="仿宋" w:hAnsi="仿宋" w:cs="仿宋"/>
        </w:rPr>
        <w:t>万元，龙城英才购房补贴支出较上年减少</w:t>
      </w:r>
      <w:r>
        <w:rPr>
          <w:rFonts w:ascii="仿宋" w:eastAsia="仿宋" w:hAnsi="仿宋" w:cs="仿宋"/>
        </w:rPr>
        <w:t>450</w:t>
      </w:r>
      <w:r>
        <w:rPr>
          <w:rFonts w:ascii="仿宋" w:eastAsia="仿宋" w:hAnsi="仿宋" w:cs="仿宋"/>
        </w:rPr>
        <w:t>万元，双资助购房、租房补贴及人才公寓工作经费支出较上年增加</w:t>
      </w:r>
      <w:r>
        <w:rPr>
          <w:rFonts w:ascii="仿宋" w:eastAsia="仿宋" w:hAnsi="仿宋" w:cs="仿宋"/>
        </w:rPr>
        <w:t>6233.08</w:t>
      </w:r>
      <w:r>
        <w:rPr>
          <w:rFonts w:ascii="仿宋" w:eastAsia="仿宋" w:hAnsi="仿宋" w:cs="仿宋"/>
        </w:rPr>
        <w:t>万</w:t>
      </w:r>
      <w:r>
        <w:rPr>
          <w:rFonts w:ascii="仿宋" w:eastAsia="仿宋" w:hAnsi="仿宋" w:cs="仿宋"/>
        </w:rPr>
        <w:lastRenderedPageBreak/>
        <w:t>元，房屋拆迁费用支出项目支出较上年增加</w:t>
      </w:r>
      <w:r>
        <w:rPr>
          <w:rFonts w:ascii="仿宋" w:eastAsia="仿宋" w:hAnsi="仿宋" w:cs="仿宋"/>
        </w:rPr>
        <w:t>6267.19</w:t>
      </w:r>
      <w:r>
        <w:rPr>
          <w:rFonts w:ascii="仿宋" w:eastAsia="仿宋" w:hAnsi="仿宋" w:cs="仿宋"/>
        </w:rPr>
        <w:t>万元，老小区改造及加梯经费项目支出较上年增加</w:t>
      </w:r>
      <w:r>
        <w:rPr>
          <w:rFonts w:ascii="仿宋" w:eastAsia="仿宋" w:hAnsi="仿宋" w:cs="仿宋"/>
        </w:rPr>
        <w:t>1703.96</w:t>
      </w:r>
      <w:r>
        <w:rPr>
          <w:rFonts w:ascii="仿宋" w:eastAsia="仿宋" w:hAnsi="仿宋" w:cs="仿宋"/>
        </w:rPr>
        <w:t>万元，其他项目经费支出较上年增加</w:t>
      </w:r>
      <w:r>
        <w:rPr>
          <w:rFonts w:ascii="仿宋" w:eastAsia="仿宋" w:hAnsi="仿宋" w:cs="仿宋"/>
        </w:rPr>
        <w:t>127.33</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28,889.88</w:t>
      </w:r>
      <w:r>
        <w:rPr>
          <w:rFonts w:ascii="仿宋" w:eastAsia="仿宋" w:hAnsi="仿宋" w:cs="仿宋"/>
        </w:rPr>
        <w:t>万元，其中：财政拨款收入</w:t>
      </w:r>
      <w:r>
        <w:rPr>
          <w:rFonts w:ascii="仿宋" w:eastAsia="仿宋" w:hAnsi="仿宋" w:cs="仿宋"/>
        </w:rPr>
        <w:t>23,498.54</w:t>
      </w:r>
      <w:r>
        <w:rPr>
          <w:rFonts w:ascii="仿宋" w:eastAsia="仿宋" w:hAnsi="仿宋" w:cs="仿宋"/>
        </w:rPr>
        <w:t>万元，占</w:t>
      </w:r>
      <w:r>
        <w:rPr>
          <w:rFonts w:ascii="仿宋" w:eastAsia="仿宋" w:hAnsi="仿宋" w:cs="仿宋"/>
        </w:rPr>
        <w:t>81.34%</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2,155.45</w:t>
      </w:r>
      <w:r>
        <w:rPr>
          <w:rFonts w:ascii="仿宋" w:eastAsia="仿宋" w:hAnsi="仿宋" w:cs="仿宋"/>
        </w:rPr>
        <w:t>万元，占</w:t>
      </w:r>
      <w:r>
        <w:rPr>
          <w:rFonts w:ascii="仿宋" w:eastAsia="仿宋" w:hAnsi="仿宋" w:cs="仿宋"/>
        </w:rPr>
        <w:t>7.46%</w:t>
      </w:r>
      <w:r>
        <w:rPr>
          <w:rFonts w:ascii="仿宋" w:eastAsia="仿宋" w:hAnsi="仿宋" w:cs="仿宋"/>
        </w:rPr>
        <w:t>；附属单位上缴收入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3,235.88</w:t>
      </w:r>
      <w:r>
        <w:rPr>
          <w:rFonts w:ascii="仿宋" w:eastAsia="仿宋" w:hAnsi="仿宋" w:cs="仿宋"/>
        </w:rPr>
        <w:t>万元，占</w:t>
      </w:r>
      <w:r>
        <w:rPr>
          <w:rFonts w:ascii="仿宋" w:eastAsia="仿宋" w:hAnsi="仿宋" w:cs="仿宋"/>
        </w:rPr>
        <w:t>11.2%</w:t>
      </w:r>
      <w:r>
        <w:rPr>
          <w:rFonts w:ascii="仿宋" w:eastAsia="仿宋" w:hAnsi="仿宋" w:cs="仿宋"/>
        </w:rPr>
        <w:t>。</w:t>
      </w:r>
    </w:p>
    <w:p w:rsidR="006E012F" w:rsidRDefault="001A01FA">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2023</w:t>
      </w:r>
      <w:r>
        <w:rPr>
          <w:rFonts w:ascii="仿宋" w:eastAsia="仿宋" w:hAnsi="仿宋" w:cs="仿宋"/>
        </w:rPr>
        <w:t>年度本年支出决算合计</w:t>
      </w:r>
      <w:r>
        <w:rPr>
          <w:rFonts w:ascii="仿宋" w:eastAsia="仿宋" w:hAnsi="仿宋" w:cs="仿宋"/>
        </w:rPr>
        <w:t>28,889.88</w:t>
      </w:r>
      <w:r>
        <w:rPr>
          <w:rFonts w:ascii="仿宋" w:eastAsia="仿宋" w:hAnsi="仿宋" w:cs="仿宋"/>
        </w:rPr>
        <w:t>万元，其中：基本支出</w:t>
      </w:r>
      <w:r>
        <w:rPr>
          <w:rFonts w:ascii="仿宋" w:eastAsia="仿宋" w:hAnsi="仿宋" w:cs="仿宋"/>
        </w:rPr>
        <w:t>2,089.06</w:t>
      </w:r>
      <w:r>
        <w:rPr>
          <w:rFonts w:ascii="仿宋" w:eastAsia="仿宋" w:hAnsi="仿宋" w:cs="仿宋"/>
        </w:rPr>
        <w:t>万元，占</w:t>
      </w:r>
      <w:r>
        <w:rPr>
          <w:rFonts w:ascii="仿宋" w:eastAsia="仿宋" w:hAnsi="仿宋" w:cs="仿宋"/>
        </w:rPr>
        <w:t>7.23%</w:t>
      </w:r>
      <w:r>
        <w:rPr>
          <w:rFonts w:ascii="仿宋" w:eastAsia="仿宋" w:hAnsi="仿宋" w:cs="仿宋"/>
        </w:rPr>
        <w:t>；项目支出</w:t>
      </w:r>
      <w:r>
        <w:rPr>
          <w:rFonts w:ascii="仿宋" w:eastAsia="仿宋" w:hAnsi="仿宋" w:cs="仿宋"/>
        </w:rPr>
        <w:t>24,645.37</w:t>
      </w:r>
      <w:r>
        <w:rPr>
          <w:rFonts w:ascii="仿宋" w:eastAsia="仿宋" w:hAnsi="仿宋" w:cs="仿宋"/>
        </w:rPr>
        <w:t>万元，占</w:t>
      </w:r>
      <w:r>
        <w:rPr>
          <w:rFonts w:ascii="仿宋" w:eastAsia="仿宋" w:hAnsi="仿宋" w:cs="仿宋"/>
        </w:rPr>
        <w:t>85.31%</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2,155.45</w:t>
      </w:r>
      <w:r>
        <w:rPr>
          <w:rFonts w:ascii="仿宋" w:eastAsia="仿宋" w:hAnsi="仿宋" w:cs="仿宋"/>
        </w:rPr>
        <w:t>万元，占</w:t>
      </w:r>
      <w:r>
        <w:rPr>
          <w:rFonts w:ascii="仿宋" w:eastAsia="仿宋" w:hAnsi="仿宋" w:cs="仿宋"/>
        </w:rPr>
        <w:t>7.46%</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6E012F" w:rsidRDefault="001A01FA">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23,498.54</w:t>
      </w:r>
      <w:r>
        <w:rPr>
          <w:rFonts w:ascii="仿宋" w:eastAsia="仿宋" w:hAnsi="仿宋" w:cs="仿宋"/>
        </w:rPr>
        <w:t>万元。与上年相比，收、支总计各增加</w:t>
      </w:r>
      <w:r>
        <w:rPr>
          <w:rFonts w:ascii="仿宋" w:eastAsia="仿宋" w:hAnsi="仿宋" w:cs="仿宋"/>
        </w:rPr>
        <w:t>13,172.44</w:t>
      </w:r>
      <w:r>
        <w:rPr>
          <w:rFonts w:ascii="仿宋" w:eastAsia="仿宋" w:hAnsi="仿宋" w:cs="仿宋"/>
        </w:rPr>
        <w:t>万元，增长</w:t>
      </w:r>
      <w:r>
        <w:rPr>
          <w:rFonts w:ascii="仿宋" w:eastAsia="仿宋" w:hAnsi="仿宋" w:cs="仿宋"/>
        </w:rPr>
        <w:t>127.56%</w:t>
      </w:r>
      <w:r>
        <w:rPr>
          <w:rFonts w:ascii="仿宋" w:eastAsia="仿宋" w:hAnsi="仿宋" w:cs="仿宋"/>
        </w:rPr>
        <w:t>，变动原因：基本支出收、支较上年增加</w:t>
      </w:r>
      <w:r>
        <w:rPr>
          <w:rFonts w:ascii="仿宋" w:eastAsia="仿宋" w:hAnsi="仿宋" w:cs="仿宋"/>
        </w:rPr>
        <w:t>1267.81</w:t>
      </w:r>
      <w:r>
        <w:rPr>
          <w:rFonts w:ascii="仿宋" w:eastAsia="仿宋" w:hAnsi="仿宋" w:cs="仿宋"/>
        </w:rPr>
        <w:t>万元，住房保障专项资金收、支较上年减少</w:t>
      </w:r>
      <w:r>
        <w:rPr>
          <w:rFonts w:ascii="仿宋" w:eastAsia="仿宋" w:hAnsi="仿宋" w:cs="仿宋"/>
        </w:rPr>
        <w:t>505</w:t>
      </w:r>
      <w:r>
        <w:rPr>
          <w:rFonts w:ascii="仿宋" w:eastAsia="仿宋" w:hAnsi="仿宋" w:cs="仿宋"/>
        </w:rPr>
        <w:t>万元，龙城英才购房补贴收、支较上年减少</w:t>
      </w:r>
      <w:r>
        <w:rPr>
          <w:rFonts w:ascii="仿宋" w:eastAsia="仿宋" w:hAnsi="仿宋" w:cs="仿宋"/>
        </w:rPr>
        <w:t>450</w:t>
      </w:r>
      <w:r>
        <w:rPr>
          <w:rFonts w:ascii="仿宋" w:eastAsia="仿宋" w:hAnsi="仿宋" w:cs="仿宋"/>
        </w:rPr>
        <w:t>万元，双资助购房、租房补贴及人才公寓工作经费项目收、支较上年增加</w:t>
      </w:r>
      <w:r>
        <w:rPr>
          <w:rFonts w:ascii="仿宋" w:eastAsia="仿宋" w:hAnsi="仿宋" w:cs="仿宋"/>
        </w:rPr>
        <w:t>6233.08</w:t>
      </w:r>
      <w:r>
        <w:rPr>
          <w:rFonts w:ascii="仿宋" w:eastAsia="仿宋" w:hAnsi="仿宋" w:cs="仿宋"/>
        </w:rPr>
        <w:t>万元，房屋拆迁费用项目收、支较上年增加</w:t>
      </w:r>
      <w:r>
        <w:rPr>
          <w:rFonts w:ascii="仿宋" w:eastAsia="仿宋" w:hAnsi="仿宋" w:cs="仿宋"/>
        </w:rPr>
        <w:t>6267.19</w:t>
      </w:r>
      <w:r>
        <w:rPr>
          <w:rFonts w:ascii="仿宋" w:eastAsia="仿宋" w:hAnsi="仿宋" w:cs="仿宋"/>
        </w:rPr>
        <w:t>万元，老小区改造及加梯项目收、支较上年增加</w:t>
      </w:r>
      <w:r>
        <w:rPr>
          <w:rFonts w:ascii="仿宋" w:eastAsia="仿宋" w:hAnsi="仿宋" w:cs="仿宋"/>
        </w:rPr>
        <w:t>264.38</w:t>
      </w:r>
      <w:r>
        <w:rPr>
          <w:rFonts w:ascii="仿宋" w:eastAsia="仿宋" w:hAnsi="仿宋" w:cs="仿宋"/>
        </w:rPr>
        <w:t>万元，其他经费项目收、</w:t>
      </w:r>
      <w:r>
        <w:rPr>
          <w:rFonts w:ascii="仿宋" w:eastAsia="仿宋" w:hAnsi="仿宋" w:cs="仿宋"/>
        </w:rPr>
        <w:lastRenderedPageBreak/>
        <w:t>支较上年增加</w:t>
      </w:r>
      <w:r>
        <w:rPr>
          <w:rFonts w:ascii="仿宋" w:eastAsia="仿宋" w:hAnsi="仿宋" w:cs="仿宋"/>
        </w:rPr>
        <w:t>94.98</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23,498.54</w:t>
      </w:r>
      <w:r>
        <w:rPr>
          <w:rFonts w:ascii="仿宋" w:eastAsia="仿宋" w:hAnsi="仿宋" w:cs="仿宋"/>
        </w:rPr>
        <w:t>万元，占本年支出合计的</w:t>
      </w:r>
      <w:r>
        <w:rPr>
          <w:rFonts w:ascii="仿宋" w:eastAsia="仿宋" w:hAnsi="仿宋" w:cs="仿宋"/>
        </w:rPr>
        <w:t>81.34%</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5,452.58</w:t>
      </w:r>
      <w:r>
        <w:rPr>
          <w:rFonts w:ascii="仿宋" w:eastAsia="仿宋" w:hAnsi="仿宋" w:cs="仿宋"/>
        </w:rPr>
        <w:t>万元相比，完成年初预算的</w:t>
      </w:r>
      <w:r>
        <w:rPr>
          <w:rFonts w:ascii="仿宋" w:eastAsia="仿宋" w:hAnsi="仿宋" w:cs="仿宋"/>
        </w:rPr>
        <w:t>430.96%</w:t>
      </w:r>
      <w:r>
        <w:rPr>
          <w:rFonts w:ascii="仿宋" w:eastAsia="仿宋" w:hAnsi="仿宋" w:cs="仿宋"/>
        </w:rPr>
        <w:t>。其中：</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（一）科学技术支出（类）</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技术研究与开发（款）其他技术研究与开发支出（项）。年初预算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10,5</w:t>
      </w:r>
      <w:r>
        <w:rPr>
          <w:rFonts w:ascii="仿宋" w:eastAsia="仿宋" w:hAnsi="仿宋" w:cs="仿宋"/>
        </w:rPr>
        <w:t>48.9</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万元，无法计算完成比率）决算数与年初预算数的差异原因：该项为创新发展专项资金（青年双资助购房、租房补贴），年初预算由我市创新办编制，我中心属调整预算。</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其他科学技术支出（款）其他科学技术支出（项）。年初预算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2,200</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万元，无法计算完成比率）决算数与年初预算数的差异原因：该项为人才专项资金（龙城英才购房补贴），年初预算由我市组织部编制，我中心属调整预算。</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（二）社会保障和就业支出（类）</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行政事业单位养老支出（款）事业单位离退休（项）。年</w:t>
      </w:r>
      <w:r>
        <w:rPr>
          <w:rFonts w:ascii="仿宋" w:eastAsia="仿宋" w:hAnsi="仿宋" w:cs="仿宋"/>
        </w:rPr>
        <w:lastRenderedPageBreak/>
        <w:t>初</w:t>
      </w:r>
      <w:r>
        <w:rPr>
          <w:rFonts w:ascii="仿宋" w:eastAsia="仿宋" w:hAnsi="仿宋" w:cs="仿宋"/>
        </w:rPr>
        <w:t>预算</w:t>
      </w:r>
      <w:r>
        <w:rPr>
          <w:rFonts w:ascii="仿宋" w:eastAsia="仿宋" w:hAnsi="仿宋" w:cs="仿宋"/>
        </w:rPr>
        <w:t>0.22</w:t>
      </w:r>
      <w:r>
        <w:rPr>
          <w:rFonts w:ascii="仿宋" w:eastAsia="仿宋" w:hAnsi="仿宋" w:cs="仿宋"/>
        </w:rPr>
        <w:t>万元，支出决算</w:t>
      </w:r>
      <w:r>
        <w:rPr>
          <w:rFonts w:ascii="仿宋" w:eastAsia="仿宋" w:hAnsi="仿宋" w:cs="仿宋"/>
        </w:rPr>
        <w:t>0.22</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（三）卫生健康支出（类）</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行政事业单位医疗（款）公务员医疗补助（项）。年初预算</w:t>
      </w:r>
      <w:r>
        <w:rPr>
          <w:rFonts w:ascii="仿宋" w:eastAsia="仿宋" w:hAnsi="仿宋" w:cs="仿宋"/>
        </w:rPr>
        <w:t>22.44</w:t>
      </w:r>
      <w:r>
        <w:rPr>
          <w:rFonts w:ascii="仿宋" w:eastAsia="仿宋" w:hAnsi="仿宋" w:cs="仿宋"/>
        </w:rPr>
        <w:t>万元，支出决算</w:t>
      </w:r>
      <w:r>
        <w:rPr>
          <w:rFonts w:ascii="仿宋" w:eastAsia="仿宋" w:hAnsi="仿宋" w:cs="仿宋"/>
        </w:rPr>
        <w:t>22.44</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（四）城乡社区支出（类）</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城乡社区公共设施（款）其他城乡社区公共设施支出（项）。年初预算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6,267.19</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万元，无法计算完成比率）决算数与年初预算数的差异原因：该项为原市物管中心和平北路</w:t>
      </w:r>
      <w:r>
        <w:rPr>
          <w:rFonts w:ascii="仿宋" w:eastAsia="仿宋" w:hAnsi="仿宋" w:cs="仿宋"/>
        </w:rPr>
        <w:t>120</w:t>
      </w:r>
      <w:r>
        <w:rPr>
          <w:rFonts w:ascii="仿宋" w:eastAsia="仿宋" w:hAnsi="仿宋" w:cs="仿宋"/>
        </w:rPr>
        <w:t>号房屋征收补偿款，现需上交</w:t>
      </w:r>
      <w:r>
        <w:rPr>
          <w:rFonts w:ascii="仿宋" w:eastAsia="仿宋" w:hAnsi="仿宋" w:cs="仿宋"/>
        </w:rPr>
        <w:t>财政（调整预算数），无年初预算数。</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（五）住房保障支出（类）</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保障性安居工程支出（款）公共租赁住房（项）。年初预算</w:t>
      </w:r>
      <w:r>
        <w:rPr>
          <w:rFonts w:ascii="仿宋" w:eastAsia="仿宋" w:hAnsi="仿宋" w:cs="仿宋"/>
        </w:rPr>
        <w:t>0</w:t>
      </w:r>
      <w:r>
        <w:rPr>
          <w:rFonts w:ascii="仿宋" w:eastAsia="仿宋" w:hAnsi="仿宋" w:cs="仿宋"/>
        </w:rPr>
        <w:t>万元，支出决算</w:t>
      </w:r>
      <w:r>
        <w:rPr>
          <w:rFonts w:ascii="仿宋" w:eastAsia="仿宋" w:hAnsi="仿宋" w:cs="仿宋"/>
        </w:rPr>
        <w:t>588</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万元，无法计算完成比率）决算数与年初预算数的差异原因：该项为中央拨入专项资金（调整预算数），无年初预算数。</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保障性安居工程支出（款）保障性住房租金补贴（项）。年初预算</w:t>
      </w:r>
      <w:r>
        <w:rPr>
          <w:rFonts w:ascii="仿宋" w:eastAsia="仿宋" w:hAnsi="仿宋" w:cs="仿宋"/>
        </w:rPr>
        <w:t>0</w:t>
      </w:r>
      <w:r>
        <w:rPr>
          <w:rFonts w:ascii="仿宋" w:eastAsia="仿宋" w:hAnsi="仿宋" w:cs="仿宋"/>
        </w:rPr>
        <w:t>万元，支出决算</w:t>
      </w:r>
      <w:r>
        <w:rPr>
          <w:rFonts w:ascii="仿宋" w:eastAsia="仿宋" w:hAnsi="仿宋" w:cs="仿宋"/>
        </w:rPr>
        <w:t>637.5</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万元，无法计算完成比率）决算数与年初预算数的差异原因：该项为中央拨入专项资金（调整预算数），无年初预算数。</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3.</w:t>
      </w:r>
      <w:r>
        <w:rPr>
          <w:rFonts w:ascii="仿宋" w:eastAsia="仿宋" w:hAnsi="仿宋" w:cs="仿宋"/>
        </w:rPr>
        <w:t>住房改革支出（款）住</w:t>
      </w:r>
      <w:r>
        <w:rPr>
          <w:rFonts w:ascii="仿宋" w:eastAsia="仿宋" w:hAnsi="仿宋" w:cs="仿宋"/>
        </w:rPr>
        <w:t>房公积金（项）。年初预算</w:t>
      </w:r>
      <w:r>
        <w:rPr>
          <w:rFonts w:ascii="仿宋" w:eastAsia="仿宋" w:hAnsi="仿宋" w:cs="仿宋"/>
        </w:rPr>
        <w:t>153.37</w:t>
      </w:r>
      <w:r>
        <w:rPr>
          <w:rFonts w:ascii="仿宋" w:eastAsia="仿宋" w:hAnsi="仿宋" w:cs="仿宋"/>
        </w:rPr>
        <w:t>万元，支出决算</w:t>
      </w:r>
      <w:r>
        <w:rPr>
          <w:rFonts w:ascii="仿宋" w:eastAsia="仿宋" w:hAnsi="仿宋" w:cs="仿宋"/>
        </w:rPr>
        <w:t>153.37</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4.</w:t>
      </w:r>
      <w:r>
        <w:rPr>
          <w:rFonts w:ascii="仿宋" w:eastAsia="仿宋" w:hAnsi="仿宋" w:cs="仿宋"/>
        </w:rPr>
        <w:t>住房改革支出（款）提租补贴（项）。年初预算</w:t>
      </w:r>
      <w:r>
        <w:rPr>
          <w:rFonts w:ascii="仿宋" w:eastAsia="仿宋" w:hAnsi="仿宋" w:cs="仿宋"/>
        </w:rPr>
        <w:t>118</w:t>
      </w:r>
      <w:r>
        <w:rPr>
          <w:rFonts w:ascii="仿宋" w:eastAsia="仿宋" w:hAnsi="仿宋" w:cs="仿宋"/>
        </w:rPr>
        <w:t>万元，支出决算</w:t>
      </w:r>
      <w:r>
        <w:rPr>
          <w:rFonts w:ascii="仿宋" w:eastAsia="仿宋" w:hAnsi="仿宋" w:cs="仿宋"/>
        </w:rPr>
        <w:t>118</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5.</w:t>
      </w:r>
      <w:r>
        <w:rPr>
          <w:rFonts w:ascii="仿宋" w:eastAsia="仿宋" w:hAnsi="仿宋" w:cs="仿宋"/>
        </w:rPr>
        <w:t>住房改革支出（款）购房补贴（项）。年初预算</w:t>
      </w:r>
      <w:r>
        <w:rPr>
          <w:rFonts w:ascii="仿宋" w:eastAsia="仿宋" w:hAnsi="仿宋" w:cs="仿宋"/>
        </w:rPr>
        <w:t>224.28</w:t>
      </w:r>
      <w:r>
        <w:rPr>
          <w:rFonts w:ascii="仿宋" w:eastAsia="仿宋" w:hAnsi="仿宋" w:cs="仿宋"/>
        </w:rPr>
        <w:t>万元，支出决算</w:t>
      </w:r>
      <w:r>
        <w:rPr>
          <w:rFonts w:ascii="仿宋" w:eastAsia="仿宋" w:hAnsi="仿宋" w:cs="仿宋"/>
        </w:rPr>
        <w:t>224.28</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6.</w:t>
      </w:r>
      <w:r>
        <w:rPr>
          <w:rFonts w:ascii="仿宋" w:eastAsia="仿宋" w:hAnsi="仿宋" w:cs="仿宋"/>
        </w:rPr>
        <w:t>城乡社区住宅（款）其他城乡社区住宅支出（项）。年初预算</w:t>
      </w:r>
      <w:r>
        <w:rPr>
          <w:rFonts w:ascii="仿宋" w:eastAsia="仿宋" w:hAnsi="仿宋" w:cs="仿宋"/>
        </w:rPr>
        <w:t>4,934.27</w:t>
      </w:r>
      <w:r>
        <w:rPr>
          <w:rFonts w:ascii="仿宋" w:eastAsia="仿宋" w:hAnsi="仿宋" w:cs="仿宋"/>
        </w:rPr>
        <w:t>万元，支出决算</w:t>
      </w:r>
      <w:r>
        <w:rPr>
          <w:rFonts w:ascii="仿宋" w:eastAsia="仿宋" w:hAnsi="仿宋" w:cs="仿宋"/>
        </w:rPr>
        <w:t>2,738.64</w:t>
      </w:r>
      <w:r>
        <w:rPr>
          <w:rFonts w:ascii="仿宋" w:eastAsia="仿宋" w:hAnsi="仿宋" w:cs="仿宋"/>
        </w:rPr>
        <w:t>万元，完成年初预算的</w:t>
      </w:r>
      <w:r>
        <w:rPr>
          <w:rFonts w:ascii="仿宋" w:eastAsia="仿宋" w:hAnsi="仿宋" w:cs="仿宋"/>
        </w:rPr>
        <w:t>5</w:t>
      </w:r>
      <w:r>
        <w:rPr>
          <w:rFonts w:ascii="仿宋" w:eastAsia="仿宋" w:hAnsi="仿宋" w:cs="仿宋"/>
        </w:rPr>
        <w:t>5.5%</w:t>
      </w:r>
      <w:r>
        <w:rPr>
          <w:rFonts w:ascii="仿宋" w:eastAsia="仿宋" w:hAnsi="仿宋" w:cs="仿宋"/>
        </w:rPr>
        <w:t>。决算数与年初预算数的差异原因：（</w:t>
      </w:r>
      <w:r>
        <w:rPr>
          <w:rFonts w:ascii="仿宋" w:eastAsia="仿宋" w:hAnsi="仿宋" w:cs="仿宋"/>
        </w:rPr>
        <w:t>1</w:t>
      </w:r>
      <w:r>
        <w:rPr>
          <w:rFonts w:ascii="仿宋" w:eastAsia="仿宋" w:hAnsi="仿宋" w:cs="仿宋"/>
        </w:rPr>
        <w:t>）</w:t>
      </w:r>
      <w:r>
        <w:rPr>
          <w:rFonts w:ascii="仿宋" w:eastAsia="仿宋" w:hAnsi="仿宋" w:cs="仿宋"/>
        </w:rPr>
        <w:t>2023</w:t>
      </w:r>
      <w:r>
        <w:rPr>
          <w:rFonts w:ascii="仿宋" w:eastAsia="仿宋" w:hAnsi="仿宋" w:cs="仿宋"/>
        </w:rPr>
        <w:t>年度追加人员经费预算</w:t>
      </w:r>
      <w:r>
        <w:rPr>
          <w:rFonts w:ascii="仿宋" w:eastAsia="仿宋" w:hAnsi="仿宋" w:cs="仿宋"/>
        </w:rPr>
        <w:t>434.44</w:t>
      </w:r>
      <w:r>
        <w:rPr>
          <w:rFonts w:ascii="仿宋" w:eastAsia="仿宋" w:hAnsi="仿宋" w:cs="仿宋"/>
        </w:rPr>
        <w:t>万元，公用经费预算</w:t>
      </w:r>
      <w:r>
        <w:rPr>
          <w:rFonts w:ascii="仿宋" w:eastAsia="仿宋" w:hAnsi="仿宋" w:cs="仿宋"/>
        </w:rPr>
        <w:t>26.41</w:t>
      </w:r>
      <w:r>
        <w:rPr>
          <w:rFonts w:ascii="仿宋" w:eastAsia="仿宋" w:hAnsi="仿宋" w:cs="仿宋"/>
        </w:rPr>
        <w:t>万元；（</w:t>
      </w:r>
      <w:r>
        <w:rPr>
          <w:rFonts w:ascii="仿宋" w:eastAsia="仿宋" w:hAnsi="仿宋" w:cs="仿宋"/>
        </w:rPr>
        <w:t>2</w:t>
      </w:r>
      <w:r>
        <w:rPr>
          <w:rFonts w:ascii="仿宋" w:eastAsia="仿宋" w:hAnsi="仿宋" w:cs="仿宋"/>
        </w:rPr>
        <w:t>）减少项目经费预算</w:t>
      </w:r>
      <w:r>
        <w:rPr>
          <w:rFonts w:ascii="仿宋" w:eastAsia="仿宋" w:hAnsi="仿宋" w:cs="仿宋"/>
        </w:rPr>
        <w:t>2656.48</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2,089.06</w:t>
      </w:r>
      <w:r>
        <w:rPr>
          <w:rFonts w:ascii="仿宋" w:eastAsia="仿宋" w:hAnsi="仿宋" w:cs="仿宋"/>
        </w:rPr>
        <w:t>万元，其中：</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1,970.59</w:t>
      </w:r>
      <w:r>
        <w:rPr>
          <w:rFonts w:ascii="楷体" w:eastAsia="楷体" w:hAnsi="楷体" w:cs="楷体"/>
        </w:rPr>
        <w:t>万元。</w:t>
      </w:r>
      <w:r>
        <w:rPr>
          <w:rFonts w:ascii="仿宋" w:eastAsia="仿宋" w:hAnsi="仿宋" w:cs="仿宋"/>
        </w:rPr>
        <w:t>主要包括：基本工资、津贴补贴、奖金、绩效工资、机关事业单位基本养老保险缴费、职业年金缴费、职工基本医疗保险缴费、住房公积金、其他工资福利支出、退休费、其他对个人和家庭的补助。</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118.47</w:t>
      </w:r>
      <w:r>
        <w:rPr>
          <w:rFonts w:ascii="楷体" w:eastAsia="楷体" w:hAnsi="楷体" w:cs="楷体"/>
        </w:rPr>
        <w:t>万元。</w:t>
      </w:r>
      <w:r>
        <w:rPr>
          <w:rFonts w:ascii="仿宋" w:eastAsia="仿宋" w:hAnsi="仿宋" w:cs="仿宋"/>
        </w:rPr>
        <w:t>主要包括</w:t>
      </w:r>
      <w:r>
        <w:rPr>
          <w:rFonts w:ascii="仿宋" w:eastAsia="仿宋" w:hAnsi="仿宋" w:cs="仿宋"/>
        </w:rPr>
        <w:t>：办公费、水费、电费、邮电费、差旅费、会议费、培训费、公务接待费、委托</w:t>
      </w:r>
      <w:r>
        <w:rPr>
          <w:rFonts w:ascii="仿宋" w:eastAsia="仿宋" w:hAnsi="仿宋" w:cs="仿宋"/>
        </w:rPr>
        <w:lastRenderedPageBreak/>
        <w:t>业务费、工会经费。</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年度一般公共预算财政拨款支出决算</w:t>
      </w:r>
      <w:r>
        <w:rPr>
          <w:rFonts w:ascii="仿宋" w:eastAsia="仿宋" w:hAnsi="仿宋" w:cs="仿宋"/>
        </w:rPr>
        <w:t>23,498.54</w:t>
      </w:r>
      <w:r>
        <w:rPr>
          <w:rFonts w:ascii="仿宋" w:eastAsia="仿宋" w:hAnsi="仿宋" w:cs="仿宋"/>
        </w:rPr>
        <w:t>万元。与上年相比，增加</w:t>
      </w:r>
      <w:r>
        <w:rPr>
          <w:rFonts w:ascii="仿宋" w:eastAsia="仿宋" w:hAnsi="仿宋" w:cs="仿宋"/>
        </w:rPr>
        <w:t>13,172.44</w:t>
      </w:r>
      <w:r>
        <w:rPr>
          <w:rFonts w:ascii="仿宋" w:eastAsia="仿宋" w:hAnsi="仿宋" w:cs="仿宋"/>
        </w:rPr>
        <w:t>万元，增长</w:t>
      </w:r>
      <w:r>
        <w:rPr>
          <w:rFonts w:ascii="仿宋" w:eastAsia="仿宋" w:hAnsi="仿宋" w:cs="仿宋"/>
        </w:rPr>
        <w:t>127.56%</w:t>
      </w:r>
      <w:r>
        <w:rPr>
          <w:rFonts w:ascii="仿宋" w:eastAsia="仿宋" w:hAnsi="仿宋" w:cs="仿宋"/>
        </w:rPr>
        <w:t>，变动原因：基本支出较上年增加</w:t>
      </w:r>
      <w:r>
        <w:rPr>
          <w:rFonts w:ascii="仿宋" w:eastAsia="仿宋" w:hAnsi="仿宋" w:cs="仿宋"/>
        </w:rPr>
        <w:t>1267.81</w:t>
      </w:r>
      <w:r>
        <w:rPr>
          <w:rFonts w:ascii="仿宋" w:eastAsia="仿宋" w:hAnsi="仿宋" w:cs="仿宋"/>
        </w:rPr>
        <w:t>万元，住房保障专项资金支出较上年减少</w:t>
      </w:r>
      <w:r>
        <w:rPr>
          <w:rFonts w:ascii="仿宋" w:eastAsia="仿宋" w:hAnsi="仿宋" w:cs="仿宋"/>
        </w:rPr>
        <w:t>505</w:t>
      </w:r>
      <w:r>
        <w:rPr>
          <w:rFonts w:ascii="仿宋" w:eastAsia="仿宋" w:hAnsi="仿宋" w:cs="仿宋"/>
        </w:rPr>
        <w:t>万元，龙城英才购房补贴支出较上年减少</w:t>
      </w:r>
      <w:r>
        <w:rPr>
          <w:rFonts w:ascii="仿宋" w:eastAsia="仿宋" w:hAnsi="仿宋" w:cs="仿宋"/>
        </w:rPr>
        <w:t>450</w:t>
      </w:r>
      <w:r>
        <w:rPr>
          <w:rFonts w:ascii="仿宋" w:eastAsia="仿宋" w:hAnsi="仿宋" w:cs="仿宋"/>
        </w:rPr>
        <w:t>万元，双资助购房、租房补贴及人才公寓工作经费项目支出较上年增加</w:t>
      </w:r>
      <w:r>
        <w:rPr>
          <w:rFonts w:ascii="仿宋" w:eastAsia="仿宋" w:hAnsi="仿宋" w:cs="仿宋"/>
        </w:rPr>
        <w:t>6233.08</w:t>
      </w:r>
      <w:r>
        <w:rPr>
          <w:rFonts w:ascii="仿宋" w:eastAsia="仿宋" w:hAnsi="仿宋" w:cs="仿宋"/>
        </w:rPr>
        <w:t>万元，房屋拆迁费用项目支出较上年增加</w:t>
      </w:r>
      <w:r>
        <w:rPr>
          <w:rFonts w:ascii="仿宋" w:eastAsia="仿宋" w:hAnsi="仿宋" w:cs="仿宋"/>
        </w:rPr>
        <w:t>6267.19</w:t>
      </w:r>
      <w:r>
        <w:rPr>
          <w:rFonts w:ascii="仿宋" w:eastAsia="仿宋" w:hAnsi="仿宋" w:cs="仿宋"/>
        </w:rPr>
        <w:t>万元，老小区改造及加梯项目支出较上年增加</w:t>
      </w:r>
      <w:r>
        <w:rPr>
          <w:rFonts w:ascii="仿宋" w:eastAsia="仿宋" w:hAnsi="仿宋" w:cs="仿宋"/>
        </w:rPr>
        <w:t>264.38</w:t>
      </w:r>
      <w:r>
        <w:rPr>
          <w:rFonts w:ascii="仿宋" w:eastAsia="仿宋" w:hAnsi="仿宋" w:cs="仿宋"/>
        </w:rPr>
        <w:t>万元，其他经费项目支出较上年增加</w:t>
      </w:r>
      <w:r>
        <w:rPr>
          <w:rFonts w:ascii="仿宋" w:eastAsia="仿宋" w:hAnsi="仿宋" w:cs="仿宋"/>
        </w:rPr>
        <w:t>94.98</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w:t>
      </w:r>
      <w:r>
        <w:rPr>
          <w:rFonts w:ascii="仿宋" w:eastAsia="仿宋" w:hAnsi="仿宋" w:cs="仿宋"/>
          <w:b/>
        </w:rPr>
        <w:t>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2,089.06</w:t>
      </w:r>
      <w:r>
        <w:rPr>
          <w:rFonts w:ascii="仿宋" w:eastAsia="仿宋" w:hAnsi="仿宋" w:cs="仿宋"/>
        </w:rPr>
        <w:t>万元，其中：</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1,970.59</w:t>
      </w:r>
      <w:r>
        <w:rPr>
          <w:rFonts w:ascii="楷体" w:eastAsia="楷体" w:hAnsi="楷体" w:cs="楷体"/>
        </w:rPr>
        <w:t>万元。</w:t>
      </w:r>
      <w:r>
        <w:rPr>
          <w:rFonts w:ascii="仿宋" w:eastAsia="仿宋" w:hAnsi="仿宋" w:cs="仿宋"/>
        </w:rPr>
        <w:t>主要包括：基本工资、津贴补贴、奖金、绩效工资、机关事业单位基本养老保险缴费、职业年金缴费、职工基本医疗保险缴费、住房公积金、其他工资福利支出、退休费、其他对个人和家庭的补助。</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118.47</w:t>
      </w:r>
      <w:r>
        <w:rPr>
          <w:rFonts w:ascii="楷体" w:eastAsia="楷体" w:hAnsi="楷体" w:cs="楷体"/>
        </w:rPr>
        <w:t>万元。</w:t>
      </w:r>
      <w:r>
        <w:rPr>
          <w:rFonts w:ascii="仿宋" w:eastAsia="仿宋" w:hAnsi="仿宋" w:cs="仿宋"/>
        </w:rPr>
        <w:t>主要包括：办公费、水费、电费、邮电费、差旅费、会议费、培训费、公务接待费、委托业务费、工会经费。</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w:t>
      </w:r>
      <w:r>
        <w:rPr>
          <w:rFonts w:ascii="仿宋" w:eastAsia="仿宋" w:hAnsi="仿宋" w:cs="仿宋"/>
          <w:b/>
        </w:rPr>
        <w:t>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9.39</w:t>
      </w:r>
      <w:r>
        <w:rPr>
          <w:rFonts w:ascii="仿宋" w:eastAsia="仿宋" w:hAnsi="仿宋" w:cs="仿宋"/>
        </w:rPr>
        <w:t>万元（其中：一般公共预算支出</w:t>
      </w:r>
      <w:r>
        <w:rPr>
          <w:rFonts w:ascii="仿宋" w:eastAsia="仿宋" w:hAnsi="仿宋" w:cs="仿宋"/>
        </w:rPr>
        <w:t>9.39</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万元）。与上年相比，增加</w:t>
      </w:r>
      <w:r>
        <w:rPr>
          <w:rFonts w:ascii="仿宋" w:eastAsia="仿宋" w:hAnsi="仿宋" w:cs="仿宋"/>
        </w:rPr>
        <w:t>7.67</w:t>
      </w:r>
      <w:r>
        <w:rPr>
          <w:rFonts w:ascii="仿宋" w:eastAsia="仿宋" w:hAnsi="仿宋" w:cs="仿宋"/>
        </w:rPr>
        <w:t>万元，变动原因：两中心合并所致（</w:t>
      </w:r>
      <w:r>
        <w:rPr>
          <w:rFonts w:ascii="仿宋" w:eastAsia="仿宋" w:hAnsi="仿宋" w:cs="仿宋"/>
        </w:rPr>
        <w:t>2022</w:t>
      </w:r>
      <w:r>
        <w:rPr>
          <w:rFonts w:ascii="仿宋" w:eastAsia="仿宋" w:hAnsi="仿宋" w:cs="仿宋"/>
        </w:rPr>
        <w:t>年住保中心三公经费由经营收入保障，</w:t>
      </w:r>
      <w:r>
        <w:rPr>
          <w:rFonts w:ascii="仿宋" w:eastAsia="仿宋" w:hAnsi="仿宋" w:cs="仿宋"/>
        </w:rPr>
        <w:t>2023</w:t>
      </w:r>
      <w:r>
        <w:rPr>
          <w:rFonts w:ascii="仿宋" w:eastAsia="仿宋" w:hAnsi="仿宋" w:cs="仿宋"/>
        </w:rPr>
        <w:t>年均由财政拨款收入保障）。其中，因公出国（境）费支出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；公务用车购置及运行维护费支出</w:t>
      </w:r>
      <w:r>
        <w:rPr>
          <w:rFonts w:ascii="仿宋" w:eastAsia="仿宋" w:hAnsi="仿宋" w:cs="仿宋"/>
        </w:rPr>
        <w:t>8.31</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88.59%</w:t>
      </w:r>
      <w:r>
        <w:rPr>
          <w:rFonts w:ascii="仿宋" w:eastAsia="仿宋" w:hAnsi="仿宋" w:cs="仿宋"/>
        </w:rPr>
        <w:t>；公务接待费支出</w:t>
      </w:r>
      <w:r>
        <w:rPr>
          <w:rFonts w:ascii="仿宋" w:eastAsia="仿宋" w:hAnsi="仿宋" w:cs="仿宋"/>
        </w:rPr>
        <w:t>1.07</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11.41%</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11.05</w:t>
      </w:r>
      <w:r>
        <w:rPr>
          <w:rFonts w:ascii="仿宋" w:eastAsia="仿宋" w:hAnsi="仿宋" w:cs="仿宋"/>
        </w:rPr>
        <w:t>万元（其中：一般公共预算支出</w:t>
      </w:r>
      <w:r>
        <w:rPr>
          <w:rFonts w:ascii="仿宋" w:eastAsia="仿宋" w:hAnsi="仿宋" w:cs="仿宋"/>
        </w:rPr>
        <w:t>11.05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万元）。决算数与预算数的差异原因：公务接待费节约了</w:t>
      </w:r>
      <w:r>
        <w:rPr>
          <w:rFonts w:ascii="仿宋" w:eastAsia="仿宋" w:hAnsi="仿宋" w:cs="仿宋"/>
        </w:rPr>
        <w:t>0.58</w:t>
      </w:r>
      <w:r>
        <w:rPr>
          <w:rFonts w:ascii="仿宋" w:eastAsia="仿宋" w:hAnsi="仿宋" w:cs="仿宋"/>
        </w:rPr>
        <w:t>万元，公务用车运行维护费节约了</w:t>
      </w:r>
      <w:r>
        <w:rPr>
          <w:rFonts w:ascii="仿宋" w:eastAsia="仿宋" w:hAnsi="仿宋" w:cs="仿宋"/>
        </w:rPr>
        <w:t>1.09</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w:t>
      </w:r>
      <w:r>
        <w:rPr>
          <w:rFonts w:ascii="仿宋" w:eastAsia="仿宋" w:hAnsi="仿宋" w:cs="仿宋"/>
        </w:rPr>
        <w:t>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0</w:t>
      </w:r>
      <w:r>
        <w:rPr>
          <w:rFonts w:ascii="仿宋" w:eastAsia="仿宋" w:hAnsi="仿宋" w:cs="仿宋"/>
        </w:rPr>
        <w:t>人次。</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9.4</w:t>
      </w:r>
      <w:r>
        <w:rPr>
          <w:rFonts w:ascii="仿宋" w:eastAsia="仿宋" w:hAnsi="仿宋" w:cs="仿宋"/>
        </w:rPr>
        <w:t>万元（其中：</w:t>
      </w:r>
      <w:r>
        <w:rPr>
          <w:rFonts w:ascii="仿宋" w:eastAsia="仿宋" w:hAnsi="仿宋" w:cs="仿宋"/>
        </w:rPr>
        <w:lastRenderedPageBreak/>
        <w:t>一般公共预算支出</w:t>
      </w:r>
      <w:r>
        <w:rPr>
          <w:rFonts w:ascii="仿宋" w:eastAsia="仿宋" w:hAnsi="仿宋" w:cs="仿宋"/>
        </w:rPr>
        <w:t>9.4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8.31</w:t>
      </w:r>
      <w:r>
        <w:rPr>
          <w:rFonts w:ascii="仿宋" w:eastAsia="仿宋" w:hAnsi="仿宋" w:cs="仿宋"/>
        </w:rPr>
        <w:t>万元（其中：一般公共预算支出</w:t>
      </w:r>
      <w:r>
        <w:rPr>
          <w:rFonts w:ascii="仿宋" w:eastAsia="仿宋" w:hAnsi="仿宋" w:cs="仿宋"/>
        </w:rPr>
        <w:t>8.31</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88.4%</w:t>
      </w:r>
      <w:r>
        <w:rPr>
          <w:rFonts w:ascii="仿宋" w:eastAsia="仿宋" w:hAnsi="仿宋" w:cs="仿宋"/>
        </w:rPr>
        <w:t>，决算数与预算数的差异原因：今年公务用车运行费节约了</w:t>
      </w:r>
      <w:r>
        <w:rPr>
          <w:rFonts w:ascii="仿宋" w:eastAsia="仿宋" w:hAnsi="仿宋" w:cs="仿宋"/>
        </w:rPr>
        <w:t>1.09</w:t>
      </w:r>
      <w:r>
        <w:rPr>
          <w:rFonts w:ascii="仿宋" w:eastAsia="仿宋" w:hAnsi="仿宋" w:cs="仿宋"/>
        </w:rPr>
        <w:t>万元。其中：</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w:t>
      </w:r>
      <w:r>
        <w:rPr>
          <w:rFonts w:ascii="仿宋" w:eastAsia="仿宋" w:hAnsi="仿宋" w:cs="仿宋"/>
        </w:rPr>
        <w:t>费支出决算</w:t>
      </w:r>
      <w:r>
        <w:rPr>
          <w:rFonts w:ascii="仿宋" w:eastAsia="仿宋" w:hAnsi="仿宋" w:cs="仿宋"/>
        </w:rPr>
        <w:t>8.31</w:t>
      </w:r>
      <w:r>
        <w:rPr>
          <w:rFonts w:ascii="仿宋" w:eastAsia="仿宋" w:hAnsi="仿宋" w:cs="仿宋"/>
        </w:rPr>
        <w:t>万元。公务用车运行维护费主要用于按规定保留的公务用车的燃料费、维修费、过桥过路费、保险费、安全奖励费用等支出。截至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4</w:t>
      </w:r>
      <w:r>
        <w:rPr>
          <w:rFonts w:ascii="仿宋" w:eastAsia="仿宋" w:hAnsi="仿宋" w:cs="仿宋"/>
        </w:rPr>
        <w:t>辆。</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1.65</w:t>
      </w:r>
      <w:r>
        <w:rPr>
          <w:rFonts w:ascii="仿宋" w:eastAsia="仿宋" w:hAnsi="仿宋" w:cs="仿宋"/>
        </w:rPr>
        <w:t>万元（其中：一般公共预算支出</w:t>
      </w:r>
      <w:r>
        <w:rPr>
          <w:rFonts w:ascii="仿宋" w:eastAsia="仿宋" w:hAnsi="仿宋" w:cs="仿宋"/>
        </w:rPr>
        <w:t>1.65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1.07</w:t>
      </w:r>
      <w:r>
        <w:rPr>
          <w:rFonts w:ascii="仿宋" w:eastAsia="仿宋" w:hAnsi="仿宋" w:cs="仿宋"/>
        </w:rPr>
        <w:t>万元（其中：一般公共预算支出</w:t>
      </w:r>
      <w:r>
        <w:rPr>
          <w:rFonts w:ascii="仿宋" w:eastAsia="仿宋" w:hAnsi="仿宋" w:cs="仿宋"/>
        </w:rPr>
        <w:t>1.07</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64.85%</w:t>
      </w:r>
      <w:r>
        <w:rPr>
          <w:rFonts w:ascii="仿宋" w:eastAsia="仿宋" w:hAnsi="仿宋" w:cs="仿宋"/>
        </w:rPr>
        <w:t>，决算数与预算数的差异原因：今年公务接待费节</w:t>
      </w:r>
      <w:r>
        <w:rPr>
          <w:rFonts w:ascii="仿宋" w:eastAsia="仿宋" w:hAnsi="仿宋" w:cs="仿宋"/>
        </w:rPr>
        <w:t>约了</w:t>
      </w:r>
      <w:r>
        <w:rPr>
          <w:rFonts w:ascii="仿宋" w:eastAsia="仿宋" w:hAnsi="仿宋" w:cs="仿宋"/>
        </w:rPr>
        <w:t>0.58</w:t>
      </w:r>
      <w:r>
        <w:rPr>
          <w:rFonts w:ascii="仿宋" w:eastAsia="仿宋" w:hAnsi="仿宋" w:cs="仿宋"/>
        </w:rPr>
        <w:t>万元。其中：国内公务接待支出</w:t>
      </w:r>
      <w:r>
        <w:rPr>
          <w:rFonts w:ascii="仿宋" w:eastAsia="仿宋" w:hAnsi="仿宋" w:cs="仿宋"/>
        </w:rPr>
        <w:t>1.07</w:t>
      </w:r>
      <w:r>
        <w:rPr>
          <w:rFonts w:ascii="仿宋" w:eastAsia="仿宋" w:hAnsi="仿宋" w:cs="仿宋"/>
        </w:rPr>
        <w:t>万元，接待</w:t>
      </w:r>
      <w:r>
        <w:rPr>
          <w:rFonts w:ascii="仿宋" w:eastAsia="仿宋" w:hAnsi="仿宋" w:cs="仿宋"/>
        </w:rPr>
        <w:t>6</w:t>
      </w:r>
      <w:r>
        <w:rPr>
          <w:rFonts w:ascii="仿宋" w:eastAsia="仿宋" w:hAnsi="仿宋" w:cs="仿宋"/>
        </w:rPr>
        <w:t>批次，</w:t>
      </w:r>
      <w:r>
        <w:rPr>
          <w:rFonts w:ascii="仿宋" w:eastAsia="仿宋" w:hAnsi="仿宋" w:cs="仿宋"/>
        </w:rPr>
        <w:t>72</w:t>
      </w:r>
      <w:r>
        <w:rPr>
          <w:rFonts w:ascii="仿宋" w:eastAsia="仿宋" w:hAnsi="仿宋" w:cs="仿宋"/>
        </w:rPr>
        <w:t>人次，开支内容：接待省住建厅开展</w:t>
      </w:r>
      <w:r>
        <w:rPr>
          <w:rFonts w:ascii="仿宋" w:eastAsia="仿宋" w:hAnsi="仿宋" w:cs="仿宋"/>
        </w:rPr>
        <w:t>2022</w:t>
      </w:r>
      <w:r>
        <w:rPr>
          <w:rFonts w:ascii="仿宋" w:eastAsia="仿宋" w:hAnsi="仿宋" w:cs="仿宋"/>
        </w:rPr>
        <w:t>年城镇保障性安居工程中央财政补助资金重点绩效评价工作餐费；国（境）外公务接待支出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（三）财政拨款会议费支出决算情况说明。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4.95</w:t>
      </w:r>
      <w:r>
        <w:rPr>
          <w:rFonts w:ascii="仿宋" w:eastAsia="仿宋" w:hAnsi="仿宋" w:cs="仿宋"/>
        </w:rPr>
        <w:t>万元（其中：一般公共预算支出</w:t>
      </w:r>
      <w:r>
        <w:rPr>
          <w:rFonts w:ascii="仿宋" w:eastAsia="仿宋" w:hAnsi="仿宋" w:cs="仿宋"/>
        </w:rPr>
        <w:t>4.95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3.86</w:t>
      </w:r>
      <w:r>
        <w:rPr>
          <w:rFonts w:ascii="仿宋" w:eastAsia="仿宋" w:hAnsi="仿宋" w:cs="仿宋"/>
        </w:rPr>
        <w:t>万元（其中：一般公共预算支出</w:t>
      </w:r>
      <w:r>
        <w:rPr>
          <w:rFonts w:ascii="仿宋" w:eastAsia="仿宋" w:hAnsi="仿宋" w:cs="仿宋"/>
        </w:rPr>
        <w:t>3.86</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w:t>
      </w:r>
      <w:r>
        <w:rPr>
          <w:rFonts w:ascii="仿宋" w:eastAsia="仿宋" w:hAnsi="仿宋" w:cs="仿宋"/>
        </w:rPr>
        <w:t>，完成调整后预算的</w:t>
      </w:r>
      <w:r>
        <w:rPr>
          <w:rFonts w:ascii="仿宋" w:eastAsia="仿宋" w:hAnsi="仿宋" w:cs="仿宋"/>
        </w:rPr>
        <w:t>77.98%</w:t>
      </w:r>
      <w:r>
        <w:rPr>
          <w:rFonts w:ascii="仿宋" w:eastAsia="仿宋" w:hAnsi="仿宋" w:cs="仿宋"/>
        </w:rPr>
        <w:t>，决算数与预算数的差异原因：今年会议费节约了</w:t>
      </w:r>
      <w:r>
        <w:rPr>
          <w:rFonts w:ascii="仿宋" w:eastAsia="仿宋" w:hAnsi="仿宋" w:cs="仿宋"/>
        </w:rPr>
        <w:t>1.09</w:t>
      </w:r>
      <w:r>
        <w:rPr>
          <w:rFonts w:ascii="仿宋" w:eastAsia="仿宋" w:hAnsi="仿宋" w:cs="仿宋"/>
        </w:rPr>
        <w:t>万元。</w:t>
      </w:r>
      <w:r>
        <w:rPr>
          <w:rFonts w:ascii="仿宋" w:eastAsia="仿宋" w:hAnsi="仿宋" w:cs="仿宋"/>
        </w:rPr>
        <w:t>2023</w:t>
      </w:r>
      <w:r>
        <w:rPr>
          <w:rFonts w:ascii="仿宋" w:eastAsia="仿宋" w:hAnsi="仿宋" w:cs="仿宋"/>
        </w:rPr>
        <w:t>年度全年召开会议</w:t>
      </w:r>
      <w:r>
        <w:rPr>
          <w:rFonts w:ascii="仿宋" w:eastAsia="仿宋" w:hAnsi="仿宋" w:cs="仿宋"/>
        </w:rPr>
        <w:t>6</w:t>
      </w:r>
      <w:r>
        <w:rPr>
          <w:rFonts w:ascii="仿宋" w:eastAsia="仿宋" w:hAnsi="仿宋" w:cs="仿宋"/>
        </w:rPr>
        <w:t>个，参加会议</w:t>
      </w:r>
      <w:r>
        <w:rPr>
          <w:rFonts w:ascii="仿宋" w:eastAsia="仿宋" w:hAnsi="仿宋" w:cs="仿宋"/>
        </w:rPr>
        <w:t>98</w:t>
      </w:r>
      <w:r>
        <w:rPr>
          <w:rFonts w:ascii="仿宋" w:eastAsia="仿宋" w:hAnsi="仿宋" w:cs="仿宋"/>
        </w:rPr>
        <w:t>人次，开支内容：保障房小区</w:t>
      </w:r>
      <w:r>
        <w:rPr>
          <w:rFonts w:ascii="仿宋" w:eastAsia="仿宋" w:hAnsi="仿宋" w:cs="仿宋"/>
        </w:rPr>
        <w:t>2022</w:t>
      </w:r>
      <w:r>
        <w:rPr>
          <w:rFonts w:ascii="仿宋" w:eastAsia="仿宋" w:hAnsi="仿宋" w:cs="仿宋"/>
        </w:rPr>
        <w:t>年长效管理暨</w:t>
      </w:r>
      <w:r>
        <w:rPr>
          <w:rFonts w:ascii="仿宋" w:eastAsia="仿宋" w:hAnsi="仿宋" w:cs="仿宋"/>
        </w:rPr>
        <w:t>2023</w:t>
      </w:r>
      <w:r>
        <w:rPr>
          <w:rFonts w:ascii="仿宋" w:eastAsia="仿宋" w:hAnsi="仿宋" w:cs="仿宋"/>
        </w:rPr>
        <w:t>年长效管理工作部署会工作餐费</w:t>
      </w:r>
      <w:r>
        <w:rPr>
          <w:rFonts w:ascii="仿宋" w:eastAsia="仿宋" w:hAnsi="仿宋" w:cs="仿宋"/>
        </w:rPr>
        <w:t>0.21</w:t>
      </w:r>
      <w:r>
        <w:rPr>
          <w:rFonts w:ascii="仿宋" w:eastAsia="仿宋" w:hAnsi="仿宋" w:cs="仿宋"/>
        </w:rPr>
        <w:t>万元；保障性安居工程中央补助资金绩效评价实地核查工作座谈会租场费</w:t>
      </w:r>
      <w:r>
        <w:rPr>
          <w:rFonts w:ascii="仿宋" w:eastAsia="仿宋" w:hAnsi="仿宋" w:cs="仿宋"/>
        </w:rPr>
        <w:t>2.03</w:t>
      </w:r>
      <w:r>
        <w:rPr>
          <w:rFonts w:ascii="仿宋" w:eastAsia="仿宋" w:hAnsi="仿宋" w:cs="仿宋"/>
        </w:rPr>
        <w:t>万元、工作餐费</w:t>
      </w:r>
      <w:r>
        <w:rPr>
          <w:rFonts w:ascii="仿宋" w:eastAsia="仿宋" w:hAnsi="仿宋" w:cs="仿宋"/>
        </w:rPr>
        <w:t>0.92</w:t>
      </w:r>
      <w:r>
        <w:rPr>
          <w:rFonts w:ascii="仿宋" w:eastAsia="仿宋" w:hAnsi="仿宋" w:cs="仿宋"/>
        </w:rPr>
        <w:t>万元；</w:t>
      </w:r>
      <w:r>
        <w:rPr>
          <w:rFonts w:ascii="仿宋" w:eastAsia="仿宋" w:hAnsi="仿宋" w:cs="仿宋"/>
        </w:rPr>
        <w:t>2022</w:t>
      </w:r>
      <w:r>
        <w:rPr>
          <w:rFonts w:ascii="仿宋" w:eastAsia="仿宋" w:hAnsi="仿宋" w:cs="仿宋"/>
        </w:rPr>
        <w:t>年度保障房小区省级示范物业管理项目评价工作部署会工作餐费</w:t>
      </w:r>
      <w:r>
        <w:rPr>
          <w:rFonts w:ascii="仿宋" w:eastAsia="仿宋" w:hAnsi="仿宋" w:cs="仿宋"/>
        </w:rPr>
        <w:t>0.2</w:t>
      </w:r>
      <w:r>
        <w:rPr>
          <w:rFonts w:ascii="仿宋" w:eastAsia="仿宋" w:hAnsi="仿宋" w:cs="仿宋"/>
        </w:rPr>
        <w:t>万元；中国物业管理协会物业维修资金研究专业委员会</w:t>
      </w:r>
      <w:r>
        <w:rPr>
          <w:rFonts w:ascii="仿宋" w:eastAsia="仿宋" w:hAnsi="仿宋" w:cs="仿宋"/>
        </w:rPr>
        <w:t>2023</w:t>
      </w:r>
      <w:r>
        <w:rPr>
          <w:rFonts w:ascii="仿宋" w:eastAsia="仿宋" w:hAnsi="仿宋" w:cs="仿宋"/>
        </w:rPr>
        <w:t>年度全体委员大会餐费</w:t>
      </w:r>
      <w:r>
        <w:rPr>
          <w:rFonts w:ascii="仿宋" w:eastAsia="仿宋" w:hAnsi="仿宋" w:cs="仿宋"/>
        </w:rPr>
        <w:t>0.12</w:t>
      </w:r>
      <w:r>
        <w:rPr>
          <w:rFonts w:ascii="仿宋" w:eastAsia="仿宋" w:hAnsi="仿宋" w:cs="仿宋"/>
        </w:rPr>
        <w:t>万元；市区维修资金及物业管理相关工作座</w:t>
      </w:r>
      <w:r>
        <w:rPr>
          <w:rFonts w:ascii="仿宋" w:eastAsia="仿宋" w:hAnsi="仿宋" w:cs="仿宋"/>
        </w:rPr>
        <w:t>谈会工作餐费</w:t>
      </w:r>
      <w:r>
        <w:rPr>
          <w:rFonts w:ascii="仿宋" w:eastAsia="仿宋" w:hAnsi="仿宋" w:cs="仿宋"/>
        </w:rPr>
        <w:t>0.22</w:t>
      </w:r>
      <w:r>
        <w:rPr>
          <w:rFonts w:ascii="仿宋" w:eastAsia="仿宋" w:hAnsi="仿宋" w:cs="仿宋"/>
        </w:rPr>
        <w:t>万元；住房保障政策优化完善工作会议工作餐费</w:t>
      </w:r>
      <w:r>
        <w:rPr>
          <w:rFonts w:ascii="仿宋" w:eastAsia="仿宋" w:hAnsi="仿宋" w:cs="仿宋"/>
        </w:rPr>
        <w:t>0.16</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20.2</w:t>
      </w:r>
      <w:r>
        <w:rPr>
          <w:rFonts w:ascii="仿宋" w:eastAsia="仿宋" w:hAnsi="仿宋" w:cs="仿宋"/>
        </w:rPr>
        <w:t>万元（其中：一般公共预算支出</w:t>
      </w:r>
      <w:r>
        <w:rPr>
          <w:rFonts w:ascii="仿宋" w:eastAsia="仿宋" w:hAnsi="仿宋" w:cs="仿宋"/>
        </w:rPr>
        <w:t>20.2</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19.06</w:t>
      </w:r>
      <w:r>
        <w:rPr>
          <w:rFonts w:ascii="仿宋" w:eastAsia="仿宋" w:hAnsi="仿宋" w:cs="仿宋"/>
        </w:rPr>
        <w:t>万元（其中：一般公共预算支出</w:t>
      </w:r>
      <w:r>
        <w:rPr>
          <w:rFonts w:ascii="仿宋" w:eastAsia="仿宋" w:hAnsi="仿宋" w:cs="仿宋"/>
        </w:rPr>
        <w:t>19.06</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94.36%</w:t>
      </w:r>
      <w:r>
        <w:rPr>
          <w:rFonts w:ascii="仿宋" w:eastAsia="仿宋" w:hAnsi="仿宋" w:cs="仿宋"/>
        </w:rPr>
        <w:t>，决</w:t>
      </w:r>
      <w:r>
        <w:rPr>
          <w:rFonts w:ascii="仿宋" w:eastAsia="仿宋" w:hAnsi="仿宋" w:cs="仿宋"/>
        </w:rPr>
        <w:lastRenderedPageBreak/>
        <w:t>算数与预算数的差异原因：今年培训费节约了</w:t>
      </w:r>
      <w:r>
        <w:rPr>
          <w:rFonts w:ascii="仿宋" w:eastAsia="仿宋" w:hAnsi="仿宋" w:cs="仿宋"/>
        </w:rPr>
        <w:t>1.14</w:t>
      </w:r>
      <w:r>
        <w:rPr>
          <w:rFonts w:ascii="仿宋" w:eastAsia="仿宋" w:hAnsi="仿宋" w:cs="仿宋"/>
        </w:rPr>
        <w:t>万元。</w:t>
      </w:r>
      <w:r>
        <w:rPr>
          <w:rFonts w:ascii="仿宋" w:eastAsia="仿宋" w:hAnsi="仿宋" w:cs="仿宋"/>
        </w:rPr>
        <w:t>2023</w:t>
      </w:r>
      <w:r>
        <w:rPr>
          <w:rFonts w:ascii="仿宋" w:eastAsia="仿宋" w:hAnsi="仿宋" w:cs="仿宋"/>
        </w:rPr>
        <w:t>年度全年组织培训</w:t>
      </w:r>
      <w:r>
        <w:rPr>
          <w:rFonts w:ascii="仿宋" w:eastAsia="仿宋" w:hAnsi="仿宋" w:cs="仿宋"/>
        </w:rPr>
        <w:t>4</w:t>
      </w:r>
      <w:r>
        <w:rPr>
          <w:rFonts w:ascii="仿宋" w:eastAsia="仿宋" w:hAnsi="仿宋" w:cs="仿宋"/>
        </w:rPr>
        <w:t>个，组织培训</w:t>
      </w:r>
      <w:r>
        <w:rPr>
          <w:rFonts w:ascii="仿宋" w:eastAsia="仿宋" w:hAnsi="仿宋" w:cs="仿宋"/>
        </w:rPr>
        <w:t>70</w:t>
      </w:r>
      <w:r>
        <w:rPr>
          <w:rFonts w:ascii="仿宋" w:eastAsia="仿宋" w:hAnsi="仿宋" w:cs="仿宋"/>
        </w:rPr>
        <w:t>人次，开支内容：常州市住房和城乡建设局城市更新发展专题培、</w:t>
      </w:r>
      <w:r>
        <w:rPr>
          <w:rFonts w:ascii="仿宋" w:eastAsia="仿宋" w:hAnsi="仿宋" w:cs="仿宋"/>
        </w:rPr>
        <w:t>2023</w:t>
      </w:r>
      <w:r>
        <w:rPr>
          <w:rFonts w:ascii="仿宋" w:eastAsia="仿宋" w:hAnsi="仿宋" w:cs="仿宋"/>
        </w:rPr>
        <w:t>年度道德讲堂演出培训费、</w:t>
      </w:r>
      <w:r>
        <w:rPr>
          <w:rFonts w:ascii="仿宋" w:eastAsia="仿宋" w:hAnsi="仿宋" w:cs="仿宋"/>
        </w:rPr>
        <w:t>“</w:t>
      </w:r>
      <w:r>
        <w:rPr>
          <w:rFonts w:ascii="仿宋" w:eastAsia="仿宋" w:hAnsi="仿宋" w:cs="仿宋"/>
        </w:rPr>
        <w:t>追忆红色足迹，弘扬</w:t>
      </w:r>
      <w:r>
        <w:rPr>
          <w:rFonts w:ascii="仿宋" w:eastAsia="仿宋" w:hAnsi="仿宋" w:cs="仿宋"/>
        </w:rPr>
        <w:t>‘</w:t>
      </w:r>
      <w:r>
        <w:rPr>
          <w:rFonts w:ascii="仿宋" w:eastAsia="仿宋" w:hAnsi="仿宋" w:cs="仿宋"/>
        </w:rPr>
        <w:t>赶考</w:t>
      </w:r>
      <w:r>
        <w:rPr>
          <w:rFonts w:ascii="仿宋" w:eastAsia="仿宋" w:hAnsi="仿宋" w:cs="仿宋"/>
        </w:rPr>
        <w:t>’</w:t>
      </w:r>
      <w:r>
        <w:rPr>
          <w:rFonts w:ascii="仿宋" w:eastAsia="仿宋" w:hAnsi="仿宋" w:cs="仿宋"/>
        </w:rPr>
        <w:t>精神</w:t>
      </w:r>
      <w:r>
        <w:rPr>
          <w:rFonts w:ascii="仿宋" w:eastAsia="仿宋" w:hAnsi="仿宋" w:cs="仿宋"/>
        </w:rPr>
        <w:t>”</w:t>
      </w:r>
      <w:r>
        <w:rPr>
          <w:rFonts w:ascii="仿宋" w:eastAsia="仿宋" w:hAnsi="仿宋" w:cs="仿宋"/>
        </w:rPr>
        <w:t>主</w:t>
      </w:r>
      <w:r>
        <w:rPr>
          <w:rFonts w:ascii="仿宋" w:eastAsia="仿宋" w:hAnsi="仿宋" w:cs="仿宋"/>
        </w:rPr>
        <w:t>题培训活动。</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万元）。与上年决算数相同。</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1,571.11</w:t>
      </w:r>
      <w:r>
        <w:rPr>
          <w:rFonts w:ascii="仿宋" w:eastAsia="仿宋" w:hAnsi="仿宋" w:cs="仿宋"/>
        </w:rPr>
        <w:t>万元，其中：政府采购货物支出</w:t>
      </w:r>
      <w:r>
        <w:rPr>
          <w:rFonts w:ascii="仿宋" w:eastAsia="仿宋" w:hAnsi="仿宋" w:cs="仿宋"/>
        </w:rPr>
        <w:t>1.04</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1,570.08</w:t>
      </w:r>
      <w:r>
        <w:rPr>
          <w:rFonts w:ascii="仿宋" w:eastAsia="仿宋" w:hAnsi="仿宋" w:cs="仿宋"/>
        </w:rPr>
        <w:t>万元。政府采购授予中小企业合同金额</w:t>
      </w:r>
      <w:r>
        <w:rPr>
          <w:rFonts w:ascii="仿宋" w:eastAsia="仿宋" w:hAnsi="仿宋" w:cs="仿宋"/>
        </w:rPr>
        <w:t>885.77</w:t>
      </w:r>
      <w:r>
        <w:rPr>
          <w:rFonts w:ascii="仿宋" w:eastAsia="仿宋" w:hAnsi="仿宋" w:cs="仿宋"/>
        </w:rPr>
        <w:t>万元，占政府采购支出总额的</w:t>
      </w:r>
      <w:r>
        <w:rPr>
          <w:rFonts w:ascii="仿宋" w:eastAsia="仿宋" w:hAnsi="仿宋" w:cs="仿宋"/>
        </w:rPr>
        <w:t>56.38%</w:t>
      </w:r>
      <w:r>
        <w:rPr>
          <w:rFonts w:ascii="仿宋" w:eastAsia="仿宋" w:hAnsi="仿宋" w:cs="仿宋"/>
        </w:rPr>
        <w:t>，其中：授予小微企业合同金额</w:t>
      </w:r>
      <w:r>
        <w:rPr>
          <w:rFonts w:ascii="仿宋" w:eastAsia="仿宋" w:hAnsi="仿宋" w:cs="仿宋"/>
        </w:rPr>
        <w:t>885.77</w:t>
      </w:r>
      <w:r>
        <w:rPr>
          <w:rFonts w:ascii="仿宋" w:eastAsia="仿宋" w:hAnsi="仿宋" w:cs="仿宋"/>
        </w:rPr>
        <w:t>万元，占授予中小企业合同金额的</w:t>
      </w:r>
      <w:r>
        <w:rPr>
          <w:rFonts w:ascii="仿宋" w:eastAsia="仿宋" w:hAnsi="仿宋" w:cs="仿宋"/>
        </w:rPr>
        <w:t>100%</w:t>
      </w:r>
      <w:r>
        <w:rPr>
          <w:rFonts w:ascii="仿宋" w:eastAsia="仿宋" w:hAnsi="仿宋" w:cs="仿宋"/>
        </w:rPr>
        <w:t>。</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十四、国有资产占用情况说明</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4</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w:t>
      </w:r>
      <w:r>
        <w:rPr>
          <w:rFonts w:ascii="仿宋" w:eastAsia="仿宋" w:hAnsi="仿宋" w:cs="仿宋"/>
        </w:rPr>
        <w:t>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4</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6E012F" w:rsidRDefault="001A01FA">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10</w:t>
      </w:r>
      <w:r>
        <w:rPr>
          <w:rFonts w:ascii="仿宋" w:eastAsia="仿宋" w:hAnsi="仿宋" w:cs="仿宋"/>
        </w:rPr>
        <w:t>个项目开展了绩效自评价，涉及财政性资金合计</w:t>
      </w:r>
      <w:r>
        <w:rPr>
          <w:rFonts w:ascii="仿宋" w:eastAsia="仿宋" w:hAnsi="仿宋" w:cs="仿宋"/>
        </w:rPr>
        <w:t>9,569.03</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28,889.88</w:t>
      </w:r>
      <w:r>
        <w:rPr>
          <w:rFonts w:ascii="仿宋" w:eastAsia="仿宋" w:hAnsi="仿宋" w:cs="仿宋"/>
        </w:rPr>
        <w:t>万元。</w:t>
      </w:r>
    </w:p>
    <w:p w:rsidR="006E012F" w:rsidRDefault="001A01FA">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6E012F" w:rsidRDefault="006E012F">
      <w:pPr>
        <w:pStyle w:val="a4"/>
        <w:tabs>
          <w:tab w:val="left" w:pos="3864"/>
          <w:tab w:val="left" w:pos="6248"/>
          <w:tab w:val="left" w:pos="7386"/>
        </w:tabs>
        <w:ind w:leftChars="200" w:left="462" w:firstLineChars="206" w:firstLine="659"/>
        <w:jc w:val="both"/>
        <w:rPr>
          <w:rFonts w:ascii="仿宋" w:eastAsia="仿宋" w:hAnsi="仿宋" w:cs="仿宋"/>
        </w:rPr>
      </w:pP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w:t>
      </w:r>
      <w:r>
        <w:rPr>
          <w:rFonts w:ascii="仿宋" w:eastAsia="仿宋" w:hAnsi="仿宋" w:cs="仿宋" w:hint="eastAsia"/>
        </w:rPr>
        <w:lastRenderedPageBreak/>
        <w:t>管理的高中以上学费、住宿费、高校委托培养费、函大、电大、夜大及短训班培训费等教育收费。</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w:t>
      </w:r>
      <w:r>
        <w:rPr>
          <w:rFonts w:ascii="仿宋" w:eastAsia="仿宋" w:hAnsi="仿宋" w:cs="仿宋" w:hint="eastAsia"/>
          <w:b/>
          <w:bCs/>
        </w:rPr>
        <w:t>、附属单位上缴收入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w:t>
      </w:r>
      <w:r>
        <w:rPr>
          <w:rFonts w:ascii="仿宋" w:eastAsia="仿宋" w:hAnsi="仿宋" w:cs="仿宋" w:hint="eastAsia"/>
        </w:rPr>
        <w:t>出中的公用经费支出，包括办公及印刷费、邮电费、差旅费、会议费、福利费、日常维修费、专用材料及一般设备购置费、办公用房水电费、办公用房取暖费、办公用房物业管理费、公务用车运行维护费及其他费用。</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十九、科学技术支出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技术研究与开发</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其他技术研究与开发支出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反映除上述项目以外其他用于技术研究与开发方面的支出。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二十、科学技术支出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其他科学技术支出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其他科学技术支出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反映其他科学技术支出中除以上各项外用于科技方面的支出。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w:t>
      </w:r>
      <w:r>
        <w:rPr>
          <w:rFonts w:ascii="仿宋" w:eastAsia="仿宋" w:hAnsi="仿宋" w:cs="仿宋" w:hint="eastAsia"/>
          <w:b/>
          <w:bCs/>
        </w:rPr>
        <w:t>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反映事业单位开支的离退休经费。</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城乡社区公共设施</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其他城乡社区公共设施支出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反映除上述项目以外其他用于城乡社区公共设施方面的支出。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二十四、城乡社区支出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二十五、住房保障支出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保障性安居工程支出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公共租赁住房</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反映用于新建、改建、购买、租赁</w:t>
      </w:r>
      <w:r>
        <w:rPr>
          <w:rFonts w:ascii="仿宋" w:eastAsia="仿宋" w:hAnsi="仿宋" w:cs="仿宋" w:hint="eastAsia"/>
        </w:rPr>
        <w:t>、维护和管理公共租赁住房支出。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二十六、住房保障支出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保障性安居工程支出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保障性住房租金补贴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反映各级政府向低收入住房保障家庭发放的住房租赁补贴支出。</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二十七、住房保障支出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二十八、住房保障支出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二十九、住房保障支出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p w:rsidR="006E012F" w:rsidRDefault="001A01FA">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城乡社区住宅</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其他城乡社区住宅支出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反映除上述项目以外其他用于城乡社区住宅方面的支出。</w:t>
      </w:r>
    </w:p>
    <w:sectPr w:rsidR="006E012F">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1FA" w:rsidRDefault="001A01FA">
      <w:r>
        <w:separator/>
      </w:r>
    </w:p>
  </w:endnote>
  <w:endnote w:type="continuationSeparator" w:id="0">
    <w:p w:rsidR="001A01FA" w:rsidRDefault="001A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rPr>
        <w:rFonts w:ascii="黑体" w:eastAsia="黑体" w:hAnsi="黑体" w:cs="黑体"/>
      </w:rPr>
    </w:pPr>
    <w:r>
      <w:rPr>
        <w:rFonts w:ascii="黑体" w:eastAsia="黑体" w:hAnsi="黑体" w:cs="黑体"/>
      </w:rPr>
      <w:pict w14:anchorId="43619710">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6E012F" w:rsidRDefault="001A01FA">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106238">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2FCDF224">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- 24 -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0ACF1178">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- 25 -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44DDD986">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- 27 -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0DEEB49D">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- 46 -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rPr>
        <w:rFonts w:ascii="黑体" w:eastAsia="黑体" w:hAnsi="黑体" w:cs="黑体"/>
      </w:rPr>
    </w:pPr>
    <w:r>
      <w:rPr>
        <w:rFonts w:ascii="黑体" w:eastAsia="黑体" w:hAnsi="黑体" w:cs="黑体"/>
      </w:rPr>
      <w:pict w14:anchorId="11ED10C4">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6E012F" w:rsidRDefault="001A01FA">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106238">
                  <w:rPr>
                    <w:rFonts w:ascii="黑体" w:eastAsia="黑体" w:hAnsi="黑体" w:cs="黑体"/>
                    <w:noProof/>
                  </w:rPr>
                  <w:t>- 4 -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4EA8DB69">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- 9 -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3EF62B6E">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- 11 -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04ECDE1A">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- 13 -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0E113555">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- 15 -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4537C5F6">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- 17 -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07B23E2B">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- 19 -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5"/>
      <w:jc w:val="center"/>
    </w:pPr>
    <w:r>
      <w:pict w14:anchorId="5C07BC41">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6E012F" w:rsidRDefault="001A01FA">
                <w:pPr>
                  <w:pStyle w:val="a5"/>
                </w:pPr>
                <w:r>
                  <w:rPr>
                    <w:rFonts w:hint="eastAsia"/>
                  </w:rPr>
                  <w:fldChar w:fldCharType="begin"/>
                </w:r>
                <w:r>
                  <w:rPr>
                    <w:rFonts w:hint="eastAsia"/>
                  </w:rPr>
                  <w:instrText xml:space="preserve"> PAGE  \* MERGEFORMAT </w:instrText>
                </w:r>
                <w:r>
                  <w:rPr>
                    <w:rFonts w:hint="eastAsia"/>
                  </w:rPr>
                  <w:fldChar w:fldCharType="separate"/>
                </w:r>
                <w:r w:rsidR="00106238">
                  <w:rPr>
                    <w:noProof/>
                  </w:rPr>
                  <w:t>- 21 -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1FA" w:rsidRDefault="001A01FA">
      <w:r>
        <w:separator/>
      </w:r>
    </w:p>
  </w:footnote>
  <w:footnote w:type="continuationSeparator" w:id="0">
    <w:p w:rsidR="001A01FA" w:rsidRDefault="001A01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1A01FA">
    <w:pPr>
      <w:pStyle w:val="a6"/>
      <w:pBdr>
        <w:bottom w:val="single" w:sz="4" w:space="1" w:color="000000"/>
      </w:pBdr>
      <w:jc w:val="both"/>
      <w:rPr>
        <w:lang w:val="en-US"/>
      </w:rPr>
    </w:pPr>
    <w:r>
      <w:rPr>
        <w:rFonts w:hint="eastAsia"/>
        <w:lang w:val="en-US"/>
      </w:rPr>
      <w:t>常州市住房保障中心</w:t>
    </w:r>
    <w:r>
      <w:t>2023</w:t>
    </w:r>
    <w:r>
      <w:t>年度单位决算公开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12F" w:rsidRDefault="006E012F">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6E012F"/>
    <w:rsid w:val="DBEED555"/>
    <w:rsid w:val="00042122"/>
    <w:rsid w:val="00064984"/>
    <w:rsid w:val="00071789"/>
    <w:rsid w:val="000C024B"/>
    <w:rsid w:val="000F12AB"/>
    <w:rsid w:val="00106238"/>
    <w:rsid w:val="001A01FA"/>
    <w:rsid w:val="001C31F9"/>
    <w:rsid w:val="001D7787"/>
    <w:rsid w:val="002E63B1"/>
    <w:rsid w:val="00407CA7"/>
    <w:rsid w:val="00413AD8"/>
    <w:rsid w:val="004743E0"/>
    <w:rsid w:val="004C0647"/>
    <w:rsid w:val="00671ED7"/>
    <w:rsid w:val="00672164"/>
    <w:rsid w:val="006732F1"/>
    <w:rsid w:val="006E012F"/>
    <w:rsid w:val="007C0F2D"/>
    <w:rsid w:val="008322BB"/>
    <w:rsid w:val="00867423"/>
    <w:rsid w:val="008B5B05"/>
    <w:rsid w:val="009965EA"/>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E1C0D88F-3A77-4138-B64A-D65A5069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表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47</Pages>
  <Words>3612</Words>
  <Characters>20594</Characters>
  <Application>Microsoft Office Word</Application>
  <DocSecurity>0</DocSecurity>
  <Lines>171</Lines>
  <Paragraphs>48</Paragraphs>
  <ScaleCrop>false</ScaleCrop>
  <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178</cp:revision>
  <dcterms:created xsi:type="dcterms:W3CDTF">2021-04-16T03:22:00Z</dcterms:created>
  <dcterms:modified xsi:type="dcterms:W3CDTF">2024-12-16T08:06:00Z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