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pPr>
              <w:pStyle w:val="8"/>
              <w:spacing w:line="360" w:lineRule="auto"/>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top"/>
          </w:tcPr>
          <w:p>
            <w:pPr>
              <w:ind w:right="284" w:rightChars="129"/>
              <w:jc w:val="center"/>
              <w:rPr>
                <w:rFonts w:hint="eastAsia" w:ascii="宋体" w:hAnsi="宋体" w:eastAsia="宋体" w:cs="宋体"/>
                <w:b/>
                <w:bCs/>
                <w:sz w:val="52"/>
                <w:szCs w:val="52"/>
                <w:lang w:val="en-US" w:eastAsia="zh-CN"/>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2023年度常州市生态环境局部门决算公开</w:t>
            </w:r>
            <w:r>
              <w:rPr>
                <w:rFonts w:ascii="宋体" w:hAnsi="宋体" w:cs="宋体" w:eastAsia="宋体"/>
                <w:b w:val="true"/>
                <w:sz w:val="52"/>
              </w:rPr>
              <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tabs>
          <w:tab w:val="left" w:pos="880"/>
        </w:tabs>
        <w:spacing w:line="718" w:lineRule="exact"/>
        <w:ind w:right="313" w:firstLine="0"/>
        <w:outlineLvl w:val="0"/>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spacing w:before="7" w:after="0"/>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outlineLvl w:val="0"/>
        <w:rPr>
          <w:rFonts w:hint="eastAsia" w:ascii="黑体" w:hAnsi="黑体" w:eastAsia="黑体" w:cs="黑体"/>
          <w:b w:val="0"/>
          <w:bCs w:val="0"/>
        </w:rPr>
      </w:pPr>
      <w:r>
        <w:rPr>
          <w:rFonts w:hint="eastAsia" w:ascii="黑体" w:hAnsi="黑体" w:eastAsia="黑体" w:cs="黑体"/>
          <w:b w:val="0"/>
          <w:bCs w:val="0"/>
        </w:rPr>
        <w:t xml:space="preserve">第一部分 </w:t>
      </w:r>
      <w:r>
        <w:rPr>
          <w:rFonts w:hint="eastAsia" w:ascii="黑体" w:hAnsi="黑体" w:eastAsia="黑体" w:cs="黑体"/>
          <w:b w:val="0"/>
          <w:bCs w:val="0"/>
          <w:lang w:val="en-US" w:eastAsia="zh-CN"/>
        </w:rPr>
        <w:t>部门</w:t>
      </w:r>
      <w:r>
        <w:rPr>
          <w:rFonts w:hint="eastAsia" w:ascii="黑体" w:hAnsi="黑体" w:eastAsia="黑体" w:cs="黑体"/>
          <w:b w:val="0"/>
          <w:bCs w:val="0"/>
        </w:rPr>
        <w:t>概况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机构设置及决算单位构成情况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w:t>
      </w:r>
      <w:r>
        <w:rPr>
          <w:rFonts w:hint="eastAsia" w:ascii="仿宋" w:hAnsi="仿宋" w:eastAsia="仿宋" w:cs="仿宋"/>
          <w:lang w:val="en-US" w:eastAsia="zh-CN"/>
        </w:rPr>
        <w:t>3</w:t>
      </w:r>
      <w:r>
        <w:rPr>
          <w:rFonts w:hint="eastAsia" w:ascii="仿宋" w:hAnsi="仿宋" w:eastAsia="仿宋" w:cs="仿宋"/>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rPr>
      </w:pPr>
      <w:r>
        <w:rPr>
          <w:rFonts w:hint="eastAsia" w:ascii="黑体" w:hAnsi="黑体" w:eastAsia="黑体" w:cs="黑体"/>
          <w:b w:val="0"/>
          <w:bCs w:val="0"/>
          <w:lang w:val="en-US" w:eastAsia="zh-CN"/>
        </w:rPr>
        <w:t>第二部分 2023年度</w:t>
      </w:r>
      <w:r>
        <w:rPr>
          <w:rFonts w:ascii="黑体" w:hAnsi="黑体" w:cs="黑体" w:eastAsia="黑体"/>
        </w:rPr>
        <w:t>部门</w:t>
      </w:r>
      <w:r>
        <w:rPr>
          <w:rFonts w:ascii="黑体" w:hAnsi="黑体" w:cs="黑体" w:eastAsia="黑体"/>
        </w:rPr>
        <w:t>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spacing w:val="-2"/>
        </w:rPr>
        <w:t>一、收入支出决算总表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rPr>
        <w:t>二、收入决算表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w w:val="95"/>
        </w:rPr>
        <w:t>三、支出决算表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894" w:hanging="11" w:firstLineChars="0"/>
        <w:jc w:val="both"/>
        <w:textAlignment w:val="auto"/>
        <w:rPr>
          <w:rFonts w:hint="eastAsia" w:ascii="仿宋" w:hAnsi="仿宋" w:eastAsia="仿宋" w:cs="仿宋"/>
        </w:rPr>
      </w:pPr>
      <w:r>
        <w:rPr>
          <w:rFonts w:hint="eastAsia" w:ascii="仿宋" w:hAnsi="仿宋" w:eastAsia="仿宋" w:cs="仿宋"/>
        </w:rPr>
        <w:t>六、财政拨款基本支出决算表（经济科目） 七、一般公共预算支出决算表（功能科目）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八、一般公共预算基本支出决算表（经济科目）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eastAsia="zh-CN"/>
        </w:rPr>
        <w:t>财政拨款</w:t>
      </w:r>
      <w:r>
        <w:rPr>
          <w:rFonts w:hint="eastAsia" w:ascii="仿宋" w:hAnsi="仿宋" w:eastAsia="仿宋" w:cs="仿宋"/>
        </w:rPr>
        <w:t>“三公”经费、会议费、培训费支出决算表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default" w:ascii="仿宋" w:hAnsi="仿宋" w:eastAsia="仿宋" w:cs="仿宋"/>
          <w:lang w:val="en-US" w:eastAsia="zh-CN"/>
        </w:rPr>
      </w:pPr>
      <w:r>
        <w:rPr>
          <w:rFonts w:hint="eastAsia" w:ascii="仿宋" w:hAnsi="仿宋" w:eastAsia="仿宋" w:cs="仿宋"/>
        </w:rPr>
        <w:t>十一、</w:t>
      </w:r>
      <w:r>
        <w:rPr>
          <w:rFonts w:hint="eastAsia" w:ascii="仿宋" w:hAnsi="仿宋" w:eastAsia="仿宋" w:cs="仿宋"/>
          <w:lang w:val="en-US" w:eastAsia="zh-CN"/>
        </w:rPr>
        <w:t>国有资本经营预算支出决算表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w:t>
      </w:r>
      <w:r>
        <w:rPr>
          <w:rFonts w:hint="eastAsia" w:ascii="仿宋" w:hAnsi="仿宋" w:eastAsia="仿宋" w:cs="仿宋"/>
          <w:lang w:val="en-US" w:eastAsia="zh-CN"/>
        </w:rPr>
        <w:t>财政拨款</w:t>
      </w:r>
      <w:r>
        <w:rPr>
          <w:rFonts w:hint="eastAsia" w:ascii="仿宋" w:hAnsi="仿宋" w:eastAsia="仿宋" w:cs="仿宋"/>
        </w:rPr>
        <w:t>机关运行经费支出决算表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lang w:val="en-US" w:eastAsia="zh-CN"/>
        </w:rPr>
      </w:pPr>
      <w:r>
        <w:rPr>
          <w:rFonts w:hint="eastAsia" w:ascii="黑体" w:hAnsi="黑体" w:eastAsia="黑体" w:cs="黑体"/>
          <w:b w:val="0"/>
          <w:bCs w:val="0"/>
          <w:lang w:val="en-US" w:eastAsia="zh-CN"/>
        </w:rPr>
        <w:t>第三部分 2023年度</w:t>
      </w:r>
      <w:r>
        <w:rPr>
          <w:rFonts w:ascii="黑体" w:hAnsi="黑体" w:cs="黑体" w:eastAsia="黑体"/>
        </w:rPr>
        <w:t>部门</w:t>
      </w:r>
      <w:r>
        <w:rPr>
          <w:rFonts w:ascii="黑体" w:hAnsi="黑体" w:cs="黑体" w:eastAsia="黑体"/>
        </w:rPr>
        <w:t>决算情况说明</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default" w:ascii="仿宋" w:hAnsi="仿宋" w:eastAsia="仿宋" w:cs="仿宋"/>
          <w:b/>
          <w:bCs/>
          <w:color w:val="000000"/>
          <w:sz w:val="30"/>
          <w:szCs w:val="30"/>
          <w:lang w:val="en-US" w:eastAsia="zh-CN" w:bidi="ar"/>
        </w:rPr>
      </w:pPr>
      <w:r>
        <w:rPr>
          <w:rFonts w:hint="eastAsia" w:ascii="黑体" w:hAnsi="黑体" w:eastAsia="黑体" w:cs="黑体"/>
          <w:b w:val="0"/>
          <w:bCs w:val="0"/>
          <w:lang w:val="en-US" w:eastAsia="zh-CN"/>
        </w:rPr>
        <w:t>第四部分 名词解释</w:t>
      </w:r>
    </w:p>
    <w:p>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700" w:bottom="770" w:left="1020" w:header="283"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outlineLvl w:val="0"/>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eastAsia="zh-CN"/>
        </w:rPr>
        <w:t xml:space="preserve"> </w:t>
      </w:r>
      <w:r>
        <w:rPr>
          <w:rFonts w:hint="eastAsia" w:ascii="宋体" w:hAnsi="宋体" w:eastAsia="宋体" w:cs="宋体"/>
          <w:b/>
          <w:bCs/>
        </w:rPr>
        <w:t>部门</w:t>
      </w:r>
      <w:r>
        <w:rPr>
          <w:rFonts w:hint="eastAsia" w:ascii="宋体" w:hAnsi="宋体" w:eastAsia="宋体" w:cs="宋体"/>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常州市生态环境局负责贯彻落实中央关于生态环境保护工作的方针政策和省委、市委的决策部署，在履行职责过程中坚持和加强党对全市生态环境保护工作的集中统一领导。主要职责是：</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落实执行生态环境基本制度。贯彻落实国家、省生态环境的方针政策和法律法规。会同有关部门拟订全市生态环境政策、规划并组织实施，起草生态环境地方性法规和规章草案。会同有关部门编制并监督实施重点区域、流域、饮用水水源地生态环境规划和水功能区划，组织实施各类生态环境标准、基准和技术规范。</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（二）负责组织指导、协调全市生态文明建设工作，组织编制生态文明建设规划，开展生态文明建设考核和评价。</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负责重大生态环境问题的统筹协调和监督管理。牵头协调全市范围内重特大环境污染事故和生态破坏事件的调查处理，指导协调辖市（区）政府重特大突发生态环境事件的应急处置、预警工作，牵头指导实施生态环境损害赔偿制度，协调解决有关跨区域环境污染纠纷，统筹协调全市重点区域、流域生态环境保护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负责落实减排目标任务。组织实施地方污染物排放总量控制、排污许可证制度并监督管理，确定大气、水等纳污能力，提出实施总量控制的污染物名称和控制指标，组织制定和实施污染物减排计划，监督检查各辖市（区）污染物减排任务完成情况，实施生态环境保护目标责任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负责提出生态环境领域固定资产投资规模和方向、市财政性资金安排意见。按规定权限，审批、核准全市规划内和年度计划规模内固定资产投资项目，配合有关部门做好组织实施和监督工作。参与指导和推动循环经济和生态环保产业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负责环境污染防治的监督管理。贯彻执行国家、省关于大气、水、土壤、噪声、光、恶臭、固体废物、化学品、机动车等污染防治管理制度。指导协调和监督农村生态环境保护，会同有关部门监督管理饮用水水源地生态环境保护工作，组织指导城乡环境综合整治工作，监督指导农业面源污染治理工作。监督指导区域大气环境保护工作，组织实施区域大气污染联防联控协作机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贯彻落实省委、省政府和市委、市政府关于太湖水污染防治工作的各项政策和决策部署。协调解决太湖水污染防治工作的重大问题。拟订并组织实施全市太湖水污染防治工作计划，参与拟订有关太湖水污染防治规划。组织实施国家和省有关太湖流域水环境综合治理方案。根据市政府授权，对市各有关部门和各辖市（区）人民政府实施太湖水环境保护和治理工作进行监督检查。统筹协调和监督全市水生态环境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指导协调和监督生态保护修复工作。拟订生态保护规划，监督对生态环境有影响的自然资源开发利用活动、重要生态环境建设和生态破坏恢复工作。组织实施各类自然保护地生态环境监督管理工作。监督野生动植物保护、湿地生态环境保护等工作。监督生物技术环境安全，牵头生物物种（含生物遗传资源）工作，组织协调生物多样性保护工作，参与生态保护补偿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负责核与辐射安全的监督管理。对核技术应用、电磁辐射和伴有放射性矿产资源开发利用中的污染防治实施统一监督管理，会同有关部门负责放射性物质运输的监督管理，参与核事故应急处理，负责辐射环境事故应急处理工作，负责废旧放射源和放射性废物的管理，组织辐射环境监测。配合上级生态环境部门对市内核设施安全、核材料管制和民用核安全设备实施监督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负责生态环境准入的监督管理。按规定组织审查重大经济和技术政策、发展规划以及重大经济开发计划的环境影响评价文件，按规定权限审批或审查辖区内开发建设区域、规划、项目环境影响评价文件。组织实施生态环境准入清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一）负责生态环境监测工作。组织实施生态环境监测制度、规范和标准，落实执行生态环境监测质量管理制度。组织实施市级以下生态环境质量监测，组织实施污染源监督性监测、温室气体减排监测、应急监测、执法监测。负责全市生态环境监测网的建设和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二）统一负责生态环境监督执法。指导全市生态环境保护综合执法工作，组织开展全市生态环境保护执法检查活动，查处生态环境违法问题。组织拟订重特大突发生态环境事件和生态破坏事件的应急预案，指导调查处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（十三）负责生态环境信息化工作。建设和管理生态环境信息网。实行生态环境质量公告制度，统一发布全市生态环境综合性报告和重大生态环境信息。</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四）组织指导和协调生态环境宣传教育工作。制定并组织实施生态环境保护宣传教育纲要，推动社会组织和公众参与生态环境保护。开展生态环境科技工作，组织生态环境重大科学研究和技术工程示范，推动生态环境技术管理体系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五）开展应对气候变化和生态环境对外合作交流工作。组织实施中央、省应对气候变化及温室气体减排的战略、规划和政策。归口管理全市生态环境国际合作和利用外资项目，组织协调市内有关生态环境国际条约的履约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（十六）完成市委、市政府交办的其他任务。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七）职能转变。市生态环境局要统一行使生态和城乡各类污染排放监督管理与行政执法职责，切实履行监管责任，全面落实大气、水、土壤污染防治行动计划，大幅减少进口固体废物种类和数量直至全面禁止洋垃圾入境。市生态环境局实行以省生态环境厅为主的双重管理体制，加强全市生态环境系统党的建设和思想政治建设。构建政府为主导、企业为主体、社会组织和公众共同参与的生态环境治理体系，实行最严格的生态环境保护制度，严守生态保护红线和环境质量底线，坚决打好污染防治攻坚战，保障全市生态安全，为推进“两聚一高”新实践，建设美丽新常州奠定坚实生态环境基础。</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二、</w:t>
      </w:r>
      <w:r>
        <w:rPr>
          <w:rFonts w:ascii="黑体" w:hAnsi="黑体" w:cs="黑体" w:eastAsia="黑体"/>
        </w:rPr>
        <w:t>部门</w:t>
      </w:r>
      <w:r>
        <w:rPr>
          <w:rFonts w:hint="eastAsia" w:ascii="黑体" w:hAnsi="黑体" w:eastAsia="黑体" w:cs="黑体"/>
          <w:b w:val="0"/>
          <w:bCs w:val="0"/>
        </w:rPr>
        <w:t>机构设置及决算单位构成情况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rPr>
      </w:pPr>
      <w:r>
        <w:rPr>
          <w:rFonts w:hint="eastAsia" w:ascii="仿宋" w:hAnsi="仿宋" w:eastAsia="仿宋" w:cs="仿宋"/>
          <w:lang w:val="en-US" w:eastAsia="zh-CN"/>
        </w:rPr>
        <w:t/>
      </w:r>
      <w:r>
        <w:rPr>
          <w:rFonts w:hint="eastAsia" w:ascii="仿宋" w:hAnsi="仿宋" w:eastAsia="仿宋" w:cs="仿宋"/>
          <w:lang w:val="en-US" w:eastAsia="zh-CN"/>
        </w:rPr>
        <w:t>1.</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规划财务处、生态文明建设处（自然生态保护处）、政策法规处（科技标准处）、排污管理处、生态环境监测与信息处、水生态环境处（太湖水污染防治处）、大气环境处、土壤生态环境处、环境影响评价处、核与辐射环境管理处、固体废物与化学品处、组织人事处、机关党委。</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本部门下属单位包括：常州市生态环境综合行政执法局、常州市环境科学研究院、常州环保科技开发推广中心（非预算管理的事业单位）、常州市生态环境监控中心。</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rPr>
      </w:pPr>
      <w:r>
        <w:rPr>
          <w:rFonts w:hint="eastAsia" w:ascii="仿宋" w:hAnsi="仿宋" w:eastAsia="仿宋" w:cs="仿宋"/>
          <w:lang w:val="en-US" w:eastAsia="zh-CN"/>
        </w:rPr>
        <w:t>2.</w:t>
      </w:r>
      <w:r>
        <w:rPr>
          <w:rFonts w:hint="eastAsia" w:ascii="仿宋" w:hAnsi="仿宋" w:eastAsia="仿宋" w:cs="仿宋"/>
        </w:rPr>
        <w:t>从决算单位构成看，纳入本</w:t>
      </w:r>
      <w:r>
        <w:rPr>
          <w:rFonts w:hint="eastAsia" w:ascii="仿宋" w:hAnsi="仿宋" w:eastAsia="仿宋" w:cs="仿宋"/>
          <w:lang w:val="en-US" w:eastAsia="zh-CN"/>
        </w:rPr>
        <w:t>部门</w:t>
      </w:r>
      <w:r>
        <w:rPr>
          <w:rFonts w:hint="eastAsia" w:ascii="仿宋" w:hAnsi="仿宋" w:eastAsia="仿宋" w:cs="仿宋"/>
          <w:lang w:eastAsia="zh-CN"/>
        </w:rPr>
        <w:t>202</w:t>
      </w:r>
      <w:r>
        <w:rPr>
          <w:rFonts w:hint="eastAsia" w:ascii="仿宋" w:hAnsi="仿宋" w:eastAsia="仿宋" w:cs="仿宋"/>
          <w:lang w:val="en-US" w:eastAsia="zh-CN"/>
        </w:rPr>
        <w:t>3</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汇总决算编制范围的预算单位共计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4</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常州市生态环境局本级、常州市生态环境综合行政执法局、常州市环境科学研究院、常州市生态环境监控中心。</w:t>
      </w:r>
      <w:r>
        <w:rPr>
          <w:rFonts w:ascii="仿宋" w:hAnsi="仿宋" w:cs="仿宋" w:eastAsia="仿宋"/>
        </w:rPr>
        <w:t/>
      </w:r>
      <w:r>
        <w:rPr>
          <w:rFonts w:ascii="仿宋" w:hAnsi="仿宋" w:cs="仿宋" w:eastAsia="仿宋"/>
        </w:rPr>
        <w:t/>
      </w:r>
      <w:r>
        <w:rPr>
          <w:rFonts w:hint="eastAsia" w:ascii="仿宋" w:hAnsi="仿宋" w:eastAsia="仿宋" w:cs="仿宋"/>
          <w:lang w:val="en-US" w:eastAsia="zh-CN"/>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三、</w:t>
      </w:r>
      <w:r>
        <w:rPr>
          <w:rFonts w:hint="eastAsia" w:ascii="黑体" w:hAnsi="黑体" w:eastAsia="黑体" w:cs="黑体"/>
          <w:b w:val="0"/>
          <w:bCs w:val="0"/>
          <w:lang w:eastAsia="zh-CN"/>
        </w:rPr>
        <w:t>202</w:t>
      </w:r>
      <w:r>
        <w:rPr>
          <w:rFonts w:hint="eastAsia" w:ascii="黑体" w:hAnsi="黑体" w:eastAsia="黑体" w:cs="黑体"/>
          <w:b w:val="0"/>
          <w:bCs w:val="0"/>
          <w:lang w:val="en-US" w:eastAsia="zh-CN"/>
        </w:rPr>
        <w:t>3</w:t>
      </w:r>
      <w:r>
        <w:rPr>
          <w:rFonts w:hint="eastAsia" w:ascii="黑体" w:hAnsi="黑体" w:eastAsia="黑体" w:cs="黑体"/>
          <w:b w:val="0"/>
          <w:bCs w:val="0"/>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2023年，全市生态环境系统深入学习贯彻党的二十大精神，坚决落实市委、市政府和省厅党组决策部署，紧紧围绕人与自然和谐共生现代化的要求，深入打好污染防治攻坚战，全力推进生态中轴建设，着力解决突出生态环境问题，推动生态文明建设和生态环境保护迈上新台阶，为我市冲刺“万亿之城”增添更多“含绿量”。生态中轴城市能级取得新提升，荣获“国家生态文明建设示范区”称号，成为2023年全省唯一获评地级市；获评国家低碳城市试点优良城市，受邀参加《联合国气候变化框架公约》第二十八次缔约方大会，向世界分享了常州“新能源之都”绿色低碳发展经验。新一轮太湖综合治理取得新成效，太湖常州水域蓝藻水华发生次数同比下降50.8%，平均面积显著低于全湖均值，蓝藻密度总体处于较低水平，高水平实现“两保两提”；长荡湖水质由Ⅴ提至Ⅳ类、富营养程度由中度降至轻度；溧阳天目湖入选全国美丽河湖优秀案例，是全省三个案例之一。涉磷企业整治经验做法作为第二批主题教育成果在央视《新闻联播》播出。生态环境质量取得新进位，PM2.5浓度34.2微克/立方米，连续两年达到国家二级标准，绝对值排名跃升两位、达到近年最好位次；优良天数比率77.5%。两项指标改善率排名连续两年保持全省第一方阵，是省内唯一连续两年优良天数持续提升的城市。长江常州段水质连续6年稳定保持Ⅱ类，国省考断面优Ⅲ比例分别为85%、94.1%，均超额完成省定目标，达近十年来最好水平。助力高质量发展取得新突破，“危污乱散低”综合治理成效显著，获省领导批示推广，建立“厅市会商”机制，推进电镀、涂料等集聚区开工建设，加速工业片区治理，整治提升企业4350家，盘活低效再开发土地3万亩，削减主要污染物排放量近1269吨，走出“苏南模式”现代化升级的新路子，列入生态环境部和江苏省共建试点。举办高质量发展金环对接会，全省首个“环基贷”项目落户常州，联合江南银行推出专属绿色金融产品——“环信融”，全市绿色贷款余额同比增长49.48%。一批试点取得新经验，全国首部对全域水生态环境进行保护的地方性法规——《常州市水生态环境保护条例》全面施行，金坛农业面源治理、武高新清洁生产审核等工作列入全国试点，武进排污许可试点工作获生态环境部推广，长荡湖生态治理与修复“金坛经验”、挥发性有机物治理“滨江经验”在全省推广，“农村污水有去处，美丽乡村更宜居”入围市人大常委会办公室和市政府办联合举办的民生实事项目优秀典型案例候选名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重点抓好以下七项工作：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打好污染防治“攻坚战”。紧盯年度环境质量改善目标，扎实推进“首季争优”“春夏攻坚”和“两治一提升”专项行动，完成2383项治气、1690项治水、1787项治土工程项目。深入开展大气污染防治，紧盯火电、钢铁、水泥、玻璃等排放大户，实施科学有序深度减排，全市SO2、烟尘排放量同比分别下降12.3%、21.8%。扎实开展臭氧污染防治，强化滨江经济开发区等重点工业园区VOCs综合整治；率先启动并完成储罐高密闭性呼吸阀更换，全省储罐治理现场会在常召开；443家光氧简易低效治理设施企业全部提升出清，实现“零光氧”；全面开展港口码头扬尘污染防治，实现长江、内河码头堆场、料仓密闭“全覆盖”。全力推进水污染防治，持续开展国省考断面水质保障行动，排定13个重点管控断面，排查整治存在风险隐患的支流支浜113条，有力保障断面水质达标；完成6个乡镇级以上集中式饮用水水源地环境状况评估工作，水源地水质均达到或优于Ⅲ类；狠抓长江大保护，滨江化工园区实现企业雨污水排放口在线监测系统全覆盖，实施通江河道沿线8个城中村雨污分流，以及南阳河、黄山河、老孟河、南安河综合治理工程。稳步做好土壤污染防治，完成72家土壤污染重点监管单位风险隐患排查“回头看”，推进285家化工等企业关闭遗留地块土壤污染风险管控；完成127个行政村生活污水治理，农村生活污水治理率提升至70.3%，提升幅度全省第一。全面推进全域“无废城市”建设，率先制定10类“无废细胞”创建标准规范，相关部门、企业牵头、参与制订32项标准规范，设立厚德左铁镛院士工作站，探索推进动力电池回收利用，加快推进固废储运中心建设，初步建成一般工业固废信息化监控系统，新增危险废物处置能力23万吨/年。</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是绘好太湖治理“美景图”。全年实施227个项目、投资83.62亿元，实际完成投资84.09亿元。全面构建“1+8”工作机制，牢记总书记殷殷嘱托，将太湖治理作为生态文明建设“一号工程”，市委、市政府率先召开新一轮太湖综合治理推进大会，成立太湖综合治理领导小组，构建“1+8”专项行动工作机制。加强涉磷企业整治，全市4410家涉磷企业，1873家完成整改方案审核，1259家完成整治，844家通过验收，我市涉磷企业整治经验做法作为第二批主题教育成果在央视《新闻联播》播出。加强农业农村环境整治，央督反馈问题5.1万亩养殖池塘标准化改造任务全面完成，新建高标准农田2.75万亩，积极推进11个农业农村现代化试点片区建设。加强污水处理能力，出台城乡污水收集处理工作实施意见，开工建设生活污水40万吨/日，新增工业污水处理能力5万吨/日，城市生活污水收集处理率提至78.1%，提升幅度太湖流域五市最高。加强河道综合治理，完成155条支流支浜消劣整治工作，累计完成910个入河（湖）排污口规范化整治和800个“小微水体”整治任务。加强洮滆片区治理，竺山湖、滆湖分别完成生态清淤150万方、300万方，超额完成省定目标，滆湖退田还湖二期暨近岸带水生态修复等工程完成年度目标。加强有机废弃物处理利用，年度实施15个有机废弃物处理利用项目，新增有机废弃物处理能力15万吨/年，形成环太湖有机废弃物处理利用“武进模式”。加强水资源配置能力，推动建立新孟河引江、新沟河排水调度格局，常态化开展德胜河、澡港河引水，全年沿江引水超8亿方。加强现代化治理能力，全面实施《常州市水生态环境保护条例》，成立常州市水生态环境研究中心；编制《常州市“两湖”创新区生态环境保护规划（2022-2035年）》，建设“水美常州”水生态环境监管平台，监测监控一体化平台入选全国生态环境智慧监测创新应用示范案例；形成水、气、声、辐射4小类207项参数335个方法的监测能力，在全省设区市监测机构位列第二。</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是答好生态建设“大考卷”。认真落实“532”发展战略，扎实推进“生态中轴”建设，全年实施205个重点项目、总投资95.45亿元，实际完成投资106.87亿元。因生态文明体制改革、制度创新、模式探索方面成效显著获省政府督查激励。持续推进生态绿城建设，重点实施生态源保护、城乡公园绿地等工程61项，累计增核5415亩、扩绿1135亩、连网18公里。溧阳市构建以水生态容量为重点的生态产品交易，获全省“十佳生态产品价值实现典型案例”。探索开展“生态岛”试验区建设，编制实施《溧阳天目湖湖群生态岛试验区建设实施方案》，以天目湖和长荡湖两大生物多样性热点区域为主体，全面优化天目湖和长荡湖生态系统保护格局。溧阳天目湖湖群作为全省6个一级“生态岛”试验区之一，获得全省最高奖补资金3000万元。积极打造生态安全缓冲区建设，完成溧阳洙漕河二、三期、金坛工业污水厂、武南二污厂生态河道等生态安全缓冲区建设。加强生物多样性保护，印发《常州市生物多样性保护计划（2022-2025年）》，开展长荡湖、滆湖等重点区域生物多样性调查，建设溧阳长荡湖湿地公园、新北长江沿线、天宁丰北村、钟楼荷园、经开遥观宋剑湖等生物多样性观测场站。持续加大生态文明宣传，《中国环境报》《新华日报》等省级以上报刊刊发专稿50余篇，“江苏生态环境”微信公众号录用稿件95篇，举办六五环境日、生物多样性（鸟类）摄影作品展、“生态文明第一课”等主题活动，编制实施《护航新能源之都建设环境科普宣传教育工作方案》，经开区光大环保入选“国家生态环境科普基地”，新北区三江口生态环境宣教基地正式揭牌。6所学校获国际生态学校称号，获评数量全省第一，龙虎塘小学受邀参加中日韩环境教育和公众环境意识研讨会，圩塘中心小学获评全省首批国际生态学校示范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是用好执法督察“关键招”。坚持严格执法，全市立案查处环境违法行为952件，下达行政处罚决定书540件。适用新环保法配套办法137件，其中实施查封扣押50件，限产停产5件，移送行政拘留62件，移送涉嫌环境污染犯罪案件20件。市执法局获全国行政执法先进集体，市执法局、新北局获全国生态环境保护执法大练兵表现突出集体，武进局获全省生态环境保护执法大练兵表现突出集体；“对常州某机械制动有限公司违反大气污染管理制度行政处罚案”被评为全省20个优秀行政执法案卷之一。强化部门联动，探索行刑衔接一体化办案，有机整合执法骨干、情报专班等资源，健全问题共判、措施共商、信息共享的协同联动工作机制，形成共同打击环境违法行为合力，成功破获“6•15”环境污染犯罪案件，受到厅主要领导和市委、市政府主要领导表扬。加强部门、区域间协调联动，开展常态化跨部门联合生态执法，共同推动突出环境问题解决，天宁局“绿色税收”获省厅领导肯定。建立生态环境保护司法行政协作机制，实现生态环境系统与司法机关优势互补、资源共享，持续提升全系统依法行政能力，金坛、武进、新北3个案例入选省第三批生态环境损害赔偿十大典型案例。不断优化执法方式，充分利用在线监测、用电监控、信访投诉等平台数据，通过信息研判锁定检查目标，为查处环境违法行为提供线索，科学合理配置执法资源，推行非现场、低介入执法，对环境违法行为实施精准打击。强化第三方环境违法行为查处力度，办理新型案件27件，有效震慑环境违法行为。高质量推动突出问题整改，完成3项中央生态环境保护督察反馈问题、13项省（市）政府挂牌督办项目，推动省级长江经济带警示片披露问题有序整改。完成第二轮省级生态环境保护例行督察，编制《常州市贯彻落实第二轮第二批省生态环境保护督察报告整改方案》，完成13项反馈问题整改；交办196件信访件、全省最少，已办结189件，办结率96.4%。</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是抓好服务发展“动力源”。推进园区和企业高质量发展，施行产业园区规划环评与项目环评联动改革试点；以武进国家高新技术产业开发区为对象，开展集中式清洁生产审核，入选全国第二批清洁生产审核创新试点项目；21家企业入选全省绿色发展领军企业名单，获评数量连续两年全省第一。优化服务发展举措，制定出台“助力新能源之都建设服务高质量发展若干举措”，从优化审批服务、创新环境监管、总量指标平衡等方面出台10项服务举措。持续开展企业环保接待日活动，实施重大项目“专班会商”和“审批绿色通道”制度，完成220个省、市重大项目环评审批。全国首创用户输变电项目联合服务机制，会同市水利局、常州供电公司签订《常州市用户投资输变电项目联合服务机制建设备忘录》，编印《常州市用户投资输变电项目环境保护及水土保持义务告知书和办理指南》，政企组团落实“五个一”服务举措，促进新能源产业高质量发展。市局、钟楼局获“常州市优化营商环境工作”先进集体。优化政策资金保障，围绕“危污乱散低”综合治理，建立“厅市会商”机制，省厅给予项目审批、排污总量等8个方面政策支持；与省生态环境厅、省财政厅联合举办高质量发展金环对接会，14个项目现场签约，授信额度100亿元。金融监管、工信、生态环境等部门联合出台《常州市绿色企业评价认定管理办法》。联合江南银行在全省率先推出专属绿色金融产品——“环信融”，贷款额度达2000万元，首批47家企业纳入“环信融”项目库。向上争取资金8.48亿元，位居全省第二，同比增长37%。EOD项目实现“零”的突破，溧阳高新区水生态品质提升与绿色低碳产业高质量融合发展EOD项目成功入选省项目库。</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是守好安全生产“责任田”。全力做好安全巡察反馈问题整改，针对市委安全生产监管责任专项巡察反馈问题，制定48条具体整改措施，按时序进度全部完成整改。扎实推进经营单位安全专项整治，印发《常州市危废经营单位安全生产指导手册（试行）》，依托企业自查和专家核查的方式，全面梳理危险废物经营单位安全风险，64家建立诊断清单和整改方案，26家已经完成整治。严格执行经营单位严管“30”条制度，对于鸿文容器、晟安环保等7家单位违反严管“30”条的行为，暂停其全生命周期系统危险废物接收功能。完善小微企业集中收集体系，推进“互联网+监管+协调联动”，建成并投运10个小量危险废物集中收集点，建立ERP平台并与省厅危废系统联网，累计服务企事业单位近7000家，收集各类危废10000余吨，有效解决危废收运处置“最后一公里”难题。加强核与辐射安全，常态化开展核与辐射隐患排查，完善废源收贮动态管理，完成13家单位43枚废旧放射源的安全送贮。积极承担部、省厅下达任务，在常州设立了退役进口源临时装箱点，护航全国311枚退役进口源安全返回加拿大。提升环境应急响应能力，成功举办江苏省“环安•2023暨江苏省化工园区突发水污染事件三级防控体系综合演练”，得到部应急中心和省厅主要领导高度肯定。以“无脚本、不打招呼”方式，开展28次检验性应急拉练，不断完善突发环境事件政府指挥协调和环境应急多部门协同联动机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是把好从严治党“总开关”。全面开展主题教育，制定印发主题教育工作方案，成立领导小组及办公室，明确班子成员挂钩联系点，加强对直属局、直属单位的督促和指导；率先开展典型案例专题剖析学习交流活动，深入剖析“中材1•28危废贮存场所自燃事故”和“长江常州段‘碧水蝶变’”典型案例；联合举办首届“常州市生态环境技能竞赛”，参加“先锋书记直通车”直播活动、累计8.29万人次观看；撰写调研报告6篇，《向绿而行“碳”索常州高质量发展新路》在省委《群众》杂志发表。持续推进党风廉政建设，制定《局党组工作规则》《局党组全面从严治党工作要点》，层层签订《党风廉政建设责任书》；召开全系统全面从严治党暨作风建设推进会，开展“党风廉政教育月”活动，加强廉洁文化建设；配合完成市委第六巡察组对我局的政治巡察，持续开展内部巡察、“驻点监督”，拓宽拓深监督渠道，综合运用谈心谈话、走访调研、约谈提醒、督查检查等方法，主动发现问题，推动监督下沉。深化“团结向善，勇毅向上”系统文化内核建设，全系统获得全国执法大练兵先进个人、省污染防治巾帼标兵等各类荣誉50余人次，受到中央生态环境保护督察办公室、生态环境部通报表扬18人次，干部荣誉感、归属感、获得感持续增强。</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283"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outlineLvl w:val="0"/>
        <w:rPr>
          <w:rFonts w:hint="eastAsia" w:ascii="宋体" w:hAnsi="宋体" w:eastAsia="宋体" w:cs="宋体"/>
          <w:b/>
          <w:bCs/>
          <w:sz w:val="36"/>
          <w:szCs w:val="36"/>
          <w:lang w:val="en-US" w:eastAsia="zh-CN"/>
        </w:rPr>
      </w:pPr>
      <w:r>
        <w:rPr>
          <w:rFonts w:hint="eastAsia" w:ascii="宋体" w:hAnsi="宋体" w:eastAsia="宋体" w:cs="宋体"/>
          <w:b/>
          <w:bCs/>
          <w:sz w:val="36"/>
          <w:szCs w:val="36"/>
        </w:rPr>
        <w:t>第二部分</w:t>
      </w:r>
    </w:p>
    <w:p>
      <w:pPr>
        <w:pStyle w:val="21"/>
        <w:widowControl w:val="0"/>
        <w:tabs>
          <w:tab w:val="left" w:pos="1609"/>
        </w:tabs>
        <w:suppressAutoHyphens/>
        <w:bidi w:val="0"/>
        <w:spacing w:before="12" w:after="0"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u w:val="none"/>
        </w:rPr>
        <w:t>常州市生态环境局</w:t>
      </w:r>
    </w:p>
    <w:p>
      <w:pPr>
        <w:pStyle w:val="21"/>
        <w:widowControl w:val="0"/>
        <w:tabs>
          <w:tab w:val="left" w:pos="1609"/>
        </w:tabs>
        <w:suppressAutoHyphens/>
        <w:bidi w:val="0"/>
        <w:spacing w:before="12" w:after="0"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w:t>
      </w:r>
      <w:r>
        <w:rPr>
          <w:rFonts w:hint="eastAsia" w:ascii="宋体" w:hAnsi="宋体" w:eastAsia="宋体" w:cs="宋体"/>
          <w:b/>
          <w:bCs/>
          <w:sz w:val="36"/>
          <w:szCs w:val="36"/>
          <w:lang w:val="en-US" w:eastAsia="zh-CN"/>
        </w:rPr>
        <w:t>3</w:t>
      </w:r>
      <w:r>
        <w:rPr>
          <w:rFonts w:hint="eastAsia" w:ascii="宋体" w:hAnsi="宋体" w:eastAsia="宋体" w:cs="宋体"/>
          <w:b/>
          <w:bCs/>
          <w:sz w:val="36"/>
          <w:szCs w:val="36"/>
        </w:rPr>
        <w:t>年度</w:t>
      </w:r>
      <w:r>
        <w:rPr>
          <w:rFonts w:hint="eastAsia" w:ascii="宋体" w:hAnsi="宋体" w:eastAsia="宋体" w:cs="宋体"/>
          <w:b/>
          <w:bCs/>
          <w:sz w:val="36"/>
          <w:szCs w:val="36"/>
          <w:lang w:val="en-US" w:eastAsia="zh-CN"/>
        </w:rPr>
        <w:t>部门</w:t>
      </w:r>
      <w:r>
        <w:rPr>
          <w:rFonts w:ascii="宋体" w:hAnsi="宋体" w:cs="宋体" w:eastAsia="宋体"/>
          <w:b w:val="true"/>
          <w:sz w:val="36"/>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tblPrEx>
          <w:tblCellMar>
            <w:top w:w="0" w:type="dxa"/>
            <w:left w:w="108" w:type="dxa"/>
            <w:bottom w:w="0" w:type="dxa"/>
            <w:right w:w="108" w:type="dxa"/>
          </w:tblCellMar>
        </w:tblPrEx>
        <w:trPr>
          <w:trHeight w:val="544" w:hRule="atLeast"/>
          <w:jc w:val="center"/>
        </w:trPr>
        <w:tc>
          <w:tcPr>
            <w:tcW w:w="10447" w:type="dxa"/>
            <w:gridSpan w:val="5"/>
          </w:tcPr>
          <w:p>
            <w:pPr>
              <w:pageBreakBefore/>
              <w:widowControl w:val="0"/>
              <w:ind w:left="0" w:right="0" w:firstLine="0"/>
              <w:jc w:val="center"/>
              <w:textAlignment w:val="auto"/>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tblPrEx>
          <w:tblCellMar>
            <w:top w:w="0" w:type="dxa"/>
            <w:left w:w="108" w:type="dxa"/>
            <w:bottom w:w="0" w:type="dxa"/>
            <w:right w:w="108" w:type="dxa"/>
          </w:tblCellMar>
        </w:tblPrEx>
        <w:trPr>
          <w:trHeight w:val="348" w:hRule="atLeast"/>
          <w:jc w:val="center"/>
        </w:trPr>
        <w:tc>
          <w:tcPr>
            <w:tcW w:w="3468" w:type="dxa"/>
          </w:tcPr>
          <w:p>
            <w:pPr>
              <w:widowControl w:val="0"/>
              <w:ind w:left="0" w:right="0" w:firstLine="0"/>
              <w:jc w:val="left"/>
              <w:textAlignment w:val="auto"/>
              <w:rPr>
                <w:rFonts w:hint="eastAsia" w:ascii="仿宋" w:hAnsi="仿宋" w:eastAsia="仿宋" w:cs="仿宋"/>
                <w:color w:val="000000"/>
                <w:sz w:val="20"/>
              </w:rPr>
            </w:pPr>
          </w:p>
        </w:tc>
        <w:tc>
          <w:tcPr>
            <w:tcW w:w="1777" w:type="dxa"/>
          </w:tcPr>
          <w:p>
            <w:pPr>
              <w:widowControl w:val="0"/>
              <w:ind w:left="0" w:right="0" w:firstLine="0"/>
              <w:jc w:val="left"/>
              <w:textAlignment w:val="auto"/>
              <w:rPr>
                <w:rFonts w:hint="eastAsia" w:ascii="仿宋" w:hAnsi="仿宋" w:eastAsia="仿宋" w:cs="仿宋"/>
                <w:color w:val="000000"/>
                <w:sz w:val="20"/>
              </w:rPr>
            </w:pPr>
          </w:p>
        </w:tc>
        <w:tc>
          <w:tcPr>
            <w:tcW w:w="5202" w:type="dxa"/>
            <w:gridSpan w:val="3"/>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color w:val="000000"/>
                <w:sz w:val="22"/>
                <w:szCs w:val="22"/>
                <w:lang w:eastAsia="ar-SA"/>
              </w:rPr>
              <w:t>常州市生态环境局</w:t>
            </w:r>
          </w:p>
        </w:tc>
        <w:tc>
          <w:tcPr>
            <w:tcW w:w="3167"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rPr>
              <w:t>金额单位：万元</w:t>
            </w:r>
          </w:p>
        </w:tc>
      </w:tr>
      <w:tr>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支出</w:t>
            </w:r>
          </w:p>
        </w:tc>
      </w:tr>
      <w:tr>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ascii="仿宋" w:hAnsi="仿宋" w:cs="仿宋" w:eastAsia="仿宋"/>
                <w:color w:val="000000"/>
                <w:sz w:val="22"/>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75,990.21</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421.56</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135.58</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68.62</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21.13</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51.44</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75,376.87</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1,029.44</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76,547.35</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76,547.50</w:t>
            </w:r>
          </w:p>
        </w:tc>
      </w:tr>
      <w:tr>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r>
      <w:tr>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0.15</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r>
      <w:tr>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777"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3376" w:type="dxa"/>
            <w:gridSpan w:val="2"/>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826"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r>
      <w:tr>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76,547.50</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76,547.50</w:t>
            </w:r>
          </w:p>
        </w:tc>
      </w:tr>
    </w:tbl>
    <w:p>
      <w:pPr>
        <w:widowControl w:val="0"/>
        <w:suppressAutoHyphens/>
        <w:bidi w:val="0"/>
        <w:spacing w:before="66" w:after="0"/>
        <w:ind w:left="0" w:leftChars="0" w:right="0" w:rightChars="0" w:firstLine="0" w:firstLineChars="0"/>
        <w:jc w:val="both"/>
        <w:rPr>
          <w:rFonts w:hint="eastAsia" w:ascii="仿宋" w:hAnsi="仿宋" w:eastAsia="仿宋" w:cs="仿宋"/>
          <w:b w:val="0"/>
          <w:bCs w:val="0"/>
          <w:color w:val="000000"/>
          <w:sz w:val="22"/>
          <w:szCs w:val="22"/>
          <w:lang w:val="en-US" w:eastAsia="zh-CN"/>
        </w:rPr>
      </w:pPr>
      <w:r>
        <w:rPr>
          <w:rFonts w:hint="eastAsia" w:ascii="仿宋" w:hAnsi="仿宋" w:eastAsia="仿宋" w:cs="仿宋"/>
          <w:b w:val="0"/>
          <w:bCs w:val="0"/>
          <w:color w:val="000000"/>
          <w:sz w:val="22"/>
          <w:szCs w:val="22"/>
          <w:lang w:val="en-US" w:eastAsia="zh-CN"/>
        </w:rPr>
        <w:t>注：本表反映本年度的总收支和年末结转结余情况。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color w:val="000000"/>
          <w:sz w:val="22"/>
          <w:szCs w:val="22"/>
          <w:lang w:val="en-US" w:eastAsia="zh-CN"/>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right="0"/>
        <w:jc w:val="both"/>
        <w:rPr>
          <w:rFonts w:hint="eastAsia" w:ascii="仿宋" w:hAnsi="仿宋" w:eastAsia="仿宋" w:cs="仿宋"/>
          <w:b w:val="0"/>
          <w:bCs w:val="0"/>
          <w:color w:val="000000"/>
          <w:sz w:val="22"/>
          <w:szCs w:val="22"/>
        </w:rPr>
        <w:sectPr>
          <w:footerReference r:id="rId8"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tblPrEx>
          <w:tblCellMar>
            <w:top w:w="0" w:type="dxa"/>
            <w:left w:w="108" w:type="dxa"/>
            <w:bottom w:w="0" w:type="dxa"/>
            <w:right w:w="108" w:type="dxa"/>
          </w:tblCellMar>
        </w:tblPrEx>
        <w:trPr>
          <w:trHeight w:val="403" w:hRule="atLeast"/>
          <w:jc w:val="center"/>
        </w:trPr>
        <w:tc>
          <w:tcPr>
            <w:tcW w:w="16660" w:type="dxa"/>
            <w:gridSpan w:val="10"/>
            <w:vAlign w:val="center"/>
          </w:tcPr>
          <w:p>
            <w:pPr>
              <w:pStyle w:val="5"/>
              <w:widowControl w:val="0"/>
              <w:rPr>
                <w:rFonts w:hint="eastAsia" w:ascii="仿宋" w:hAnsi="仿宋" w:eastAsia="仿宋" w:cs="仿宋"/>
                <w:b/>
                <w:bCs/>
                <w:sz w:val="44"/>
                <w:szCs w:val="44"/>
                <w:lang w:val="en-US" w:eastAsia="zh-CN"/>
              </w:rPr>
            </w:pPr>
            <w:r>
              <w:rPr>
                <w:rFonts w:hint="eastAsia" w:ascii="宋体" w:hAnsi="宋体" w:eastAsia="宋体" w:cs="宋体"/>
                <w:b/>
                <w:bCs/>
                <w:color w:val="000000"/>
                <w:kern w:val="0"/>
                <w:sz w:val="36"/>
                <w:szCs w:val="36"/>
                <w:lang w:val="zh-CN" w:eastAsia="ar-SA" w:bidi="zh-CN"/>
              </w:rPr>
              <w:t>收入决算表</w:t>
            </w:r>
          </w:p>
        </w:tc>
      </w:tr>
      <w:tr>
        <w:tblPrEx>
          <w:tblCellMar>
            <w:top w:w="0" w:type="dxa"/>
            <w:left w:w="108" w:type="dxa"/>
            <w:bottom w:w="0" w:type="dxa"/>
            <w:right w:w="108" w:type="dxa"/>
          </w:tblCellMar>
        </w:tblPrEx>
        <w:trPr>
          <w:trHeight w:val="247" w:hRule="atLeast"/>
          <w:jc w:val="center"/>
        </w:trPr>
        <w:tc>
          <w:tcPr>
            <w:tcW w:w="4357" w:type="dxa"/>
            <w:gridSpan w:val="2"/>
            <w:vAlign w:val="center"/>
          </w:tcPr>
          <w:p>
            <w:pPr>
              <w:pStyle w:val="22"/>
              <w:widowControl w:val="0"/>
              <w:jc w:val="center"/>
              <w:rPr>
                <w:rFonts w:hint="eastAsia" w:ascii="仿宋" w:hAnsi="仿宋" w:eastAsia="仿宋" w:cs="仿宋"/>
              </w:rPr>
            </w:pPr>
          </w:p>
        </w:tc>
        <w:tc>
          <w:tcPr>
            <w:tcW w:w="1716" w:type="dxa"/>
            <w:vAlign w:val="center"/>
          </w:tcPr>
          <w:p>
            <w:pPr>
              <w:pStyle w:val="22"/>
              <w:widowControl w:val="0"/>
              <w:jc w:val="center"/>
              <w:rPr>
                <w:rFonts w:hint="eastAsia" w:ascii="仿宋" w:hAnsi="仿宋" w:eastAsia="仿宋" w:cs="仿宋"/>
              </w:rPr>
            </w:pPr>
          </w:p>
        </w:tc>
        <w:tc>
          <w:tcPr>
            <w:tcW w:w="1728" w:type="dxa"/>
            <w:vAlign w:val="center"/>
          </w:tcPr>
          <w:p>
            <w:pPr>
              <w:pStyle w:val="22"/>
              <w:widowControl w:val="0"/>
              <w:jc w:val="center"/>
              <w:rPr>
                <w:rFonts w:hint="eastAsia" w:ascii="仿宋" w:hAnsi="仿宋" w:eastAsia="仿宋" w:cs="仿宋"/>
              </w:rPr>
            </w:pPr>
          </w:p>
        </w:tc>
        <w:tc>
          <w:tcPr>
            <w:tcW w:w="1686" w:type="dxa"/>
            <w:vAlign w:val="center"/>
          </w:tcPr>
          <w:p>
            <w:pPr>
              <w:pStyle w:val="22"/>
              <w:widowControl w:val="0"/>
              <w:jc w:val="center"/>
              <w:rPr>
                <w:rFonts w:hint="eastAsia" w:ascii="仿宋" w:hAnsi="仿宋" w:eastAsia="仿宋" w:cs="仿宋"/>
              </w:rPr>
            </w:pPr>
          </w:p>
        </w:tc>
        <w:tc>
          <w:tcPr>
            <w:tcW w:w="3207" w:type="dxa"/>
            <w:gridSpan w:val="2"/>
            <w:vAlign w:val="center"/>
          </w:tcPr>
          <w:p>
            <w:pPr>
              <w:pStyle w:val="22"/>
              <w:widowControl w:val="0"/>
              <w:jc w:val="center"/>
              <w:rPr>
                <w:rFonts w:hint="eastAsia" w:ascii="仿宋" w:hAnsi="仿宋" w:eastAsia="仿宋" w:cs="仿宋"/>
              </w:rPr>
            </w:pPr>
          </w:p>
        </w:tc>
        <w:tc>
          <w:tcPr>
            <w:tcW w:w="1263" w:type="dxa"/>
            <w:vAlign w:val="center"/>
          </w:tcPr>
          <w:p>
            <w:pPr>
              <w:pStyle w:val="22"/>
              <w:widowControl w:val="0"/>
              <w:jc w:val="center"/>
              <w:rPr>
                <w:rFonts w:hint="eastAsia" w:ascii="仿宋" w:hAnsi="仿宋" w:eastAsia="仿宋" w:cs="仿宋"/>
              </w:rPr>
            </w:pPr>
          </w:p>
        </w:tc>
        <w:tc>
          <w:tcPr>
            <w:tcW w:w="2703"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公开02表</w:t>
            </w:r>
          </w:p>
        </w:tc>
      </w:tr>
      <w:tr>
        <w:tblPrEx>
          <w:tblCellMar>
            <w:top w:w="0" w:type="dxa"/>
            <w:left w:w="108" w:type="dxa"/>
            <w:bottom w:w="0" w:type="dxa"/>
            <w:right w:w="108" w:type="dxa"/>
          </w:tblCellMar>
        </w:tblPrEx>
        <w:trPr>
          <w:trHeight w:val="247" w:hRule="atLeast"/>
          <w:jc w:val="center"/>
        </w:trPr>
        <w:tc>
          <w:tcPr>
            <w:tcW w:w="13957" w:type="dxa"/>
            <w:gridSpan w:val="8"/>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常州市生态环境局</w:t>
            </w:r>
          </w:p>
        </w:tc>
        <w:tc>
          <w:tcPr>
            <w:tcW w:w="2703"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其他收入</w:t>
            </w:r>
          </w:p>
        </w:tc>
      </w:tr>
      <w:tr>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728"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686"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375"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716"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76,547.35</w:t>
            </w:r>
          </w:p>
        </w:tc>
        <w:tc>
          <w:tcPr>
            <w:tcW w:w="1728"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75,990.21</w:t>
            </w:r>
          </w:p>
        </w:tc>
        <w:tc>
          <w:tcPr>
            <w:tcW w:w="1686"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421.56</w:t>
            </w:r>
          </w:p>
        </w:tc>
        <w:tc>
          <w:tcPr>
            <w:tcW w:w="1263"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135.58</w:t>
            </w:r>
          </w:p>
        </w:tc>
        <w:tc>
          <w:tcPr>
            <w:tcW w:w="1375" w:type="dxa"/>
            <w:tcBorders>
              <w:left w:val="single" w:color="000000" w:sz="4" w:space="0"/>
              <w:bottom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科学技术支出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68.62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68.62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20604</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技术研究与开发</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58.62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58.62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2060499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其他技术研究与开发支出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58.62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58.62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其他科学技术支出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10.00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10.00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2069999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其他科学技术支出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10.00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10.00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21.13</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21.13</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21.13</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21.13</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行政单位离退休</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19.99</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19.99</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事业单位离退休</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1.14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51.44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51.44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51.44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51.44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2101103</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公务员医疗补助</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51.44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51.44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节能环保支出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75,376.72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74,819.58</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421.56</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135.58</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环境保护管理事务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70,582.23</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70,036.95</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409.70</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135.58</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行政运行</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2,983.54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2,983.54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一般行政管理事务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136.08</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136.08</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其他环境保护管理事务支出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67,462.61</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66,917.33</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409.70</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135.58</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21103</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污染防治</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998.04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997.08</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0.96</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2110302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水体</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582.16</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581.20</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0.96</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2110399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其他污染防治支出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415.88</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415.88</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21104</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自然生态保护</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3,498.11</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3,498.11</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2110401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生态保护</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3,498.11</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3,498.11</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21111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污染减排</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287.44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287.44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2111102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生态环境执法监察</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287.44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287.44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其他节能环保支出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10.90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10.90</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2119999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其他节能环保支出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10.90</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10.90</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1,029.44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1,029.44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1,029.44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1,029.44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295.07</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295.07</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459.96</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459.96</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274.41</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274.41</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0"/>
                <w:szCs w:val="20"/>
              </w:rPr>
            </w:pPr>
            <w:r>
              <w:rPr>
                <w:rFonts w:hint="eastAsia" w:ascii="仿宋" w:hAnsi="仿宋" w:eastAsia="仿宋" w:cs="仿宋"/>
                <w:sz w:val="20"/>
                <w:szCs w:val="20"/>
              </w:rPr>
              <w:t/>
            </w:r>
          </w:p>
        </w:tc>
      </w:tr>
    </w:tbl>
    <w:p>
      <w:pPr>
        <w:widowControl w:val="0"/>
        <w:suppressAutoHyphens/>
        <w:bidi w:val="0"/>
        <w:spacing w:before="66" w:after="0"/>
        <w:ind w:left="0" w:leftChars="0" w:right="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color w:val="000000"/>
          <w:sz w:val="22"/>
          <w:szCs w:val="22"/>
        </w:rPr>
        <w:t>注：</w:t>
      </w:r>
      <w:r>
        <w:rPr>
          <w:rFonts w:hint="eastAsia" w:ascii="仿宋" w:hAnsi="仿宋" w:eastAsia="仿宋" w:cs="仿宋"/>
          <w:b w:val="0"/>
          <w:bCs w:val="0"/>
          <w:sz w:val="22"/>
          <w:szCs w:val="22"/>
        </w:rPr>
        <w:t>本表反映本年度取得的各项收入情况。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left="57" w:right="0" w:firstLine="220" w:firstLineChars="100"/>
        <w:jc w:val="both"/>
        <w:rPr>
          <w:rFonts w:hint="eastAsia" w:ascii="仿宋" w:hAnsi="仿宋" w:eastAsia="仿宋" w:cs="仿宋"/>
          <w:b w:val="0"/>
          <w:bCs w:val="0"/>
          <w:sz w:val="22"/>
          <w:szCs w:val="22"/>
        </w:rPr>
        <w:sectPr>
          <w:footerReference r:id="rId9" w:type="default"/>
          <w:pgSz w:w="16838" w:h="11906" w:orient="landscape"/>
          <w:pgMar w:top="720" w:right="113" w:bottom="720" w:left="113"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tblPrEx>
          <w:tblCellMar>
            <w:top w:w="55" w:type="dxa"/>
            <w:left w:w="55" w:type="dxa"/>
            <w:bottom w:w="55" w:type="dxa"/>
            <w:right w:w="55" w:type="dxa"/>
          </w:tblCellMar>
        </w:tblPrEx>
        <w:trPr>
          <w:trHeight w:val="532" w:hRule="atLeast"/>
        </w:trPr>
        <w:tc>
          <w:tcPr>
            <w:tcW w:w="15689" w:type="dxa"/>
            <w:gridSpan w:val="8"/>
            <w:vAlign w:val="center"/>
          </w:tcPr>
          <w:p>
            <w:pPr>
              <w:pStyle w:val="5"/>
              <w:widowControl w:val="0"/>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支出决算表</w:t>
            </w:r>
          </w:p>
        </w:tc>
      </w:tr>
      <w:tr>
        <w:tblPrEx>
          <w:tblCellMar>
            <w:top w:w="55" w:type="dxa"/>
            <w:left w:w="55" w:type="dxa"/>
            <w:bottom w:w="55" w:type="dxa"/>
            <w:right w:w="55" w:type="dxa"/>
          </w:tblCellMar>
        </w:tblPrEx>
        <w:trPr>
          <w:trHeight w:val="227" w:hRule="atLeast"/>
        </w:trPr>
        <w:tc>
          <w:tcPr>
            <w:tcW w:w="5115" w:type="dxa"/>
            <w:gridSpan w:val="2"/>
            <w:vAlign w:val="center"/>
          </w:tcPr>
          <w:p>
            <w:pPr>
              <w:pStyle w:val="22"/>
              <w:widowControl w:val="0"/>
              <w:jc w:val="center"/>
              <w:rPr>
                <w:rFonts w:hint="eastAsia" w:ascii="仿宋" w:hAnsi="仿宋" w:eastAsia="仿宋" w:cs="仿宋"/>
              </w:rPr>
            </w:pPr>
          </w:p>
        </w:tc>
        <w:tc>
          <w:tcPr>
            <w:tcW w:w="2164" w:type="dxa"/>
            <w:vAlign w:val="center"/>
          </w:tcPr>
          <w:p>
            <w:pPr>
              <w:pStyle w:val="22"/>
              <w:widowControl w:val="0"/>
              <w:spacing w:before="0" w:after="0"/>
              <w:ind w:firstLine="0"/>
              <w:jc w:val="center"/>
              <w:rPr>
                <w:rFonts w:hint="eastAsia" w:ascii="仿宋" w:hAnsi="仿宋" w:eastAsia="仿宋" w:cs="仿宋"/>
                <w:sz w:val="20"/>
              </w:rPr>
            </w:pPr>
          </w:p>
        </w:tc>
        <w:tc>
          <w:tcPr>
            <w:tcW w:w="1897" w:type="dxa"/>
            <w:vAlign w:val="center"/>
          </w:tcPr>
          <w:p>
            <w:pPr>
              <w:pStyle w:val="22"/>
              <w:widowControl w:val="0"/>
              <w:spacing w:before="0" w:after="0"/>
              <w:ind w:firstLine="0"/>
              <w:jc w:val="center"/>
              <w:rPr>
                <w:rFonts w:hint="eastAsia" w:ascii="仿宋" w:hAnsi="仿宋" w:eastAsia="仿宋" w:cs="仿宋"/>
                <w:sz w:val="20"/>
              </w:rPr>
            </w:pPr>
          </w:p>
        </w:tc>
        <w:tc>
          <w:tcPr>
            <w:tcW w:w="1739" w:type="dxa"/>
            <w:vAlign w:val="center"/>
          </w:tcPr>
          <w:p>
            <w:pPr>
              <w:pStyle w:val="22"/>
              <w:widowControl w:val="0"/>
              <w:spacing w:before="0" w:after="0"/>
              <w:ind w:firstLine="0"/>
              <w:jc w:val="center"/>
              <w:rPr>
                <w:rFonts w:hint="eastAsia" w:ascii="仿宋" w:hAnsi="仿宋" w:eastAsia="仿宋" w:cs="仿宋"/>
                <w:sz w:val="20"/>
              </w:rPr>
            </w:pPr>
          </w:p>
        </w:tc>
        <w:tc>
          <w:tcPr>
            <w:tcW w:w="1715" w:type="dxa"/>
            <w:vAlign w:val="center"/>
          </w:tcPr>
          <w:p>
            <w:pPr>
              <w:pStyle w:val="22"/>
              <w:widowControl w:val="0"/>
              <w:spacing w:before="0" w:after="0"/>
              <w:ind w:firstLine="0"/>
              <w:jc w:val="center"/>
              <w:rPr>
                <w:rFonts w:hint="eastAsia" w:ascii="仿宋" w:hAnsi="仿宋" w:eastAsia="仿宋" w:cs="仿宋"/>
                <w:sz w:val="20"/>
              </w:rPr>
            </w:pPr>
          </w:p>
        </w:tc>
        <w:tc>
          <w:tcPr>
            <w:tcW w:w="3059"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90" w:hRule="atLeast"/>
        </w:trPr>
        <w:tc>
          <w:tcPr>
            <w:tcW w:w="12630" w:type="dxa"/>
            <w:gridSpan w:val="6"/>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常州市生态环境局</w:t>
            </w:r>
          </w:p>
        </w:tc>
        <w:tc>
          <w:tcPr>
            <w:tcW w:w="3059"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kern w:val="0"/>
                <w:sz w:val="22"/>
                <w:szCs w:val="22"/>
              </w:rPr>
              <w:t>项目</w:t>
            </w:r>
          </w:p>
        </w:tc>
        <w:tc>
          <w:tcPr>
            <w:tcW w:w="2164"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本年支出合计</w:t>
            </w:r>
          </w:p>
        </w:tc>
        <w:tc>
          <w:tcPr>
            <w:tcW w:w="1897"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39"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715"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3"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kern w:val="0"/>
                <w:sz w:val="22"/>
                <w:szCs w:val="22"/>
              </w:rPr>
            </w:pPr>
            <w:r>
              <w:rPr>
                <w:rFonts w:hint="eastAsia" w:ascii="仿宋" w:hAnsi="仿宋" w:eastAsia="仿宋" w:cs="仿宋"/>
                <w:kern w:val="0"/>
                <w:sz w:val="22"/>
                <w:szCs w:val="22"/>
              </w:rPr>
              <w:t>功能分类</w:t>
            </w:r>
          </w:p>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927"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科目名称</w:t>
            </w:r>
          </w:p>
        </w:tc>
        <w:tc>
          <w:tcPr>
            <w:tcW w:w="2164"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897"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739"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715"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633"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26" w:type="dxa"/>
            <w:vMerge w:val="continue"/>
            <w:tcBorders>
              <w:left w:val="single" w:color="000000" w:sz="4" w:space="0"/>
              <w:bottom w:val="single" w:color="000000" w:sz="4" w:space="0"/>
              <w:right w:val="single" w:color="000000" w:sz="4" w:space="0"/>
            </w:tcBorders>
          </w:tcPr>
          <w:p>
            <w:pPr>
              <w:widowControl w:val="0"/>
              <w:spacing w:before="0" w:after="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216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76,547.50</w:t>
            </w:r>
          </w:p>
        </w:tc>
        <w:tc>
          <w:tcPr>
            <w:tcW w:w="189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5,384.63</w:t>
            </w:r>
          </w:p>
        </w:tc>
        <w:tc>
          <w:tcPr>
            <w:tcW w:w="1739"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71,027.29</w:t>
            </w:r>
          </w:p>
        </w:tc>
        <w:tc>
          <w:tcPr>
            <w:tcW w:w="1715"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633"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135.58</w:t>
            </w:r>
          </w:p>
        </w:tc>
        <w:tc>
          <w:tcPr>
            <w:tcW w:w="1426"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科学技术支出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68.62</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68.62</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20604</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技术研究与开发</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58.62</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58.62</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2060499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其他技术研究与开发支出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58.62</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58.62</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其他科学技术支出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2069999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其他科学技术支出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10.00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21.13</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21.13</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21.13</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21.13</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行政单位离退休</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19.99</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19.99</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2080502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事业单位离退休</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1.14</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1.14</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卫生健康支出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51.44</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51.44</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51.44</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51.44</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2101103</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公务员医疗补助</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51.44</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51.44</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节能环保支出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75,376.87</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4,282.62</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70,958.67</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135.58</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环境保护管理事务</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70,582.23</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4,282.62</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66,164.03</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135.58</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行政运行</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2,983.54</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2,983.54</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2110102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一般行政管理事务</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136.08</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136.08</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其他环境保护管理事务支出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67,462.61</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1,299.08</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66,027.95</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135.58</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21103</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污染防治</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998.04</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998.04</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2110302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水体</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582.16</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582.16</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2110399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其他污染防治支出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415.88</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415.88</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21104</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自然生态保护</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3,498.11</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3,498.11</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2110401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生态保护</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3,498.11</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3,498.11</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21111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污染减排</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287.59</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287.59</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2111102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生态环境执法监察</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287.59</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287.59</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其他节能环保支出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10.90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10.90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2119999</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其他节能环保支出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10.90</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10.90</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住房保障支出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1,029.44</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1,029.44</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1,029.44</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1,029.44</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2210201</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295.07</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295.07</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2210202</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459.96</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459.96</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2210203</w:t>
            </w:r>
          </w:p>
        </w:tc>
        <w:tc>
          <w:tcPr>
            <w:tcW w:w="3927"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274.41</w:t>
            </w:r>
          </w:p>
        </w:tc>
        <w:tc>
          <w:tcPr>
            <w:tcW w:w="1897"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274.41</w:t>
            </w:r>
          </w:p>
        </w:tc>
        <w:tc>
          <w:tcPr>
            <w:tcW w:w="1739"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715"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63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2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bl>
    <w:p>
      <w:pPr>
        <w:widowControl w:val="0"/>
        <w:suppressAutoHyphens/>
        <w:bidi w:val="0"/>
        <w:spacing w:before="59" w:after="0"/>
        <w:ind w:left="0" w:leftChars="0" w:right="0" w:firstLine="0" w:firstLineChars="0"/>
        <w:jc w:val="left"/>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注：本表反映本年度各项支出情况。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59" w:after="0"/>
        <w:ind w:left="57" w:right="0" w:firstLine="0"/>
        <w:jc w:val="left"/>
        <w:rPr>
          <w:rFonts w:hint="eastAsia" w:ascii="仿宋" w:hAnsi="仿宋" w:eastAsia="仿宋" w:cs="仿宋"/>
          <w:b w:val="0"/>
          <w:bCs w:val="0"/>
          <w:sz w:val="22"/>
          <w:szCs w:val="22"/>
        </w:rPr>
        <w:sectPr>
          <w:footerReference r:id="rId10" w:type="default"/>
          <w:pgSz w:w="16838" w:h="11906" w:orient="landscape"/>
          <w:pgMar w:top="720" w:right="567" w:bottom="720" w:left="56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tblPrEx>
          <w:tblCellMar>
            <w:top w:w="55" w:type="dxa"/>
            <w:left w:w="55" w:type="dxa"/>
            <w:bottom w:w="55" w:type="dxa"/>
            <w:right w:w="55" w:type="dxa"/>
          </w:tblCellMar>
        </w:tblPrEx>
        <w:trPr>
          <w:trHeight w:val="319" w:hRule="atLeast"/>
        </w:trPr>
        <w:tc>
          <w:tcPr>
            <w:tcW w:w="15372" w:type="dxa"/>
            <w:gridSpan w:val="10"/>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财政拨款收入支出决算总表</w:t>
            </w:r>
          </w:p>
        </w:tc>
      </w:tr>
      <w:tr>
        <w:tblPrEx>
          <w:tblCellMar>
            <w:top w:w="55" w:type="dxa"/>
            <w:left w:w="55" w:type="dxa"/>
            <w:bottom w:w="55" w:type="dxa"/>
            <w:right w:w="55" w:type="dxa"/>
          </w:tblCellMar>
        </w:tblPrEx>
        <w:trPr>
          <w:trHeight w:val="319" w:hRule="atLeast"/>
        </w:trPr>
        <w:tc>
          <w:tcPr>
            <w:tcW w:w="5562" w:type="dxa"/>
            <w:gridSpan w:val="2"/>
          </w:tcPr>
          <w:p>
            <w:pPr>
              <w:pStyle w:val="22"/>
              <w:widowControl w:val="0"/>
              <w:rPr>
                <w:rFonts w:hint="eastAsia" w:ascii="仿宋" w:hAnsi="仿宋" w:eastAsia="仿宋" w:cs="仿宋"/>
                <w:sz w:val="20"/>
              </w:rPr>
            </w:pPr>
          </w:p>
        </w:tc>
        <w:tc>
          <w:tcPr>
            <w:tcW w:w="847" w:type="dxa"/>
          </w:tcPr>
          <w:p>
            <w:pPr>
              <w:pStyle w:val="22"/>
              <w:widowControl w:val="0"/>
              <w:rPr>
                <w:rFonts w:hint="eastAsia" w:ascii="仿宋" w:hAnsi="仿宋" w:eastAsia="仿宋" w:cs="仿宋"/>
                <w:sz w:val="20"/>
              </w:rPr>
            </w:pPr>
          </w:p>
        </w:tc>
        <w:tc>
          <w:tcPr>
            <w:tcW w:w="1913" w:type="dxa"/>
          </w:tcPr>
          <w:p>
            <w:pPr>
              <w:pStyle w:val="22"/>
              <w:widowControl w:val="0"/>
              <w:rPr>
                <w:rFonts w:hint="eastAsia" w:ascii="仿宋" w:hAnsi="仿宋" w:eastAsia="仿宋" w:cs="仿宋"/>
                <w:sz w:val="20"/>
              </w:rPr>
            </w:pPr>
          </w:p>
        </w:tc>
        <w:tc>
          <w:tcPr>
            <w:tcW w:w="2635" w:type="dxa"/>
            <w:gridSpan w:val="2"/>
          </w:tcPr>
          <w:p>
            <w:pPr>
              <w:pStyle w:val="22"/>
              <w:widowControl w:val="0"/>
              <w:rPr>
                <w:rFonts w:hint="eastAsia" w:ascii="仿宋" w:hAnsi="仿宋" w:eastAsia="仿宋" w:cs="仿宋"/>
                <w:sz w:val="20"/>
              </w:rPr>
            </w:pPr>
          </w:p>
        </w:tc>
        <w:tc>
          <w:tcPr>
            <w:tcW w:w="1194" w:type="dxa"/>
          </w:tcPr>
          <w:p>
            <w:pPr>
              <w:pStyle w:val="22"/>
              <w:widowControl w:val="0"/>
              <w:rPr>
                <w:rFonts w:hint="eastAsia" w:ascii="仿宋" w:hAnsi="仿宋" w:eastAsia="仿宋" w:cs="仿宋"/>
                <w:sz w:val="20"/>
              </w:rPr>
            </w:pP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2151" w:type="dxa"/>
            <w:gridSpan w:val="7"/>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sz w:val="22"/>
                <w:szCs w:val="22"/>
              </w:rPr>
              <w:t>常州市生态环境局</w:t>
            </w: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收</w:t>
            </w:r>
            <w:r>
              <w:rPr>
                <w:rFonts w:hint="eastAsia" w:ascii="仿宋" w:hAnsi="仿宋" w:eastAsia="仿宋" w:cs="仿宋"/>
                <w:sz w:val="22"/>
                <w:szCs w:val="22"/>
              </w:rPr>
              <w:tab/>
            </w:r>
            <w:r>
              <w:rPr>
                <w:rFonts w:hint="eastAsia" w:ascii="仿宋" w:hAnsi="仿宋" w:eastAsia="仿宋" w:cs="仿宋"/>
                <w:sz w:val="22"/>
                <w:szCs w:val="22"/>
              </w:rPr>
              <w:t>入</w:t>
            </w:r>
          </w:p>
        </w:tc>
        <w:tc>
          <w:tcPr>
            <w:tcW w:w="9810" w:type="dxa"/>
            <w:gridSpan w:val="8"/>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支</w:t>
            </w:r>
            <w:r>
              <w:rPr>
                <w:rFonts w:hint="eastAsia" w:ascii="仿宋" w:hAnsi="仿宋" w:eastAsia="仿宋" w:cs="仿宋"/>
                <w:sz w:val="22"/>
                <w:szCs w:val="22"/>
              </w:rPr>
              <w:tab/>
            </w:r>
            <w:r>
              <w:rPr>
                <w:rFonts w:hint="eastAsia" w:ascii="仿宋" w:hAnsi="仿宋" w:eastAsia="仿宋" w:cs="仿宋"/>
                <w:sz w:val="22"/>
                <w:szCs w:val="22"/>
              </w:rPr>
              <w:t>出</w:t>
            </w:r>
          </w:p>
        </w:tc>
      </w:tr>
      <w:tr>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1837"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c>
          <w:tcPr>
            <w:tcW w:w="3667" w:type="dxa"/>
            <w:gridSpan w:val="3"/>
            <w:vMerge w:val="restart"/>
            <w:tcBorders>
              <w:left w:val="single" w:color="000000" w:sz="4" w:space="0"/>
              <w:bottom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按功能分类</w:t>
            </w:r>
          </w:p>
        </w:tc>
        <w:tc>
          <w:tcPr>
            <w:tcW w:w="6143" w:type="dxa"/>
            <w:gridSpan w:val="5"/>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r>
      <w:tr>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837"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3667" w:type="dxa"/>
            <w:gridSpan w:val="3"/>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72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小计</w:t>
            </w:r>
          </w:p>
        </w:tc>
        <w:tc>
          <w:tcPr>
            <w:tcW w:w="1415"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一般公共预算财政拨款</w:t>
            </w:r>
          </w:p>
        </w:tc>
        <w:tc>
          <w:tcPr>
            <w:tcW w:w="15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政府性基金预算财政拨款</w:t>
            </w:r>
          </w:p>
        </w:tc>
        <w:tc>
          <w:tcPr>
            <w:tcW w:w="1500"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国有资本经营预算财政拨款</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75,990.21</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68.62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68.62</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51.44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51.44</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74,819.73</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74,819.73</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1,029.44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1,029.44</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b/>
                <w:bCs/>
                <w:sz w:val="22"/>
                <w:szCs w:val="22"/>
              </w:rPr>
              <w:t>本年收入合计</w:t>
            </w:r>
          </w:p>
        </w:tc>
        <w:tc>
          <w:tcPr>
            <w:tcW w:w="1837"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75,990.21</w:t>
            </w:r>
          </w:p>
        </w:tc>
        <w:tc>
          <w:tcPr>
            <w:tcW w:w="3667" w:type="dxa"/>
            <w:gridSpan w:val="3"/>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本年支出合计</w:t>
            </w:r>
          </w:p>
        </w:tc>
        <w:tc>
          <w:tcPr>
            <w:tcW w:w="1728"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75,990.36</w:t>
            </w:r>
          </w:p>
        </w:tc>
        <w:tc>
          <w:tcPr>
            <w:tcW w:w="1415" w:type="dxa"/>
            <w:gridSpan w:val="2"/>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75,990.36</w:t>
            </w:r>
          </w:p>
        </w:tc>
        <w:tc>
          <w:tcPr>
            <w:tcW w:w="1500"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年初财政拨款结转和结余</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0.15</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年末财政拨款结转和结余</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0.15</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83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75,990.36</w:t>
            </w:r>
          </w:p>
        </w:tc>
        <w:tc>
          <w:tcPr>
            <w:tcW w:w="366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72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75,990.36</w:t>
            </w:r>
          </w:p>
        </w:tc>
        <w:tc>
          <w:tcPr>
            <w:tcW w:w="1415" w:type="dxa"/>
            <w:gridSpan w:val="2"/>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75,990.36</w:t>
            </w:r>
          </w:p>
        </w:tc>
        <w:tc>
          <w:tcPr>
            <w:tcW w:w="150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ind w:left="0" w:leftChars="0" w:firstLine="0" w:firstLineChars="0"/>
        <w:jc w:val="both"/>
        <w:rPr>
          <w:rFonts w:hint="eastAsia" w:ascii="仿宋" w:hAnsi="仿宋" w:eastAsia="仿宋" w:cs="仿宋"/>
          <w:b w:val="0"/>
          <w:bCs w:val="0"/>
        </w:rPr>
      </w:pPr>
      <w:r>
        <w:rPr>
          <w:rFonts w:hint="eastAsia" w:ascii="仿宋" w:hAnsi="仿宋" w:eastAsia="仿宋" w:cs="仿宋"/>
          <w:b w:val="0"/>
          <w:bCs w:val="0"/>
          <w:lang w:val="en-US" w:eastAsia="zh-CN"/>
        </w:rPr>
        <w:t>注：</w:t>
      </w:r>
      <w:r>
        <w:rPr>
          <w:rFonts w:hint="eastAsia" w:ascii="仿宋" w:hAnsi="仿宋" w:eastAsia="仿宋" w:cs="仿宋"/>
          <w:b w:val="0"/>
          <w:bCs w:val="0"/>
        </w:rPr>
        <w:t>本表反映本年度一般公共预算财政拨款、政府性基金预算财政拨款和国有资本经营预算财政拨款的总收支和年末结转结余情况。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jc w:val="both"/>
        <w:rPr>
          <w:rFonts w:hint="eastAsia" w:ascii="仿宋" w:hAnsi="仿宋" w:eastAsia="仿宋" w:cs="仿宋"/>
          <w:b w:val="0"/>
          <w:bCs w:val="0"/>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tblPrEx>
          <w:tblCellMar>
            <w:top w:w="55" w:type="dxa"/>
            <w:left w:w="55" w:type="dxa"/>
            <w:bottom w:w="55" w:type="dxa"/>
            <w:right w:w="55" w:type="dxa"/>
          </w:tblCellMar>
        </w:tblPrEx>
        <w:trPr>
          <w:trHeight w:val="321" w:hRule="atLeast"/>
        </w:trPr>
        <w:tc>
          <w:tcPr>
            <w:tcW w:w="15417"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财政拨款支出决算表（功能科目）</w:t>
            </w:r>
          </w:p>
        </w:tc>
      </w:tr>
      <w:tr>
        <w:tblPrEx>
          <w:tblCellMar>
            <w:top w:w="55" w:type="dxa"/>
            <w:left w:w="55" w:type="dxa"/>
            <w:bottom w:w="55" w:type="dxa"/>
            <w:right w:w="55" w:type="dxa"/>
          </w:tblCellMar>
        </w:tblPrEx>
        <w:trPr>
          <w:trHeight w:val="321" w:hRule="atLeast"/>
        </w:trPr>
        <w:tc>
          <w:tcPr>
            <w:tcW w:w="6300" w:type="dxa"/>
            <w:gridSpan w:val="2"/>
          </w:tcPr>
          <w:p>
            <w:pPr>
              <w:pStyle w:val="22"/>
              <w:widowControl w:val="0"/>
              <w:rPr>
                <w:rFonts w:hint="eastAsia" w:ascii="仿宋" w:hAnsi="仿宋" w:eastAsia="仿宋" w:cs="仿宋"/>
                <w:sz w:val="20"/>
              </w:rPr>
            </w:pPr>
          </w:p>
        </w:tc>
        <w:tc>
          <w:tcPr>
            <w:tcW w:w="3184" w:type="dxa"/>
          </w:tcPr>
          <w:p>
            <w:pPr>
              <w:pStyle w:val="22"/>
              <w:widowControl w:val="0"/>
              <w:rPr>
                <w:rFonts w:hint="eastAsia" w:ascii="仿宋" w:hAnsi="仿宋" w:eastAsia="仿宋" w:cs="仿宋"/>
                <w:sz w:val="27"/>
              </w:rPr>
            </w:pPr>
          </w:p>
        </w:tc>
        <w:tc>
          <w:tcPr>
            <w:tcW w:w="5933" w:type="dxa"/>
            <w:gridSpan w:val="2"/>
            <w:vAlign w:val="center"/>
          </w:tcPr>
          <w:p>
            <w:pPr>
              <w:pStyle w:val="22"/>
              <w:widowControl w:val="0"/>
              <w:jc w:val="right"/>
              <w:rPr>
                <w:rFonts w:hint="eastAsia" w:ascii="仿宋" w:hAnsi="仿宋" w:eastAsia="仿宋" w:cs="仿宋"/>
                <w:sz w:val="27"/>
              </w:rPr>
            </w:pPr>
            <w:r>
              <w:rPr>
                <w:rFonts w:hint="eastAsia" w:ascii="仿宋" w:hAnsi="仿宋" w:eastAsia="仿宋" w:cs="仿宋"/>
              </w:rPr>
              <w:t>公开05表</w:t>
            </w:r>
          </w:p>
        </w:tc>
      </w:tr>
      <w:tr>
        <w:tblPrEx>
          <w:tblCellMar>
            <w:top w:w="55" w:type="dxa"/>
            <w:left w:w="55" w:type="dxa"/>
            <w:bottom w:w="55" w:type="dxa"/>
            <w:right w:w="55" w:type="dxa"/>
          </w:tblCellMar>
        </w:tblPrEx>
        <w:trPr>
          <w:trHeight w:val="288" w:hRule="atLeast"/>
        </w:trPr>
        <w:tc>
          <w:tcPr>
            <w:tcW w:w="6300" w:type="dxa"/>
            <w:gridSpan w:val="2"/>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常州市生态环境局</w:t>
            </w:r>
          </w:p>
        </w:tc>
        <w:tc>
          <w:tcPr>
            <w:tcW w:w="3184" w:type="dxa"/>
          </w:tcPr>
          <w:p>
            <w:pPr>
              <w:pStyle w:val="22"/>
              <w:widowControl w:val="0"/>
              <w:rPr>
                <w:rFonts w:hint="eastAsia" w:ascii="仿宋" w:hAnsi="仿宋" w:eastAsia="仿宋" w:cs="仿宋"/>
                <w:sz w:val="27"/>
              </w:rPr>
            </w:pPr>
          </w:p>
        </w:tc>
        <w:tc>
          <w:tcPr>
            <w:tcW w:w="2778" w:type="dxa"/>
            <w:vAlign w:val="center"/>
          </w:tcPr>
          <w:p>
            <w:pPr>
              <w:pStyle w:val="22"/>
              <w:widowControl w:val="0"/>
              <w:jc w:val="right"/>
              <w:rPr>
                <w:rFonts w:hint="eastAsia" w:ascii="仿宋" w:hAnsi="仿宋" w:eastAsia="仿宋" w:cs="仿宋"/>
                <w:sz w:val="27"/>
              </w:rPr>
            </w:pPr>
          </w:p>
        </w:tc>
        <w:tc>
          <w:tcPr>
            <w:tcW w:w="3155"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184"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本年支出合计</w:t>
            </w:r>
          </w:p>
        </w:tc>
        <w:tc>
          <w:tcPr>
            <w:tcW w:w="2778"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功能分类</w:t>
            </w:r>
          </w:p>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502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184"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2778"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3155"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栏次</w:t>
            </w:r>
          </w:p>
        </w:tc>
        <w:tc>
          <w:tcPr>
            <w:tcW w:w="318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1</w:t>
            </w:r>
          </w:p>
        </w:tc>
        <w:tc>
          <w:tcPr>
            <w:tcW w:w="27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2</w:t>
            </w:r>
          </w:p>
        </w:tc>
        <w:tc>
          <w:tcPr>
            <w:tcW w:w="3155"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3</w:t>
            </w:r>
          </w:p>
        </w:tc>
      </w:tr>
      <w:tr>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184"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75,990.36</w:t>
            </w:r>
          </w:p>
        </w:tc>
        <w:tc>
          <w:tcPr>
            <w:tcW w:w="2778"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rPr>
              <w:t>5,384.63</w:t>
            </w:r>
          </w:p>
        </w:tc>
        <w:tc>
          <w:tcPr>
            <w:tcW w:w="3155"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70,605.73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68.62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68.62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技术研究与开发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2060499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其他技术研究与开发支出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2069999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其他科学技术支出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21.13</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19.99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19.99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事业单位离退休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51.44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51.44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51.44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51.44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公务员医疗补助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51.44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51.44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节能环保支出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74,819.73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4,282.62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70,537.11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环境保护管理事务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70,036.95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4,282.62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65,754.33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2,983.54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2,983.54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136.08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136.08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其他环境保护管理事务支出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66,917.33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1,299.08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65,618.25</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污染防治</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997.08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997.08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2110302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水体</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581.20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581.20</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2110399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其他污染防治支出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415.88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415.88</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自然生态保护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3,498.11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3,498.11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2110401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生态保护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3,498.11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3,498.11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污染减排</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287.59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287.59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2111102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生态环境执法监察</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287.59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287.59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1,029.44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1,029.44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1,029.44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1,029.44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295.07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295.07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459.96</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459.96</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274.41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274.41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tabs>
          <w:tab w:val="left" w:pos="0"/>
        </w:tabs>
        <w:suppressAutoHyphens/>
        <w:bidi w:val="0"/>
        <w:spacing w:before="0" w:after="0"/>
        <w:ind w:left="0" w:leftChars="0" w:right="0" w:firstLine="0" w:firstLineChars="0"/>
        <w:jc w:val="both"/>
        <w:rPr>
          <w:rFonts w:hint="eastAsia" w:ascii="仿宋" w:hAnsi="仿宋" w:eastAsia="仿宋" w:cs="仿宋"/>
          <w:b w:val="0"/>
          <w:bCs w:val="0"/>
        </w:rPr>
      </w:pPr>
      <w:r>
        <w:rPr>
          <w:rFonts w:hint="eastAsia" w:ascii="仿宋" w:hAnsi="仿宋" w:eastAsia="仿宋" w:cs="仿宋"/>
          <w:b w:val="0"/>
          <w:bCs w:val="0"/>
        </w:rPr>
        <w:t>注：本表反映本年度一般公共预算财政拨款、政府性基金预算财政拨款和国有资本经营预算财政拨款支出情况。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val="0"/>
          <w:bCs w:val="0"/>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tblPrEx>
          <w:tblCellMar>
            <w:top w:w="55" w:type="dxa"/>
            <w:left w:w="55" w:type="dxa"/>
            <w:bottom w:w="55" w:type="dxa"/>
            <w:right w:w="55" w:type="dxa"/>
          </w:tblCellMar>
        </w:tblPrEx>
        <w:trPr>
          <w:trHeight w:val="319" w:hRule="atLeast"/>
        </w:trPr>
        <w:tc>
          <w:tcPr>
            <w:tcW w:w="10515"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财政拨款基本支出决算表（经济科目）</w:t>
            </w:r>
          </w:p>
        </w:tc>
      </w:tr>
      <w:tr>
        <w:tblPrEx>
          <w:tblCellMar>
            <w:top w:w="55" w:type="dxa"/>
            <w:left w:w="55" w:type="dxa"/>
            <w:bottom w:w="55" w:type="dxa"/>
            <w:right w:w="55" w:type="dxa"/>
          </w:tblCellMar>
        </w:tblPrEx>
        <w:trPr>
          <w:trHeight w:val="319" w:hRule="atLeast"/>
        </w:trPr>
        <w:tc>
          <w:tcPr>
            <w:tcW w:w="4532" w:type="dxa"/>
            <w:gridSpan w:val="2"/>
          </w:tcPr>
          <w:p>
            <w:pPr>
              <w:pStyle w:val="22"/>
              <w:widowControl w:val="0"/>
              <w:rPr>
                <w:rFonts w:hint="eastAsia" w:ascii="仿宋" w:hAnsi="仿宋" w:eastAsia="仿宋" w:cs="仿宋"/>
                <w:sz w:val="20"/>
              </w:rPr>
            </w:pPr>
          </w:p>
        </w:tc>
        <w:tc>
          <w:tcPr>
            <w:tcW w:w="2047" w:type="dxa"/>
          </w:tcPr>
          <w:p>
            <w:pPr>
              <w:pStyle w:val="22"/>
              <w:widowControl w:val="0"/>
              <w:rPr>
                <w:rFonts w:hint="eastAsia" w:ascii="仿宋" w:hAnsi="仿宋" w:eastAsia="仿宋" w:cs="仿宋"/>
                <w:sz w:val="20"/>
              </w:rPr>
            </w:pPr>
          </w:p>
        </w:tc>
        <w:tc>
          <w:tcPr>
            <w:tcW w:w="2040" w:type="dxa"/>
          </w:tcPr>
          <w:p>
            <w:pPr>
              <w:pStyle w:val="22"/>
              <w:widowControl w:val="0"/>
              <w:rPr>
                <w:rFonts w:hint="eastAsia" w:ascii="仿宋" w:hAnsi="仿宋" w:eastAsia="仿宋" w:cs="仿宋"/>
                <w:sz w:val="20"/>
              </w:rPr>
            </w:pP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8619"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sz w:val="22"/>
                <w:szCs w:val="22"/>
              </w:rPr>
              <w:t>常州市生态环境局</w:t>
            </w: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财政拨款基本支出</w:t>
            </w:r>
          </w:p>
        </w:tc>
      </w:tr>
      <w:tr>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5,384.63</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5,193.38</w:t>
            </w:r>
          </w:p>
        </w:tc>
        <w:tc>
          <w:tcPr>
            <w:tcW w:w="1896"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191.25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4,945.30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4,945.30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657.53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657.53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1,627.43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1,627.43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726.30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726.30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512.37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512.37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529.46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529.46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141.80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141.80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121.67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121.67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35.70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466.10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466.10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124.15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124.15</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191.25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191.25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30.75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30.75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6.89</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3.58</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48.93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48.93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21.19</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248.08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248.08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21.53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21.53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203.61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203.61</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12.41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12.41</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tabs>
          <w:tab w:val="left" w:pos="660"/>
          <w:tab w:val="left" w:pos="10780"/>
        </w:tabs>
        <w:suppressAutoHyphens/>
        <w:bidi w:val="0"/>
        <w:spacing w:before="25" w:after="0" w:line="290" w:lineRule="auto"/>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注：本表反映本年度一般公共预算财政拨款、政府性基金预算财政拨款和国有资本经营预算财政拨款基本支出情况。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0" w:after="0" w:line="255" w:lineRule="exact"/>
        <w:jc w:val="both"/>
        <w:rPr>
          <w:rFonts w:hint="eastAsia" w:ascii="仿宋" w:hAnsi="仿宋" w:eastAsia="仿宋" w:cs="仿宋"/>
          <w:b w:val="0"/>
          <w:bCs w:val="0"/>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tblPrEx>
          <w:tblCellMar>
            <w:top w:w="55" w:type="dxa"/>
            <w:left w:w="55" w:type="dxa"/>
            <w:bottom w:w="55" w:type="dxa"/>
            <w:right w:w="55" w:type="dxa"/>
          </w:tblCellMar>
        </w:tblPrEx>
        <w:trPr>
          <w:trHeight w:val="560" w:hRule="atLeast"/>
        </w:trPr>
        <w:tc>
          <w:tcPr>
            <w:tcW w:w="10446"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一般公共预算支出决算表（功能科目）</w:t>
            </w:r>
          </w:p>
        </w:tc>
      </w:tr>
      <w:tr>
        <w:tblPrEx>
          <w:tblCellMar>
            <w:top w:w="55" w:type="dxa"/>
            <w:left w:w="55" w:type="dxa"/>
            <w:bottom w:w="55" w:type="dxa"/>
            <w:right w:w="55" w:type="dxa"/>
          </w:tblCellMar>
        </w:tblPrEx>
        <w:trPr>
          <w:trHeight w:val="147" w:hRule="atLeast"/>
        </w:trPr>
        <w:tc>
          <w:tcPr>
            <w:tcW w:w="5466" w:type="dxa"/>
            <w:gridSpan w:val="2"/>
          </w:tcPr>
          <w:p>
            <w:pPr>
              <w:pStyle w:val="22"/>
              <w:widowControl w:val="0"/>
              <w:rPr>
                <w:rFonts w:hint="eastAsia" w:ascii="仿宋" w:hAnsi="仿宋" w:eastAsia="仿宋" w:cs="仿宋"/>
                <w:sz w:val="20"/>
              </w:rPr>
            </w:pPr>
          </w:p>
        </w:tc>
        <w:tc>
          <w:tcPr>
            <w:tcW w:w="1969" w:type="dxa"/>
          </w:tcPr>
          <w:p>
            <w:pPr>
              <w:pStyle w:val="22"/>
              <w:widowControl w:val="0"/>
              <w:rPr>
                <w:rFonts w:hint="eastAsia" w:ascii="仿宋" w:hAnsi="仿宋" w:eastAsia="仿宋" w:cs="仿宋"/>
                <w:sz w:val="20"/>
              </w:rPr>
            </w:pPr>
          </w:p>
        </w:tc>
        <w:tc>
          <w:tcPr>
            <w:tcW w:w="1499" w:type="dxa"/>
          </w:tcPr>
          <w:p>
            <w:pPr>
              <w:pStyle w:val="22"/>
              <w:widowControl w:val="0"/>
              <w:rPr>
                <w:rFonts w:hint="eastAsia" w:ascii="仿宋" w:hAnsi="仿宋" w:eastAsia="仿宋" w:cs="仿宋"/>
                <w:sz w:val="20"/>
              </w:rPr>
            </w:pPr>
          </w:p>
        </w:tc>
        <w:tc>
          <w:tcPr>
            <w:tcW w:w="1512"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公开07表</w:t>
            </w:r>
          </w:p>
        </w:tc>
      </w:tr>
      <w:tr>
        <w:tblPrEx>
          <w:tblCellMar>
            <w:top w:w="55" w:type="dxa"/>
            <w:left w:w="55" w:type="dxa"/>
            <w:bottom w:w="55" w:type="dxa"/>
            <w:right w:w="55" w:type="dxa"/>
          </w:tblCellMar>
        </w:tblPrEx>
        <w:trPr>
          <w:trHeight w:val="303" w:hRule="atLeast"/>
        </w:trPr>
        <w:tc>
          <w:tcPr>
            <w:tcW w:w="7435" w:type="dxa"/>
            <w:gridSpan w:val="3"/>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常州市生态环境局</w:t>
            </w:r>
          </w:p>
        </w:tc>
        <w:tc>
          <w:tcPr>
            <w:tcW w:w="3011" w:type="dxa"/>
            <w:gridSpan w:val="2"/>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149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512"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3</w:t>
            </w:r>
          </w:p>
        </w:tc>
      </w:tr>
      <w:tr>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75,990.36</w:t>
            </w:r>
          </w:p>
        </w:tc>
        <w:tc>
          <w:tcPr>
            <w:tcW w:w="149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5,384.63</w:t>
            </w:r>
          </w:p>
        </w:tc>
        <w:tc>
          <w:tcPr>
            <w:tcW w:w="1512" w:type="dxa"/>
            <w:tcBorders>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70,605.73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68.62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68.62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技术研究与开发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2060499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其他技术研究与开发支出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58.62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2069999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其他科学技术支出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21.13</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19.99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19.99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事业单位离退休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51.44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51.44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51.44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51.44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51.44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51.44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节能环保支出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74,819.73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4,282.62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70,537.11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环境保护管理事务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70,036.95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4,282.62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65,754.33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2,983.54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2,983.54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136.08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136.08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其他环境保护管理事务支出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66,917.33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1,299.08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65,618.25</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污染防治</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997.08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997.08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2110302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水体</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581.20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581.20</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2110399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其他污染防治支出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415.88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415.88</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自然生态保护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3,498.11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3,498.11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2110401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生态保护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3,498.11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3,498.11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污染减排</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287.59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287.59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2111102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生态环境执法监察</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287.59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287.59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1,029.44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1,029.44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1,029.44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1,029.44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295.07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295.07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459.96</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459.96</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274.41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274.41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tabs>
          <w:tab w:val="left" w:pos="0"/>
        </w:tabs>
        <w:spacing w:before="25" w:after="0"/>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4"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tblPrEx>
          <w:tblCellMar>
            <w:top w:w="55" w:type="dxa"/>
            <w:left w:w="55" w:type="dxa"/>
            <w:bottom w:w="55" w:type="dxa"/>
            <w:right w:w="55" w:type="dxa"/>
          </w:tblCellMar>
        </w:tblPrEx>
        <w:trPr>
          <w:trHeight w:val="319" w:hRule="atLeast"/>
        </w:trPr>
        <w:tc>
          <w:tcPr>
            <w:tcW w:w="10473" w:type="dxa"/>
            <w:gridSpan w:val="5"/>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一般公共预算基本支出决算表（经济科目）</w:t>
            </w:r>
          </w:p>
        </w:tc>
      </w:tr>
      <w:tr>
        <w:tblPrEx>
          <w:tblCellMar>
            <w:top w:w="55" w:type="dxa"/>
            <w:left w:w="55" w:type="dxa"/>
            <w:bottom w:w="55" w:type="dxa"/>
            <w:right w:w="55" w:type="dxa"/>
          </w:tblCellMar>
        </w:tblPrEx>
        <w:trPr>
          <w:trHeight w:val="199" w:hRule="atLeast"/>
        </w:trPr>
        <w:tc>
          <w:tcPr>
            <w:tcW w:w="8595" w:type="dxa"/>
            <w:gridSpan w:val="4"/>
            <w:vAlign w:val="center"/>
          </w:tcPr>
          <w:p>
            <w:pPr>
              <w:pStyle w:val="22"/>
              <w:widowControl w:val="0"/>
              <w:jc w:val="right"/>
              <w:rPr>
                <w:rFonts w:hint="eastAsia" w:ascii="仿宋" w:hAnsi="仿宋" w:eastAsia="仿宋" w:cs="仿宋"/>
                <w:color w:val="000000"/>
                <w:sz w:val="22"/>
                <w:szCs w:val="22"/>
                <w:lang w:eastAsia="zh-CN"/>
              </w:rPr>
            </w:pPr>
          </w:p>
        </w:tc>
        <w:tc>
          <w:tcPr>
            <w:tcW w:w="1878" w:type="dxa"/>
            <w:vAlign w:val="center"/>
          </w:tcPr>
          <w:p>
            <w:pPr>
              <w:pStyle w:val="22"/>
              <w:widowControl w:val="0"/>
              <w:jc w:val="right"/>
              <w:rPr>
                <w:rFonts w:hint="eastAsia" w:ascii="仿宋" w:hAnsi="仿宋" w:eastAsia="仿宋" w:cs="仿宋"/>
              </w:rPr>
            </w:pPr>
            <w:r>
              <w:rPr>
                <w:rFonts w:hint="eastAsia" w:ascii="仿宋" w:hAnsi="仿宋" w:eastAsia="仿宋" w:cs="仿宋"/>
              </w:rPr>
              <w:t>公开08表</w:t>
            </w:r>
          </w:p>
        </w:tc>
      </w:tr>
      <w:tr>
        <w:tblPrEx>
          <w:tblCellMar>
            <w:top w:w="55" w:type="dxa"/>
            <w:left w:w="55" w:type="dxa"/>
            <w:bottom w:w="55" w:type="dxa"/>
            <w:right w:w="55" w:type="dxa"/>
          </w:tblCellMar>
        </w:tblPrEx>
        <w:trPr>
          <w:trHeight w:val="320" w:hRule="atLeast"/>
        </w:trPr>
        <w:tc>
          <w:tcPr>
            <w:tcW w:w="8595"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常州市生态环境局</w:t>
            </w:r>
          </w:p>
        </w:tc>
        <w:tc>
          <w:tcPr>
            <w:tcW w:w="1878"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一般公共预算财政拨款基本支出</w:t>
            </w:r>
          </w:p>
        </w:tc>
      </w:tr>
      <w:tr>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5,384.63</w:t>
            </w:r>
          </w:p>
        </w:tc>
        <w:tc>
          <w:tcPr>
            <w:tcW w:w="170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5,193.38</w:t>
            </w:r>
          </w:p>
        </w:tc>
        <w:tc>
          <w:tcPr>
            <w:tcW w:w="187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191.25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4,945.30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4,945.30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657.53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657.53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1,627.43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1,627.43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726.30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726.30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512.37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512.37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529.46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529.46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141.80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141.80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121.67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121.67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35.70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35.70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466.10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466.10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124.15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124.15</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191.25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191.25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30.75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30.75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6.89</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3.58</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48.93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48.93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21.19</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248.08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248.08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21.53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21.53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203.61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203.61</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12.41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12.41</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spacing w:before="25" w:after="0"/>
        <w:ind w:left="0" w:leftChars="0" w:right="-92" w:rightChars="-42"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tblPrEx>
          <w:tblCellMar>
            <w:top w:w="55" w:type="dxa"/>
            <w:left w:w="55" w:type="dxa"/>
            <w:bottom w:w="55" w:type="dxa"/>
            <w:right w:w="55" w:type="dxa"/>
          </w:tblCellMar>
        </w:tblPrEx>
        <w:trPr>
          <w:trHeight w:val="321" w:hRule="atLeast"/>
        </w:trPr>
        <w:tc>
          <w:tcPr>
            <w:tcW w:w="16486" w:type="dxa"/>
            <w:gridSpan w:val="16"/>
          </w:tcPr>
          <w:p>
            <w:pPr>
              <w:pStyle w:val="22"/>
              <w:widowControl w:val="0"/>
              <w:jc w:val="center"/>
              <w:rPr>
                <w:rFonts w:hint="eastAsia" w:ascii="仿宋" w:hAnsi="仿宋" w:eastAsia="仿宋" w:cs="仿宋"/>
                <w:b/>
                <w:bCs/>
                <w:sz w:val="44"/>
                <w:szCs w:val="44"/>
              </w:rPr>
            </w:pPr>
            <w:r>
              <w:rPr>
                <w:rFonts w:hint="eastAsia" w:cs="宋体"/>
                <w:b/>
                <w:bCs/>
                <w:color w:val="000000"/>
                <w:kern w:val="0"/>
                <w:sz w:val="36"/>
                <w:szCs w:val="36"/>
                <w:lang w:val="en-US" w:eastAsia="ar-SA" w:bidi="zh-CN"/>
              </w:rPr>
              <w:t>财政拨款</w:t>
            </w:r>
            <w:r>
              <w:rPr>
                <w:rFonts w:hint="eastAsia" w:ascii="宋体" w:hAnsi="宋体" w:eastAsia="宋体" w:cs="宋体"/>
                <w:b/>
                <w:bCs/>
                <w:color w:val="000000"/>
                <w:kern w:val="0"/>
                <w:sz w:val="36"/>
                <w:szCs w:val="36"/>
                <w:lang w:val="zh-CN" w:eastAsia="ar-SA" w:bidi="zh-CN"/>
              </w:rPr>
              <w:t>“三公”经费、会议费、培训费支出决算表</w:t>
            </w:r>
          </w:p>
        </w:tc>
      </w:tr>
      <w:tr>
        <w:tblPrEx>
          <w:tblCellMar>
            <w:top w:w="55" w:type="dxa"/>
            <w:left w:w="55" w:type="dxa"/>
            <w:bottom w:w="55" w:type="dxa"/>
            <w:right w:w="55" w:type="dxa"/>
          </w:tblCellMar>
        </w:tblPrEx>
        <w:trPr>
          <w:trHeight w:val="207" w:hRule="atLeast"/>
        </w:trPr>
        <w:tc>
          <w:tcPr>
            <w:tcW w:w="16486" w:type="dxa"/>
            <w:gridSpan w:val="16"/>
          </w:tcPr>
          <w:p>
            <w:pPr>
              <w:pStyle w:val="22"/>
              <w:widowControl w:val="0"/>
              <w:jc w:val="right"/>
              <w:rPr>
                <w:rFonts w:hint="eastAsia" w:ascii="仿宋" w:hAnsi="仿宋" w:eastAsia="仿宋" w:cs="仿宋"/>
                <w:sz w:val="20"/>
              </w:rPr>
            </w:pPr>
            <w:r>
              <w:rPr>
                <w:rFonts w:hint="eastAsia" w:ascii="仿宋" w:hAnsi="仿宋" w:eastAsia="仿宋" w:cs="仿宋"/>
              </w:rPr>
              <w:t>公开09表</w:t>
            </w:r>
          </w:p>
        </w:tc>
      </w:tr>
      <w:tr>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常州市生态环境局</w:t>
            </w:r>
          </w:p>
        </w:tc>
        <w:tc>
          <w:tcPr>
            <w:tcW w:w="8274" w:type="dxa"/>
            <w:gridSpan w:val="8"/>
            <w:tcBorders>
              <w:bottom w:val="single" w:color="auto" w:sz="4" w:space="0"/>
            </w:tcBorders>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rPr>
            </w:pPr>
            <w:r>
              <w:rPr>
                <w:rFonts w:hint="eastAsia" w:ascii="仿宋" w:hAnsi="仿宋" w:eastAsia="仿宋" w:cs="仿宋"/>
                <w:lang w:val="en-US" w:eastAsia="zh-CN"/>
              </w:rPr>
              <w:t>预算数</w:t>
            </w:r>
          </w:p>
        </w:tc>
        <w:tc>
          <w:tcPr>
            <w:tcW w:w="8274"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决算数</w:t>
            </w:r>
          </w:p>
        </w:tc>
      </w:tr>
      <w:tr>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r>
      <w:tr>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pPr>
              <w:widowControl w:val="0"/>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r>
      <w:tr>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02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
            </w:r>
            <w:r>
              <w:rPr>
                <w:rFonts w:ascii="仿宋" w:hAnsi="仿宋" w:cs="仿宋" w:eastAsia="仿宋"/>
              </w:rPr>
              <w:t>小计</w:t>
            </w:r>
          </w:p>
        </w:tc>
        <w:tc>
          <w:tcPr>
            <w:tcW w:w="1089"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4.35</w:t>
            </w:r>
          </w:p>
        </w:tc>
        <w:tc>
          <w:tcPr>
            <w:tcW w:w="104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4.35</w:t>
            </w:r>
          </w:p>
        </w:tc>
        <w:tc>
          <w:tcPr>
            <w:tcW w:w="104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7.44</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66.70</w:t>
            </w:r>
          </w:p>
        </w:tc>
        <w:tc>
          <w:tcPr>
            <w:tcW w:w="10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3.58</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3.58</w:t>
            </w:r>
          </w:p>
        </w:tc>
        <w:tc>
          <w:tcPr>
            <w:tcW w:w="1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6.81</w:t>
            </w:r>
          </w:p>
        </w:tc>
        <w:tc>
          <w:tcPr>
            <w:tcW w:w="102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63.33</w:t>
            </w:r>
          </w:p>
        </w:tc>
      </w:tr>
    </w:tbl>
    <w:p>
      <w:pPr>
        <w:spacing w:before="30" w:after="33"/>
        <w:ind w:left="220" w:leftChars="100" w:firstLine="0" w:firstLineChars="0"/>
        <w:rPr>
          <w:rFonts w:hint="eastAsia" w:ascii="仿宋" w:hAnsi="仿宋" w:eastAsia="仿宋" w:cs="仿宋"/>
          <w:sz w:val="22"/>
          <w:szCs w:val="22"/>
        </w:rPr>
      </w:pPr>
      <w:r>
        <w:rPr>
          <w:rFonts w:hint="eastAsia" w:ascii="仿宋" w:hAnsi="仿宋" w:eastAsia="仿宋" w:cs="仿宋"/>
          <w:sz w:val="22"/>
          <w:szCs w:val="22"/>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
            </w:r>
            <w:r>
              <w:rPr>
                <w:rFonts w:ascii="仿宋" w:hAnsi="仿宋" w:cs="仿宋" w:eastAsia="仿宋"/>
                <w:sz w:val="22"/>
              </w:rPr>
              <w:t>项目</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项目</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29</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325</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29</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531</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27</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354</w:t>
            </w:r>
          </w:p>
        </w:tc>
      </w:tr>
    </w:tbl>
    <w:p>
      <w:pPr>
        <w:widowControl w:val="0"/>
        <w:suppressAutoHyphens/>
        <w:bidi w:val="0"/>
        <w:spacing w:before="0" w:after="0"/>
        <w:ind w:left="0" w:leftChars="0" w:right="-2"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widowControl w:val="0"/>
        <w:suppressAutoHyphens/>
        <w:bidi w:val="0"/>
        <w:spacing w:before="0" w:after="0"/>
        <w:ind w:left="227" w:right="0" w:firstLine="220" w:firstLineChars="100"/>
        <w:jc w:val="both"/>
        <w:rPr>
          <w:rFonts w:hint="eastAsia" w:ascii="仿宋" w:hAnsi="仿宋" w:eastAsia="仿宋" w:cs="仿宋"/>
          <w:b w:val="0"/>
          <w:bCs w:val="0"/>
          <w:sz w:val="22"/>
          <w:szCs w:val="22"/>
        </w:rPr>
        <w:sectPr>
          <w:footerReference r:id="rId16" w:type="default"/>
          <w:pgSz w:w="16838" w:h="11906" w:orient="landscape"/>
          <w:pgMar w:top="720" w:right="153" w:bottom="720" w:left="153"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政府性基金预算支出决算表</w:t>
            </w:r>
          </w:p>
        </w:tc>
      </w:tr>
      <w:tr>
        <w:tblPrEx>
          <w:tblCellMar>
            <w:top w:w="55" w:type="dxa"/>
            <w:left w:w="55" w:type="dxa"/>
            <w:bottom w:w="55" w:type="dxa"/>
            <w:right w:w="55" w:type="dxa"/>
          </w:tblCellMar>
        </w:tblPrEx>
        <w:trPr>
          <w:trHeight w:val="323" w:hRule="atLeast"/>
        </w:trPr>
        <w:tc>
          <w:tcPr>
            <w:tcW w:w="8426" w:type="dxa"/>
            <w:gridSpan w:val="2"/>
          </w:tcPr>
          <w:p>
            <w:pPr>
              <w:pStyle w:val="22"/>
              <w:widowControl w:val="0"/>
              <w:rPr>
                <w:rFonts w:hint="eastAsia" w:ascii="仿宋" w:hAnsi="仿宋" w:eastAsia="仿宋" w:cs="仿宋"/>
                <w:sz w:val="20"/>
              </w:rPr>
            </w:pPr>
          </w:p>
        </w:tc>
        <w:tc>
          <w:tcPr>
            <w:tcW w:w="2684" w:type="dxa"/>
          </w:tcPr>
          <w:p>
            <w:pPr>
              <w:pStyle w:val="22"/>
              <w:widowControl w:val="0"/>
              <w:rPr>
                <w:rFonts w:hint="eastAsia" w:ascii="仿宋" w:hAnsi="仿宋" w:eastAsia="仿宋" w:cs="仿宋"/>
                <w:sz w:val="27"/>
              </w:rPr>
            </w:pPr>
          </w:p>
        </w:tc>
        <w:tc>
          <w:tcPr>
            <w:tcW w:w="2432" w:type="dxa"/>
          </w:tcPr>
          <w:p>
            <w:pPr>
              <w:pStyle w:val="22"/>
              <w:widowControl w:val="0"/>
              <w:rPr>
                <w:rFonts w:hint="eastAsia" w:ascii="仿宋" w:hAnsi="仿宋" w:eastAsia="仿宋" w:cs="仿宋"/>
                <w:sz w:val="20"/>
              </w:rPr>
            </w:pP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公开10表</w:t>
            </w:r>
          </w:p>
        </w:tc>
      </w:tr>
      <w:tr>
        <w:tblPrEx>
          <w:tblCellMar>
            <w:top w:w="55" w:type="dxa"/>
            <w:left w:w="55" w:type="dxa"/>
            <w:bottom w:w="55" w:type="dxa"/>
            <w:right w:w="55" w:type="dxa"/>
          </w:tblCellMar>
        </w:tblPrEx>
        <w:trPr>
          <w:trHeight w:val="152" w:hRule="atLeast"/>
        </w:trPr>
        <w:tc>
          <w:tcPr>
            <w:tcW w:w="13542"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常州市生态环境局</w:t>
            </w: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43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43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bl>
    <w:p>
      <w:pPr>
        <w:spacing w:before="25" w:after="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注：本表反映本年度政府性基金预算财政拨款支出情况。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spacing w:before="25" w:after="0"/>
        <w:ind w:left="440" w:leftChars="200"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w:r>
      <w:r>
        <w:rPr>
          <w:rFonts w:ascii="仿宋" w:hAnsi="仿宋" w:cs="仿宋" w:eastAsia="仿宋"/>
          <w:sz w:val="22"/>
        </w:rPr>
        <w:t>本</w:t>
      </w:r>
      <w:r>
        <w:rPr>
          <w:rFonts w:ascii="仿宋" w:hAnsi="仿宋" w:cs="仿宋" w:eastAsia="仿宋"/>
          <w:sz w:val="22"/>
        </w:rPr>
        <w:t>部门</w:t>
      </w:r>
      <w:r>
        <w:rPr>
          <w:rFonts w:ascii="仿宋" w:hAnsi="仿宋" w:cs="仿宋" w:eastAsia="仿宋"/>
          <w:sz w:val="22"/>
        </w:rPr>
        <w:t>无政府性基金预算收入支出决算，故本表为空。</w:t>
      </w:r>
      <w:r>
        <w:rPr>
          <w:rFonts w:ascii="仿宋" w:hAnsi="仿宋" w:cs="仿宋" w:eastAsia="仿宋"/>
          <w:sz w:val="22"/>
        </w:rPr>
        <w:t/>
      </w:r>
    </w:p>
    <w:p>
      <w:pPr>
        <w:widowControl w:val="0"/>
        <w:numPr>
          <w:ilvl w:val="0"/>
          <w:numId w:val="0"/>
        </w:numPr>
        <w:suppressAutoHyphens/>
        <w:bidi w:val="0"/>
        <w:spacing w:before="25" w:after="0"/>
        <w:jc w:val="both"/>
        <w:rPr>
          <w:rFonts w:hint="default" w:ascii="仿宋" w:hAnsi="仿宋" w:eastAsia="仿宋" w:cs="仿宋"/>
          <w:b w:val="0"/>
          <w:bCs w:val="0"/>
          <w:sz w:val="22"/>
          <w:szCs w:val="22"/>
          <w:lang w:val="en-US" w:eastAsia="zh-CN"/>
        </w:rPr>
        <w:sectPr>
          <w:footerReference r:id="rId17"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国有资本经营预算支出决算表</w:t>
            </w:r>
          </w:p>
        </w:tc>
      </w:tr>
      <w:tr>
        <w:tblPrEx>
          <w:tblCellMar>
            <w:top w:w="55" w:type="dxa"/>
            <w:left w:w="55" w:type="dxa"/>
            <w:bottom w:w="55" w:type="dxa"/>
            <w:right w:w="55" w:type="dxa"/>
          </w:tblCellMar>
        </w:tblPrEx>
        <w:trPr>
          <w:trHeight w:val="323" w:hRule="atLeast"/>
        </w:trPr>
        <w:tc>
          <w:tcPr>
            <w:tcW w:w="8520" w:type="dxa"/>
            <w:gridSpan w:val="2"/>
          </w:tcPr>
          <w:p>
            <w:pPr>
              <w:pStyle w:val="22"/>
              <w:widowControl w:val="0"/>
              <w:rPr>
                <w:rFonts w:hint="eastAsia" w:ascii="仿宋" w:hAnsi="仿宋" w:eastAsia="仿宋" w:cs="仿宋"/>
                <w:sz w:val="20"/>
              </w:rPr>
            </w:pPr>
          </w:p>
        </w:tc>
        <w:tc>
          <w:tcPr>
            <w:tcW w:w="2510" w:type="dxa"/>
          </w:tcPr>
          <w:p>
            <w:pPr>
              <w:pStyle w:val="22"/>
              <w:widowControl w:val="0"/>
              <w:rPr>
                <w:rFonts w:hint="eastAsia" w:ascii="仿宋" w:hAnsi="仿宋" w:eastAsia="仿宋" w:cs="仿宋"/>
                <w:sz w:val="27"/>
              </w:rPr>
            </w:pPr>
          </w:p>
        </w:tc>
        <w:tc>
          <w:tcPr>
            <w:tcW w:w="2309" w:type="dxa"/>
          </w:tcPr>
          <w:p>
            <w:pPr>
              <w:pStyle w:val="22"/>
              <w:widowControl w:val="0"/>
              <w:rPr>
                <w:rFonts w:hint="eastAsia" w:ascii="仿宋" w:hAnsi="仿宋" w:eastAsia="仿宋" w:cs="仿宋"/>
                <w:sz w:val="20"/>
              </w:rPr>
            </w:pP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eastAsia="zh-CN"/>
              </w:rPr>
              <w:t>1</w:t>
            </w:r>
            <w:r>
              <w:rPr>
                <w:rFonts w:hint="eastAsia" w:ascii="仿宋" w:hAnsi="仿宋" w:eastAsia="仿宋" w:cs="仿宋"/>
              </w:rPr>
              <w:t>表</w:t>
            </w:r>
          </w:p>
        </w:tc>
      </w:tr>
      <w:tr>
        <w:tblPrEx>
          <w:tblCellMar>
            <w:top w:w="55" w:type="dxa"/>
            <w:left w:w="55" w:type="dxa"/>
            <w:bottom w:w="55" w:type="dxa"/>
            <w:right w:w="55" w:type="dxa"/>
          </w:tblCellMar>
        </w:tblPrEx>
        <w:trPr>
          <w:trHeight w:val="152" w:hRule="atLeast"/>
        </w:trPr>
        <w:tc>
          <w:tcPr>
            <w:tcW w:w="13339"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常州市生态环境局</w:t>
            </w: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30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30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61"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bl>
    <w:p>
      <w:pPr>
        <w:bidi w:val="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w:r>
      <w:r>
        <w:rPr>
          <w:rFonts w:ascii="仿宋" w:hAnsi="仿宋" w:cs="仿宋" w:eastAsia="仿宋"/>
          <w:sz w:val="22"/>
        </w:rPr>
        <w:t>本</w:t>
      </w:r>
      <w:r>
        <w:rPr>
          <w:rFonts w:ascii="仿宋" w:hAnsi="仿宋" w:cs="仿宋" w:eastAsia="仿宋"/>
          <w:sz w:val="22"/>
        </w:rPr>
        <w:t>部门</w:t>
      </w:r>
      <w:r>
        <w:rPr>
          <w:rFonts w:ascii="仿宋" w:hAnsi="仿宋" w:cs="仿宋" w:eastAsia="仿宋"/>
          <w:sz w:val="22"/>
        </w:rPr>
        <w:t>无</w:t>
      </w:r>
      <w:r>
        <w:rPr>
          <w:rFonts w:hint="eastAsia" w:ascii="仿宋" w:hAnsi="仿宋" w:eastAsia="仿宋" w:cs="仿宋"/>
          <w:b w:val="0"/>
          <w:bCs w:val="0"/>
          <w:sz w:val="22"/>
          <w:szCs w:val="22"/>
        </w:rPr>
        <w:t>国有资本经营预算支出</w:t>
      </w:r>
      <w:r>
        <w:rPr>
          <w:rFonts w:hint="eastAsia" w:ascii="仿宋" w:hAnsi="仿宋" w:eastAsia="仿宋" w:cs="仿宋"/>
          <w:b w:val="0"/>
          <w:bCs w:val="0"/>
          <w:sz w:val="22"/>
          <w:szCs w:val="22"/>
          <w:lang w:val="en-US" w:eastAsia="zh-CN"/>
        </w:rPr>
        <w:t>决算，故本表为空。</w:t>
      </w:r>
      <w:r>
        <w:rPr>
          <w:rFonts w:ascii="仿宋" w:hAnsi="仿宋" w:cs="仿宋" w:eastAsia="仿宋"/>
          <w:sz w:val="22"/>
        </w:rPr>
        <w:t/>
      </w:r>
    </w:p>
    <w:p>
      <w:pPr>
        <w:spacing w:before="25" w:after="0"/>
        <w:ind w:left="-220" w:leftChars="-100" w:firstLine="0" w:firstLineChars="0"/>
        <w:jc w:val="both"/>
        <w:rPr>
          <w:rFonts w:hint="default" w:ascii="仿宋" w:hAnsi="仿宋" w:eastAsia="仿宋" w:cs="仿宋"/>
          <w:b w:val="0"/>
          <w:bCs w:val="0"/>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tblPrEx>
          <w:tblCellMar>
            <w:top w:w="55" w:type="dxa"/>
            <w:left w:w="55" w:type="dxa"/>
            <w:bottom w:w="55" w:type="dxa"/>
            <w:right w:w="55" w:type="dxa"/>
          </w:tblCellMar>
        </w:tblPrEx>
        <w:trPr>
          <w:trHeight w:val="319" w:hRule="atLeast"/>
        </w:trPr>
        <w:tc>
          <w:tcPr>
            <w:tcW w:w="10466" w:type="dxa"/>
            <w:gridSpan w:val="3"/>
          </w:tcPr>
          <w:p>
            <w:pPr>
              <w:pStyle w:val="22"/>
              <w:widowControl w:val="0"/>
              <w:tabs>
                <w:tab w:val="left" w:pos="610"/>
              </w:tabs>
              <w:spacing w:before="28" w:after="0"/>
              <w:ind w:left="8" w:firstLine="0"/>
              <w:jc w:val="center"/>
              <w:rPr>
                <w:rFonts w:hint="eastAsia" w:ascii="仿宋" w:hAnsi="仿宋" w:eastAsia="仿宋" w:cs="仿宋"/>
                <w:b/>
                <w:bCs/>
                <w:sz w:val="44"/>
                <w:szCs w:val="44"/>
              </w:rPr>
            </w:pPr>
            <w:r>
              <w:rPr>
                <w:rFonts w:hint="eastAsia" w:cs="宋体"/>
                <w:b/>
                <w:bCs/>
                <w:color w:val="000000"/>
                <w:kern w:val="0"/>
                <w:sz w:val="36"/>
                <w:szCs w:val="36"/>
                <w:lang w:val="en-US" w:eastAsia="ar-SA" w:bidi="zh-CN"/>
              </w:rPr>
              <w:t>财政拨款</w:t>
            </w:r>
            <w:r>
              <w:rPr>
                <w:rFonts w:hint="eastAsia" w:ascii="宋体" w:hAnsi="宋体" w:eastAsia="宋体" w:cs="宋体"/>
                <w:b/>
                <w:bCs/>
                <w:color w:val="000000"/>
                <w:kern w:val="0"/>
                <w:sz w:val="36"/>
                <w:szCs w:val="36"/>
                <w:lang w:val="zh-CN" w:eastAsia="ar-SA" w:bidi="zh-CN"/>
              </w:rPr>
              <w:t>机关运行经费支出决算表</w:t>
            </w:r>
          </w:p>
        </w:tc>
      </w:tr>
      <w:tr>
        <w:tblPrEx>
          <w:tblCellMar>
            <w:top w:w="55" w:type="dxa"/>
            <w:left w:w="55" w:type="dxa"/>
            <w:bottom w:w="55" w:type="dxa"/>
            <w:right w:w="55" w:type="dxa"/>
          </w:tblCellMar>
        </w:tblPrEx>
        <w:trPr>
          <w:trHeight w:val="90" w:hRule="atLeast"/>
        </w:trPr>
        <w:tc>
          <w:tcPr>
            <w:tcW w:w="6632" w:type="dxa"/>
            <w:gridSpan w:val="2"/>
          </w:tcPr>
          <w:p>
            <w:pPr>
              <w:pStyle w:val="22"/>
              <w:widowControl w:val="0"/>
              <w:rPr>
                <w:rFonts w:hint="eastAsia" w:ascii="仿宋" w:hAnsi="仿宋" w:eastAsia="仿宋" w:cs="仿宋"/>
                <w:sz w:val="20"/>
              </w:rPr>
            </w:pPr>
          </w:p>
        </w:tc>
        <w:tc>
          <w:tcPr>
            <w:tcW w:w="3834"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6632" w:type="dxa"/>
            <w:gridSpan w:val="2"/>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常州市生态环境局</w:t>
            </w:r>
          </w:p>
        </w:tc>
        <w:tc>
          <w:tcPr>
            <w:tcW w:w="3834"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机关运行经费支出决算</w:t>
            </w:r>
          </w:p>
        </w:tc>
      </w:tr>
      <w:tr>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834"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834"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137.95</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137.95</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5.72</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1.44</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0.22</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6.50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3.34</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1.93</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1.77</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5.45</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3.32</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30.00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43.46</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21.19</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13.60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bl>
    <w:p>
      <w:pPr>
        <w:spacing w:before="25" w:after="0"/>
        <w:ind w:left="0" w:leftChars="0" w:right="-92" w:rightChars="-42"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注：“机关运行经费” 指行政单位（含参照公务员法管理的事业单位）使用</w:t>
      </w:r>
      <w:r>
        <w:rPr>
          <w:rFonts w:hint="eastAsia" w:ascii="仿宋" w:hAnsi="仿宋" w:eastAsia="仿宋" w:cs="仿宋"/>
          <w:b w:val="0"/>
          <w:bCs w:val="0"/>
          <w:sz w:val="22"/>
          <w:szCs w:val="22"/>
          <w:lang w:val="en-US" w:eastAsia="zh-CN"/>
        </w:rPr>
        <w:t>财政拨款</w:t>
      </w:r>
      <w:r>
        <w:rPr>
          <w:rFonts w:hint="eastAsia" w:ascii="仿宋" w:hAnsi="仿宋" w:eastAsia="仿宋" w:cs="仿宋"/>
          <w:b w:val="0"/>
          <w:bCs w:val="0"/>
          <w:sz w:val="22"/>
          <w:szCs w:val="22"/>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numPr>
          <w:ilvl w:val="0"/>
          <w:numId w:val="0"/>
        </w:numPr>
        <w:tabs>
          <w:tab w:val="left" w:pos="440"/>
        </w:tabs>
        <w:spacing w:before="25" w:after="0"/>
        <w:ind w:left="440" w:leftChars="200" w:firstLine="0" w:firstLineChars="0"/>
        <w:jc w:val="both"/>
        <w:rPr>
          <w:rFonts w:hint="eastAsia" w:ascii="仿宋" w:hAnsi="仿宋" w:eastAsia="仿宋" w:cs="仿宋"/>
          <w:b w:val="0"/>
          <w:bCs w:val="0"/>
          <w:sz w:val="22"/>
          <w:szCs w:val="22"/>
          <w:lang w:val="en-US" w:eastAsia="zh-CN"/>
        </w:rPr>
        <w:sectPr>
          <w:footerReference r:id="rId18" w:type="default"/>
          <w:type w:val="continuous"/>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tblPrEx>
          <w:tblCellMar>
            <w:top w:w="55" w:type="dxa"/>
            <w:left w:w="55" w:type="dxa"/>
            <w:bottom w:w="55" w:type="dxa"/>
            <w:right w:w="55" w:type="dxa"/>
          </w:tblCellMar>
        </w:tblPrEx>
        <w:trPr>
          <w:trHeight w:val="333" w:hRule="atLeast"/>
        </w:trPr>
        <w:tc>
          <w:tcPr>
            <w:tcW w:w="10459" w:type="dxa"/>
            <w:gridSpan w:val="4"/>
            <w:vAlign w:val="center"/>
          </w:tcPr>
          <w:p>
            <w:pPr>
              <w:pStyle w:val="22"/>
              <w:widowControl w:val="0"/>
              <w:bidi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政府采购支出决算表</w:t>
            </w:r>
          </w:p>
        </w:tc>
      </w:tr>
      <w:tr>
        <w:tblPrEx>
          <w:tblCellMar>
            <w:top w:w="55" w:type="dxa"/>
            <w:left w:w="55" w:type="dxa"/>
            <w:bottom w:w="55" w:type="dxa"/>
            <w:right w:w="55" w:type="dxa"/>
          </w:tblCellMar>
        </w:tblPrEx>
        <w:trPr>
          <w:trHeight w:val="333" w:hRule="atLeast"/>
        </w:trPr>
        <w:tc>
          <w:tcPr>
            <w:tcW w:w="4472" w:type="dxa"/>
          </w:tcPr>
          <w:p>
            <w:pPr>
              <w:pStyle w:val="22"/>
              <w:widowControl w:val="0"/>
              <w:bidi w:val="0"/>
              <w:rPr>
                <w:rFonts w:hint="eastAsia" w:ascii="仿宋" w:hAnsi="仿宋" w:eastAsia="仿宋" w:cs="仿宋"/>
              </w:rPr>
            </w:pPr>
          </w:p>
        </w:tc>
        <w:tc>
          <w:tcPr>
            <w:tcW w:w="722" w:type="dxa"/>
          </w:tcPr>
          <w:p>
            <w:pPr>
              <w:pStyle w:val="22"/>
              <w:widowControl w:val="0"/>
              <w:rPr>
                <w:rFonts w:hint="eastAsia" w:ascii="仿宋" w:hAnsi="仿宋" w:eastAsia="仿宋" w:cs="仿宋"/>
              </w:rPr>
            </w:pPr>
          </w:p>
        </w:tc>
        <w:tc>
          <w:tcPr>
            <w:tcW w:w="1992" w:type="dxa"/>
          </w:tcPr>
          <w:p>
            <w:pPr>
              <w:pStyle w:val="22"/>
              <w:widowControl w:val="0"/>
              <w:rPr>
                <w:rFonts w:hint="eastAsia" w:ascii="仿宋" w:hAnsi="仿宋" w:eastAsia="仿宋" w:cs="仿宋"/>
              </w:rPr>
            </w:pP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7186" w:type="dxa"/>
            <w:gridSpan w:val="3"/>
          </w:tcPr>
          <w:p>
            <w:pPr>
              <w:pStyle w:val="22"/>
              <w:widowControl w:val="0"/>
              <w:bidi w:val="0"/>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名称：</w:t>
            </w:r>
            <w:r>
              <w:rPr>
                <w:rFonts w:hint="eastAsia" w:ascii="仿宋" w:hAnsi="仿宋" w:eastAsia="仿宋" w:cs="仿宋"/>
              </w:rPr>
              <w:t>常州市生态环境局</w:t>
            </w: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pPr>
              <w:pStyle w:val="22"/>
              <w:widowControl w:val="0"/>
              <w:bidi w:val="0"/>
              <w:jc w:val="center"/>
              <w:rPr>
                <w:rFonts w:hint="eastAsia" w:ascii="仿宋" w:hAnsi="仿宋" w:eastAsia="仿宋" w:cs="仿宋"/>
                <w:lang w:val="en-US" w:eastAsia="zh-CN"/>
              </w:rPr>
            </w:pPr>
            <w:r>
              <w:rPr>
                <w:rFonts w:hint="eastAsia" w:ascii="仿宋" w:hAnsi="仿宋" w:eastAsia="仿宋" w:cs="仿宋"/>
                <w:lang w:val="en-US" w:eastAsia="zh-CN"/>
              </w:rPr>
              <w:t/>
            </w:r>
            <w:r>
              <w:rPr>
                <w:rFonts w:ascii="仿宋" w:hAnsi="仿宋" w:cs="仿宋" w:eastAsia="仿宋"/>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1,805.64</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169.96</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1,635.68</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79.88</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79.88</w:t>
            </w:r>
          </w:p>
        </w:tc>
      </w:tr>
    </w:tbl>
    <w:p>
      <w:pPr>
        <w:bidi w:val="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政府采购支出信息为单位纳入部门预算范围的各项政府采购支出情况。</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eastAsia" w:ascii="仿宋" w:hAnsi="仿宋" w:eastAsia="仿宋" w:cs="仿宋"/>
          <w:b w:val="0"/>
          <w:bCs w:val="0"/>
          <w:sz w:val="22"/>
          <w:szCs w:val="22"/>
        </w:rPr>
        <w:sectPr>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outlineLvl w:val="0"/>
        <w:rPr>
          <w:rFonts w:hint="eastAsia" w:ascii="宋体" w:hAnsi="宋体" w:eastAsia="宋体" w:cs="宋体"/>
          <w:b/>
          <w:bCs/>
          <w:color w:val="000000"/>
          <w:kern w:val="0"/>
          <w:sz w:val="36"/>
          <w:szCs w:val="36"/>
          <w:lang w:val="zh-CN" w:eastAsia="ar-SA" w:bidi="zh-CN"/>
        </w:rPr>
      </w:pPr>
      <w:r>
        <w:rPr>
          <w:rFonts w:hint="eastAsia" w:ascii="宋体" w:hAnsi="宋体" w:eastAsia="宋体" w:cs="宋体"/>
          <w:b/>
          <w:bCs/>
          <w:color w:val="000000"/>
          <w:kern w:val="0"/>
          <w:sz w:val="36"/>
          <w:szCs w:val="36"/>
          <w:lang w:val="zh-CN" w:eastAsia="ar-SA" w:bidi="zh-CN"/>
        </w:rPr>
        <w:t>第三部分</w:t>
      </w:r>
      <w:r>
        <w:rPr>
          <w:rFonts w:hint="eastAsia" w:ascii="宋体" w:hAnsi="宋体" w:eastAsia="宋体" w:cs="宋体"/>
          <w:b/>
          <w:bCs/>
          <w:color w:val="000000"/>
          <w:kern w:val="0"/>
          <w:sz w:val="36"/>
          <w:szCs w:val="36"/>
          <w:lang w:val="en-US" w:eastAsia="zh-CN" w:bidi="zh-CN"/>
        </w:rPr>
        <w:t xml:space="preserve"> </w:t>
      </w:r>
      <w:r>
        <w:rPr>
          <w:rFonts w:hint="eastAsia" w:ascii="宋体" w:hAnsi="宋体" w:eastAsia="宋体" w:cs="宋体"/>
          <w:b/>
          <w:bCs/>
          <w:color w:val="000000"/>
          <w:kern w:val="0"/>
          <w:sz w:val="36"/>
          <w:szCs w:val="36"/>
          <w:lang w:val="zh-CN" w:eastAsia="zh-CN" w:bidi="zh-CN"/>
        </w:rPr>
        <w:t>202</w:t>
      </w:r>
      <w:r>
        <w:rPr>
          <w:rFonts w:hint="eastAsia" w:ascii="宋体" w:hAnsi="宋体" w:eastAsia="宋体" w:cs="宋体"/>
          <w:b/>
          <w:bCs/>
          <w:color w:val="000000"/>
          <w:kern w:val="0"/>
          <w:sz w:val="36"/>
          <w:szCs w:val="36"/>
          <w:lang w:val="en-US" w:eastAsia="zh-CN" w:bidi="zh-CN"/>
        </w:rPr>
        <w:t>3</w:t>
      </w:r>
      <w:r>
        <w:rPr>
          <w:rFonts w:hint="eastAsia" w:ascii="宋体" w:hAnsi="宋体" w:eastAsia="宋体" w:cs="宋体"/>
          <w:b/>
          <w:bCs/>
          <w:color w:val="000000"/>
          <w:kern w:val="0"/>
          <w:sz w:val="36"/>
          <w:szCs w:val="36"/>
          <w:lang w:val="zh-CN" w:eastAsia="ar-SA" w:bidi="zh-CN"/>
        </w:rPr>
        <w:t>年度</w:t>
      </w:r>
      <w:r>
        <w:rPr>
          <w:rFonts w:ascii="宋体" w:hAnsi="宋体" w:cs="宋体" w:eastAsia="宋体"/>
          <w:b w:val="true"/>
          <w:color w:val="000000"/>
          <w:sz w:val="36"/>
        </w:rPr>
        <w:t>部门</w:t>
      </w:r>
      <w:r>
        <w:rPr>
          <w:rFonts w:ascii="宋体" w:hAnsi="宋体" w:cs="宋体" w:eastAsia="宋体"/>
          <w:b w:val="true"/>
          <w:color w:val="000000"/>
          <w:sz w:val="36"/>
        </w:rPr>
        <w:t>决算情况说明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2023年度收入、支出决算总计76,547.5万元。与上年相比，收、支总计各增加12,273.51万元，增长19.1%。其中：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（一）收入决算总计76,547.5万元。包括：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1.本年收入决算合计76,547.35万元。与上年相比，增加12,273.36万元，增长19.1%，变动原因：常州市生态环境局常州经济开发区分局、武进生态环境局、溧阳生态环境局本年财政拨款收入增加。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2.使用非财政拨款结余0万元。与上年决算数相同。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3.年初结转和结余0.15万元。与上年相比，增加0.15万元（上年决算数为0万元，无法计算增减比率），变动原因：常州市生态环境综合行政执法局新增年初现金结转。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（二）支出决算总计76,547.5万元。包括：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1.本年支出决算合计76,547.5万元。与上年相比，增加12,273.66万元，增长19.1%，变动原因：常州市生态环境局常州经济开发区分局、武进生态环境局、溧阳生态环境局本年财政拨款支出增加。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2.结余分配0万元。与上年决算数相同。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3.年末结转和结余0万元。与上年相比，减少0.15万元，减少100%，变动原因：常州市生态环境综合行政执法局年末现金结转减少。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本年收入决算合计76,547.35万元，其中：财政拨款收入75,990.21万元，占99.27%；上级补助收入0万元，占0%；财政专户管理教育收费0万元，占0%；事业收入（不含专户管理教育收费）421.56万元，占0.55%；经营收入135.58万元，占0.18%；附属单位上缴收入0万元，占0%；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2023年度本年支出决算合计76,547.5万元，其中：基本支出5,384.63万元，占7.03%；项目支出71,027.29万元，占92.79%；上缴上级支出0万元，占0%；经营支出135.58万元，占0.18%；对附属单位补助支出0万元，占0%。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3"/>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财政拨款收入、支出决算总计75,990.36万元。与上年相比，收、支总计各增加11,907.37万元，增长18.58%，变动原因：常州市生态环境局常州经济开发区分局、武进生态环境局、溧阳生态环境局本年财政拨款收入、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2023年度财政拨款支出决算75,990.36万元，占本年支出合计的99.27%。与2023年度财政拨款支出年初预算28,087万元相比，完成年初预算的270.55%。其中：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（一）科学技术支出（类）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技术研究与开发（款）其他技术研究与开发支出（项）。年初预算0万元，支出决算58.62万元，（年初预算数为0万元，无法计算完成比率）决算数与年初预算数的差异原因：常州市环境科学研究院年中追加课题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2.其他科学技术支出（款）其他科学技术支出（项）。年初预算0万元，支出决算10万元，（年初预算数为0万元，无法计算完成比率）决算数与年初预算数的差异原因：常州市生态环境局年中追加专项培训费。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1.行政事业单位养老支出（款）行政单位离退休（项）。年初预算19.99万元，支出决算19.99万元，完成年初预算的100%。决算数与年初预算数相同。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2.行政事业单位养老支出（款）事业单位离退休（项）。年初预算1.14万元，支出决算1.14万元，完成年初预算的100%。决算数与年初预算数相同。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行政事业单位医疗（款）公务员医疗补助（项）。年初预算51.44万元，支出决算51.44万元，完成年初预算的100%。决算数与年初预算数相同。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（四）节能环保支出（类）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环境保护管理事务（款）行政运行（项）。年初预算2,385.02万元，支出决算2,983.54万元，完成年初预算的125.09%。决算数与年初预算数的差异原因：常州市生态环境局、常州市生态环境综合行政执法局行政运行费政策性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2.环境保护管理事务（款）一般行政管理事务（项）。年初预算137.65万元，支出决算136.08万元，完成年初预算的98.86%。决算数与年初预算数的差异原因：常州市生态环境局一般行政管理事务项目经费调整。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环境保护管理事务（款）其他环境保护管理事务支出（项）。年初预算23,957.1万元，支出决算66,917.33万元，完成年初预算的279.32%。决算数与年初预算数的差异原因：常州市高新区（新北）生态环境局等七个辖市区局项目经费年中追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污染防治（款）水体（项）。年初预算0万元，支出决算581.2万元，（年初预算数为0万元，无法计算完成比率）决算数与年初预算数的差异原因：常州市生态环境监控中心、常州市生态环境局年中追加太湖专项资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5.污染防治（款）其他污染防治支出（项）。年初预算230万元，支出决算415.88万元，完成年初预算的180.82%。决算数与年初预算数的差异原因：常州市生态环境局、常州市生态环境监控中心年中追加项目经费。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6.自然生态保护（款）生态保护（项）。年初预算0万元，支出决算3,498.11万元，（年初预算数为0万元，无法计算完成比率）决算数与年初预算数的差异原因：市级环保专项资金年中追加。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7.污染减排（款）生态环境执法监察（项）。年初预算270.3万元，支出决算287.59万元，完成年初预算的106.4%。决算数与年初预算数的差异原因：常州市生态环境综合行政执法局项目经费年中调整。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1.住房改革支出（款）住房公积金（项）。年初预算295.07万元，支出决算295.07万元，完成年初预算的100%。决算数与年初预算数相同。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2.住房改革支出（款）提租补贴（项）。年初预算464.88万元，支出决算459.96万元，完成年初预算的98.94%。决算数与年初预算数的差异原因：常州市环境科学研究院一名在职人员年中退休。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3.住房改革支出（款）购房补贴（项）。年初预算274.41万元，支出决算274.41万元，完成年初预算的100%。决算数与年初预算数相同。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2023年度财政拨款基本支出决算5,384.63万元，其中：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（一）人员经费5,193.38万元。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绩效工资、机关事业单位基本养老保险缴费、职业年金缴费、职工基本医疗保险缴费、公务员医疗补助缴费、其他社会保障缴费、住房公积金、医疗费、其他工资福利支出、离休费、退休费、抚恤金、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（二）公用经费191.25万元。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主要包括：办公费、印刷费、水费、电费、邮电费、差旅费、维修（护）费、会议费、培训费、公务接待费、委托业务费、工会经费、福利费、其他交通费用、其他商品和服务支出。</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一般公共预算财政拨款支出决算75,990.36万元。与上年相比，增加11,907.52万元，增长18.58%，变动原因：常州市生态环境局常州经济开发区分局、武进生态环境局、溧阳生态环境局以及生态环境监控中心本年财政拨款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2023年度一般公共预算财政拨款基本支出决算5,384.63万元，其中：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（一）人员经费5,193.38万元。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绩效工资、机关事业单位基本养老保险缴费、职业年金缴费、职工基本医疗保险缴费、公务员医疗补助缴费、其他社会保障缴费、住房公积金、医疗费、其他工资福利支出、离休费、退休费、抚恤金、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（二）公用经费191.25万元。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主要包括：办公费、印刷费、水费、电费、邮电费、差旅费、维修（护）费、会议费、培训费、公务接待费、委托业务费、工会经费、福利费、其他交通费用、其他商品和服务支出。</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九、财政拨款“三公”经费、会议费、培训费支出情况说明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（一）财政拨款“三公”经费支出总体情况说明。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财政拨款“三公”经费支出决算3.58万元（其中：一般公共预算支出3.58万元；政府性基金预算支出0万元；国有资本经营预算支出0万元）。与上年相比，增加0.39万元，变动原因：常州市生态环境局、常州市生态环境监控中心、常州市环境科学研究院公务接待费增加。其中，因公出国（境）费支出0万元，占“三公”经费的0%；公务用车购置及运行维护费支出0万元，占“三公”经费的0%；公务接待费支出3.58万元，占“三公”经费的100%。2023年度财政拨款“三公”经费支出预算4.35万元（其中：一般公共预算支出4.35万元；政府性基金预算支出0万元；国有资本经营预算支出0万元）。决算数与预算数的差异原因：我部门厉行节约，严格控制“三公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（二）财政拨款“三公”经费支出具体情况说明。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（1）公务用车购置支出决算0万元。本年度使用财政拨款购置公务用车0辆。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支出决算0万元。公务用车运行维护费主要用于按规定保留的公务用车的燃料费、维修费、过桥过路费、保险费、安全奖励费用等支出。截至2023年12月31日，使用财政拨款开支的公务用车保有量为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支出预算4.35万元（其中：一般公共预算支出4.35万元；政府性基金预算支出0万元；国有资本经营预算支出0万元），支出决算3.58万元（其中：一般公共预算支出3.58万元；政府性基金预算支出0万元；国有资本经营预算支出0万元），完成调整后预算的82.3%，决算数与预算数的差异原因：我部门厉行节约，降低公务接待成本。其中：国内公务接待支出3.58万元，接待29批次，325人次，开支内容：公务接待过程中产生的餐饮费等；国（境）外公务接待支出0万元，接待0批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（三）财政拨款会议费支出决算情况说明。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财政拨款会议费支出预算7.44万元（其中：一般公共预算支出7.44万元；政府性基金预算支出0万元；国有资本经营预算支出0万元），支出决算6.81万元（其中：一般公共预算支出6.81万元；政府性基金预算支出0万元；国有资本经营预算支出0万元），完成调整后预算的91.53%，决算数与预算数的差异原因：我部门厉行节约、响应政府过紧日子要求，进一步压缩会议费成本。2023年度全年召开会议29个，参加会议531人次，开支内容：会议相关的住宿费、伙食费、会议场地租用费、交通费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（四）财政拨款培训费支出决算情况说明。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财政拨款培训费支出预算66.7万元（其中：一般公共预算支出66.7万元；政府性基金预算支出0万元；国有资本经营预算支出0万元），支出决算63.33万元（其中：一般公共预算支出63.33万元；政府性基金预算支出0万元；国有资本经营预算支出0万元），完成调整后预算的94.95%，决算数与预算数的差异原因：我部门厉行节约、响应政府过紧日子要求，进一步压缩培训费成本。2023年度全年组织培训27个，组织培训354人次，开支内容：开展培训期间的住宿费、伙食费、培训场地费、培训资料费、交通费以及其他费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2023年度政府性基金预算财政拨款支出决算0万元。与上年决算数相同。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2023年度国有资本经营预算财政拨款支出决算0万元。与上年决算数相同。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十二、财政拨款机关运行经费支出决算情况说明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机关运行经费支出决算137.95万元（其中：一般公共预算支出137.95万元；政府性基金预算支出0万元；国有资本经营预算支出0万元）。与上年相比，增加7.11万元，增长5.43%，变动原因：常州市生态环境综合行政执法局人员增加，办公费等公用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政府采购支出总额1,805.64万元，其中：政府采购货物支出169.96万元、政府采购工程支出0万元、政府采购服务支出1,635.68万元。政府采购授予中小企业合同金额79.88万元，占政府采购支出总额的4.42%，其中：授予小微企业合同金额79.88万元，占授予中小企业合同金额的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截至2023年12月31日，本部门共有车辆11辆，其中：副部(省)级及以上领导用车0辆、主要领导干部用车0辆、机要通信用车0辆、应急保障用车0辆、执法执勤用车1辆、特种专业技术用车0辆、离退休干部用车0辆、其他用车10辆；单价50万元（含）以上的通用设备0台（套），单价100万元（含）以上的专用设备7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十五、预算绩效评价工作开展情况</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2023年度，本部门共1个项目开展了财政重点绩效评价，涉及财政性资金合计3,000万元；本部门未开展部门整体支出财政重点绩效评价，涉及财政性资金0万元。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本部门组织所属单位共对2023年度已实施完成的15个项目开展了绩效自评价，涉及财政性资金合计30,376.74万元；本部门组织所属单位共开展4项单位整体支出绩效自评价，涉及财政性资金合计34,683.2万元。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本部门共0个项目开展了部门评价，涉及财政性资金合计0万元；本部门未开展部门整体支出部门评价，涉及财政性资金0万元。</w:t>
      </w:r>
      <w:r>
        <w:rPr>
          <w:rFonts w:ascii="仿宋" w:hAnsi="仿宋" w:cs="仿宋" w:eastAsia="仿宋"/>
        </w:rPr>
        <w:t/>
      </w:r>
    </w:p>
    <w:p>
      <w:pPr>
        <w:pStyle w:val="5"/>
        <w:tabs>
          <w:tab w:val="left" w:pos="3077"/>
        </w:tabs>
        <w:spacing w:line="616" w:lineRule="exact"/>
        <w:jc w:val="center"/>
        <w:outlineLvl w:val="0"/>
        <w:rPr>
          <w:rFonts w:hint="eastAsia" w:ascii="宋体" w:hAnsi="宋体" w:eastAsia="宋体" w:cs="宋体"/>
          <w:b/>
          <w:bCs/>
          <w:sz w:val="36"/>
          <w:szCs w:val="36"/>
        </w:rPr>
      </w:pPr>
      <w:r>
        <w:rPr>
          <w:rFonts w:hint="eastAsia" w:ascii="宋体" w:hAnsi="宋体" w:eastAsia="宋体" w:cs="宋体"/>
          <w:b/>
          <w:bCs/>
          <w:sz w:val="36"/>
          <w:szCs w:val="36"/>
        </w:rPr>
        <w:t>第四部分 名词</w:t>
      </w:r>
      <w:r>
        <w:rPr>
          <w:rFonts w:hint="eastAsia" w:ascii="宋体" w:hAnsi="宋体" w:eastAsia="宋体" w:cs="宋体"/>
          <w:b/>
          <w:bCs/>
          <w:color w:val="000000"/>
          <w:kern w:val="0"/>
          <w:sz w:val="36"/>
          <w:szCs w:val="36"/>
          <w:lang w:val="zh-CN" w:eastAsia="ar-SA" w:bidi="zh-CN"/>
        </w:rPr>
        <w:t>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一、财政拨款收入</w:t>
      </w:r>
      <w:r>
        <w:rPr>
          <w:rFonts w:ascii="仿宋" w:hAnsi="仿宋" w:cs="仿宋" w:eastAsia="仿宋"/>
          <w:b w:val="true"/>
        </w:rPr>
        <w:t>：</w:t>
      </w:r>
      <w:r>
        <w:rPr>
          <w:rFonts w:hint="eastAsia" w:ascii="仿宋" w:hAnsi="仿宋" w:eastAsia="仿宋" w:cs="仿宋"/>
        </w:rPr>
        <w:t>指单位从同级财政部门取得的各类财政拨款，包括一般公共预算财政拨款、政府性基金预算财政拨款、国有资本经营预算财政拨款。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二、上级补助收入</w:t>
      </w:r>
      <w:r>
        <w:rPr>
          <w:rFonts w:ascii="仿宋" w:hAnsi="仿宋" w:cs="仿宋" w:eastAsia="仿宋"/>
          <w:b w:val="true"/>
        </w:rPr>
        <w:t>：</w:t>
      </w:r>
      <w:r>
        <w:rPr>
          <w:rFonts w:hint="eastAsia" w:ascii="仿宋" w:hAnsi="仿宋" w:eastAsia="仿宋" w:cs="仿宋"/>
        </w:rPr>
        <w:t>指事业单位从主管部门和上级单位取得的非财政补助收入。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三、财政专户管理教育收费</w:t>
      </w:r>
      <w:r>
        <w:rPr>
          <w:rFonts w:ascii="仿宋" w:hAnsi="仿宋" w:cs="仿宋" w:eastAsia="仿宋"/>
          <w:b w:val="true"/>
        </w:rPr>
        <w:t>：</w:t>
      </w:r>
      <w:r>
        <w:rPr>
          <w:rFonts w:hint="eastAsia" w:ascii="仿宋" w:hAnsi="仿宋" w:eastAsia="仿宋" w:cs="仿宋"/>
        </w:rPr>
        <w:t>指缴入财政专户、实行专项管理的高中以上学费、住宿费、高校委托培养费、函大、电大、夜大及短训班培训费等教育收费。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四、事业收入</w:t>
      </w:r>
      <w:r>
        <w:rPr>
          <w:rFonts w:ascii="仿宋" w:hAnsi="仿宋" w:cs="仿宋" w:eastAsia="仿宋"/>
          <w:b w:val="true"/>
        </w:rPr>
        <w:t>：</w:t>
      </w:r>
      <w:r>
        <w:rPr>
          <w:rFonts w:hint="eastAsia" w:ascii="仿宋" w:hAnsi="仿宋" w:eastAsia="仿宋" w:cs="仿宋"/>
        </w:rPr>
        <w:t>指事业单位开展专业业务活动及其辅助活动取得的收入。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五、经营收入</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六、附属单位上缴收入</w:t>
      </w:r>
      <w:r>
        <w:rPr>
          <w:rFonts w:ascii="仿宋" w:hAnsi="仿宋" w:cs="仿宋" w:eastAsia="仿宋"/>
          <w:b w:val="true"/>
        </w:rPr>
        <w:t>：</w:t>
      </w:r>
      <w:r>
        <w:rPr>
          <w:rFonts w:hint="eastAsia" w:ascii="仿宋" w:hAnsi="仿宋" w:eastAsia="仿宋" w:cs="仿宋"/>
        </w:rPr>
        <w:t>指事业单位附属独立核算单位按照有关规定上缴的收入。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七、其他收入</w:t>
      </w:r>
      <w:r>
        <w:rPr>
          <w:rFonts w:ascii="仿宋" w:hAnsi="仿宋" w:cs="仿宋" w:eastAsia="仿宋"/>
          <w:b w:val="true"/>
        </w:rPr>
        <w:t>：</w:t>
      </w:r>
      <w:r>
        <w:rPr>
          <w:rFonts w:hint="eastAsia" w:ascii="仿宋" w:hAnsi="仿宋" w:eastAsia="仿宋" w:cs="仿宋"/>
        </w:rPr>
        <w:t>指单位取得的除上述“财政拨款收入”、 “上级补助收入”、“事业收入”、“经营收入”、“附属单位上缴收入”等以外的各项收入。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八、使用非财政拨款结余</w:t>
      </w:r>
      <w:r>
        <w:rPr>
          <w:rFonts w:ascii="仿宋" w:hAnsi="仿宋" w:cs="仿宋" w:eastAsia="仿宋"/>
          <w:b w:val="true"/>
        </w:rPr>
        <w:t>：</w:t>
      </w:r>
      <w:r>
        <w:rPr>
          <w:rFonts w:hint="eastAsia" w:ascii="仿宋" w:hAnsi="仿宋" w:eastAsia="仿宋" w:cs="仿宋"/>
        </w:rPr>
        <w:t>指事业单位按照预算管理要求使用非财政拨款结余（原事业基金）弥补当年收支差额的数额。</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九、年初结转和结余</w:t>
      </w:r>
      <w:r>
        <w:rPr>
          <w:rFonts w:ascii="仿宋" w:hAnsi="仿宋" w:cs="仿宋" w:eastAsia="仿宋"/>
          <w:b w:val="true"/>
        </w:rPr>
        <w:t>：</w:t>
      </w:r>
      <w:r>
        <w:rPr>
          <w:rFonts w:hint="eastAsia" w:ascii="仿宋" w:hAnsi="仿宋" w:eastAsia="仿宋" w:cs="仿宋"/>
        </w:rPr>
        <w:t>指单位上年结转本年使用的基本支出结转、项目支出结转和结余、经营结余。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十、结余分配</w:t>
      </w:r>
      <w:r>
        <w:rPr>
          <w:rFonts w:ascii="仿宋" w:hAnsi="仿宋" w:cs="仿宋" w:eastAsia="仿宋"/>
          <w:b w:val="true"/>
        </w:rPr>
        <w:t>：</w:t>
      </w:r>
      <w:r>
        <w:rPr>
          <w:rFonts w:hint="eastAsia" w:ascii="仿宋" w:hAnsi="仿宋" w:eastAsia="仿宋" w:cs="仿宋"/>
        </w:rPr>
        <w:t>指事业单位按规定缴纳的所得税以及从非财政拨款结余中提取各类结余的情况。</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十一、年末结转和结余资金</w:t>
      </w:r>
      <w:r>
        <w:rPr>
          <w:rFonts w:ascii="仿宋" w:hAnsi="仿宋" w:cs="仿宋" w:eastAsia="仿宋"/>
          <w:b w:val="true"/>
        </w:rPr>
        <w:t>：</w:t>
      </w:r>
      <w:r>
        <w:rPr>
          <w:rFonts w:hint="eastAsia" w:ascii="仿宋" w:hAnsi="仿宋" w:eastAsia="仿宋" w:cs="仿宋"/>
        </w:rPr>
        <w:t>指单位结转下年的基本支出结转、项目支出结转和结余、经营结余。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十二、基本支出</w:t>
      </w:r>
      <w:r>
        <w:rPr>
          <w:rFonts w:ascii="仿宋" w:hAnsi="仿宋" w:cs="仿宋" w:eastAsia="仿宋"/>
          <w:b w:val="true"/>
        </w:rPr>
        <w:t>：</w:t>
      </w:r>
      <w:r>
        <w:rPr>
          <w:rFonts w:hint="eastAsia" w:ascii="仿宋" w:hAnsi="仿宋" w:eastAsia="仿宋" w:cs="仿宋"/>
        </w:rPr>
        <w:t>指为保障机构正常运转、完成日常工作任务所发生的支出，包括人员经费和公用经费。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十三、项目支出</w:t>
      </w:r>
      <w:r>
        <w:rPr>
          <w:rFonts w:ascii="仿宋" w:hAnsi="仿宋" w:cs="仿宋" w:eastAsia="仿宋"/>
          <w:b w:val="true"/>
        </w:rPr>
        <w:t>：</w:t>
      </w:r>
      <w:r>
        <w:rPr>
          <w:rFonts w:hint="eastAsia" w:ascii="仿宋" w:hAnsi="仿宋" w:eastAsia="仿宋" w:cs="仿宋"/>
        </w:rPr>
        <w:t>指在为完成特定的工作任务和事业发展目标所发生的支出。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十四、上缴上级支出</w:t>
      </w:r>
      <w:r>
        <w:rPr>
          <w:rFonts w:ascii="仿宋" w:hAnsi="仿宋" w:cs="仿宋" w:eastAsia="仿宋"/>
          <w:b w:val="true"/>
        </w:rPr>
        <w:t>：</w:t>
      </w:r>
      <w:r>
        <w:rPr>
          <w:rFonts w:hint="eastAsia" w:ascii="仿宋" w:hAnsi="仿宋" w:eastAsia="仿宋" w:cs="仿宋"/>
        </w:rPr>
        <w:t>指事业单位按照财政部门和主管部门的规定上缴上级单位的支出。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十五、经营支出</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十六、对附属单位补助支出</w:t>
      </w:r>
      <w:r>
        <w:rPr>
          <w:rFonts w:ascii="仿宋" w:hAnsi="仿宋" w:cs="仿宋" w:eastAsia="仿宋"/>
          <w:b w:val="true"/>
        </w:rPr>
        <w:t>：</w:t>
      </w:r>
      <w:r>
        <w:rPr>
          <w:rFonts w:hint="eastAsia" w:ascii="仿宋" w:hAnsi="仿宋" w:eastAsia="仿宋" w:cs="仿宋"/>
        </w:rPr>
        <w:t>指事业单位用财政拨款收入之外的收入对附属单位补助发生的支出。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十七、“三公”经费</w:t>
      </w:r>
      <w:r>
        <w:rPr>
          <w:rFonts w:ascii="仿宋" w:hAnsi="仿宋" w:cs="仿宋" w:eastAsia="仿宋"/>
          <w:b w:val="true"/>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十八、机关运行经费</w:t>
      </w:r>
      <w:r>
        <w:rPr>
          <w:rFonts w:ascii="仿宋" w:hAnsi="仿宋" w:cs="仿宋" w:eastAsia="仿宋"/>
          <w:b w:val="true"/>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十九、科学技术支出(类)技术研究与开发(款)其他技术研究与开发支出(项)</w:t>
      </w:r>
      <w:r>
        <w:rPr>
          <w:rFonts w:ascii="仿宋" w:hAnsi="仿宋" w:cs="仿宋" w:eastAsia="仿宋"/>
          <w:b w:val="true"/>
        </w:rPr>
        <w:t>：</w:t>
      </w:r>
      <w:r>
        <w:rPr>
          <w:rFonts w:hint="eastAsia" w:ascii="仿宋" w:hAnsi="仿宋" w:eastAsia="仿宋" w:cs="仿宋"/>
        </w:rPr>
        <w:t>反映除上述项目以外其他用于技术研究与开发方面的支出。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二十、科学技术支出(类)其他科学技术支出(款)其他科学技术支出(项)</w:t>
      </w:r>
      <w:r>
        <w:rPr>
          <w:rFonts w:ascii="仿宋" w:hAnsi="仿宋" w:cs="仿宋" w:eastAsia="仿宋"/>
          <w:b w:val="true"/>
        </w:rPr>
        <w:t>：</w:t>
      </w:r>
      <w:r>
        <w:rPr>
          <w:rFonts w:hint="eastAsia" w:ascii="仿宋" w:hAnsi="仿宋" w:eastAsia="仿宋" w:cs="仿宋"/>
        </w:rPr>
        <w:t>反映其他科学技术支出中除以上各项外用于科技方面的支出。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二十一、社会保障和就业支出(类)行政事业单位养老支出(款)行政单位离退休(项)</w:t>
      </w:r>
      <w:r>
        <w:rPr>
          <w:rFonts w:ascii="仿宋" w:hAnsi="仿宋" w:cs="仿宋" w:eastAsia="仿宋"/>
          <w:b w:val="true"/>
        </w:rPr>
        <w:t>：</w:t>
      </w:r>
      <w:r>
        <w:rPr>
          <w:rFonts w:hint="eastAsia" w:ascii="仿宋" w:hAnsi="仿宋" w:eastAsia="仿宋" w:cs="仿宋"/>
        </w:rPr>
        <w:t>反映行政单位（包括实行公务员管理的事业单位）开支的离退休经费。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二十二、社会保障和就业支出(类)行政事业单位养老支出(款)事业单位离退休(项)</w:t>
      </w:r>
      <w:r>
        <w:rPr>
          <w:rFonts w:ascii="仿宋" w:hAnsi="仿宋" w:cs="仿宋" w:eastAsia="仿宋"/>
          <w:b w:val="true"/>
        </w:rPr>
        <w:t>：</w:t>
      </w:r>
      <w:r>
        <w:rPr>
          <w:rFonts w:hint="eastAsia" w:ascii="仿宋" w:hAnsi="仿宋" w:eastAsia="仿宋" w:cs="仿宋"/>
        </w:rPr>
        <w:t>反映事业单位开支的离退休经费。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二十三、卫生健康支出(类)行政事业单位医疗(款)公务员医疗补助(项)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二十四、节能环保支出(类)环境保护管理事务(款)行政运行(项)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二十五、节能环保支出(类)环境保护管理事务(款)一般行政管理事务(项)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二十六、节能环保支出(类)环境保护管理事务(款)其他环境保护管理事务支出(项)</w:t>
      </w:r>
      <w:r>
        <w:rPr>
          <w:rFonts w:ascii="仿宋" w:hAnsi="仿宋" w:cs="仿宋" w:eastAsia="仿宋"/>
          <w:b w:val="true"/>
        </w:rPr>
        <w:t>：</w:t>
      </w:r>
      <w:r>
        <w:rPr>
          <w:rFonts w:hint="eastAsia" w:ascii="仿宋" w:hAnsi="仿宋" w:eastAsia="仿宋" w:cs="仿宋"/>
        </w:rPr>
        <w:t>反映除上述项目以外其他用于环境保护管理事务方面的支出。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二十七、节能环保支出(类)污染防治(款)水体(项)</w:t>
      </w:r>
      <w:r>
        <w:rPr>
          <w:rFonts w:ascii="仿宋" w:hAnsi="仿宋" w:cs="仿宋" w:eastAsia="仿宋"/>
          <w:b w:val="true"/>
        </w:rPr>
        <w:t>：</w:t>
      </w:r>
      <w:r>
        <w:rPr>
          <w:rFonts w:hint="eastAsia" w:ascii="仿宋" w:hAnsi="仿宋" w:eastAsia="仿宋" w:cs="仿宋"/>
        </w:rPr>
        <w:t>反映政府在排水、污水处理、水污染防治、湖库生态环境保护、水源地保护、国土江河综合整治、河流治理与保护、地下水修复与保护等方面的支出。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二十八、节能环保支出(类)污染防治(款)其他污染防治支出(项)</w:t>
      </w:r>
      <w:r>
        <w:rPr>
          <w:rFonts w:ascii="仿宋" w:hAnsi="仿宋" w:cs="仿宋" w:eastAsia="仿宋"/>
          <w:b w:val="true"/>
        </w:rPr>
        <w:t>：</w:t>
      </w:r>
      <w:r>
        <w:rPr>
          <w:rFonts w:hint="eastAsia" w:ascii="仿宋" w:hAnsi="仿宋" w:eastAsia="仿宋" w:cs="仿宋"/>
        </w:rPr>
        <w:t>反映除上述项目以外其他用于污染防治方面的支出。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二十九、节能环保支出(类)自然生态保护(款)生态保护(项)</w:t>
      </w:r>
      <w:r>
        <w:rPr>
          <w:rFonts w:ascii="仿宋" w:hAnsi="仿宋" w:cs="仿宋" w:eastAsia="仿宋"/>
          <w:b w:val="true"/>
        </w:rPr>
        <w:t>：</w:t>
      </w:r>
      <w:r>
        <w:rPr>
          <w:rFonts w:hint="eastAsia" w:ascii="仿宋" w:hAnsi="仿宋" w:eastAsia="仿宋" w:cs="仿宋"/>
        </w:rPr>
        <w:t>反映用于生态功能区、生态示范区、生态省（市、县）管理及能力建设、日常管护、宣教、试点示范等支出，生态修复支出，资源开发生态监管支出，生态护林员的劳务报酬等支出。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三十、节能环保支出(类)污染减排(款)生态环境执法监察(项)</w:t>
      </w:r>
      <w:r>
        <w:rPr>
          <w:rFonts w:ascii="仿宋" w:hAnsi="仿宋" w:cs="仿宋" w:eastAsia="仿宋"/>
          <w:b w:val="true"/>
        </w:rPr>
        <w:t>：</w:t>
      </w:r>
      <w:r>
        <w:rPr>
          <w:rFonts w:hint="eastAsia" w:ascii="仿宋" w:hAnsi="仿宋" w:eastAsia="仿宋" w:cs="仿宋"/>
        </w:rPr>
        <w:t>反映生态环境部门监督检查环保法律法规、标准等执行情况的支出，行政处罚、行政诉讼、行政复议支出，环境行政稽查支出，执法装备支出,排污费申报、征收与使用管理支出，环境问题举报、环境纠纷调查处理支出，突发性污染事故预防、应急处置等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三十一、节能环保支出(类)其他节能环保支出(款)其他节能环保支出(项)</w:t>
      </w:r>
      <w:r>
        <w:rPr>
          <w:rFonts w:ascii="仿宋" w:hAnsi="仿宋" w:cs="仿宋" w:eastAsia="仿宋"/>
          <w:b w:val="true"/>
        </w:rPr>
        <w:t>：</w:t>
      </w:r>
      <w:r>
        <w:rPr>
          <w:rFonts w:hint="eastAsia" w:ascii="仿宋" w:hAnsi="仿宋" w:eastAsia="仿宋" w:cs="仿宋"/>
        </w:rPr>
        <w:t>反映除上述项目以外其他用于节能环保方面的支出。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三十二、住房保障支出(类)住房改革支出(款)住房公积金(项)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三十三、住房保障支出(类)住房改革支出(款)提租补贴(项)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三十四、住房保障支出(类)住房改革支出(款)购房补贴(项)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20B0604020202020204"/>
    <w:charset w:val="86"/>
    <w:family w:val="roman"/>
    <w:pitch w:val="default"/>
    <w:sig w:usb0="00000000" w:usb1="00000000" w:usb2="00000021" w:usb3="00000000" w:csb0="600001BF" w:csb1="DFF70000"/>
  </w:font>
  <w:font w:name="Liberation Mono">
    <w:altName w:val="宋体"/>
    <w:panose1 w:val="02070409020205020404"/>
    <w:charset w:val="86"/>
    <w:family w:val="roman"/>
    <w:pitch w:val="default"/>
    <w:sig w:usb0="00000000" w:usb1="00000000"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roman"/>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常州市生态环境局</w:t>
    </w:r>
    <w:bookmarkStart w:id="0" w:name="_GoBack"/>
    <w:bookmarkEnd w:id="0"/>
    <w:r>
      <w:t>2023</w:t>
    </w:r>
    <w:r>
      <w:rPr>
        <w:rFonts w:hint="eastAsia"/>
        <w:lang w:val="en-US" w:eastAsia="zh-CN"/>
      </w:rPr>
      <w:t>年度</w:t>
    </w:r>
    <w:r>
      <w:t>部门</w:t>
    </w:r>
    <w: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OTZhZDYyZDRkNjBlM2JhZTAwNWZjYTM1ZGFmNGQwMjEifQ=="/>
  </w:docVars>
  <w:rsids>
    <w:rsidRoot w:val="00000000"/>
    <w:rsid w:val="00064984"/>
    <w:rsid w:val="00071789"/>
    <w:rsid w:val="000C024B"/>
    <w:rsid w:val="000F12AB"/>
    <w:rsid w:val="001C31F9"/>
    <w:rsid w:val="002E63B1"/>
    <w:rsid w:val="00407CA7"/>
    <w:rsid w:val="00413AD8"/>
    <w:rsid w:val="004C0647"/>
    <w:rsid w:val="00671ED7"/>
    <w:rsid w:val="00672164"/>
    <w:rsid w:val="006732F1"/>
    <w:rsid w:val="007C0F2D"/>
    <w:rsid w:val="008322BB"/>
    <w:rsid w:val="00867423"/>
    <w:rsid w:val="008B5B05"/>
    <w:rsid w:val="009965EA"/>
    <w:rsid w:val="00A6752E"/>
    <w:rsid w:val="00B92181"/>
    <w:rsid w:val="00BD7F33"/>
    <w:rsid w:val="00C15920"/>
    <w:rsid w:val="00C82582"/>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theme/theme1.xml" Type="http://schemas.openxmlformats.org/officeDocument/2006/relationships/theme"/><Relationship Id="rId2" Target="settings.xml" Type="http://schemas.openxmlformats.org/officeDocument/2006/relationships/settings"/><Relationship Id="rId20" Target="../customXml/item1.xml" Type="http://schemas.openxmlformats.org/officeDocument/2006/relationships/customXml"/><Relationship Id="rId21" Target="fontTable.xml" Type="http://schemas.openxmlformats.org/officeDocument/2006/relationships/fontTable"/><Relationship Id="rId22" Target="media/image1.jpeg" Type="http://schemas.openxmlformats.org/officeDocument/2006/relationships/image"/><Relationship Id="rId23"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2732</Words>
  <Characters>7627</Characters>
  <Paragraphs>501</Paragraphs>
  <TotalTime>7</TotalTime>
  <ScaleCrop>false</ScaleCrop>
  <LinksUpToDate>false</LinksUpToDate>
  <CharactersWithSpaces>7648</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CC.</cp:lastModifiedBy>
  <dcterms:modified xsi:type="dcterms:W3CDTF">2024-06-18T07:55:31Z</dcterms:modified>
  <cp:revision>175</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2052-12.1.0.16929</vt:lpwstr>
  </property>
  <property fmtid="{D5CDD505-2E9C-101B-9397-08002B2CF9AE}" pid="6" name="LastSaved">
    <vt:filetime>2021-04-15T00:00:00Z</vt:filetime>
  </property>
</Properties>
</file>