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Fonts w:eastAsia="方正小标宋简体"/>
          <w:snapToGrid w:val="0"/>
          <w:kern w:val="0"/>
          <w:sz w:val="44"/>
        </w:rPr>
      </w:pPr>
    </w:p>
    <w:p>
      <w:pPr>
        <w:spacing w:line="570" w:lineRule="exact"/>
        <w:jc w:val="center"/>
        <w:rPr>
          <w:rFonts w:eastAsia="方正小标宋简体"/>
          <w:snapToGrid w:val="0"/>
          <w:kern w:val="0"/>
          <w:sz w:val="44"/>
        </w:rPr>
      </w:pPr>
      <w:bookmarkStart w:id="0" w:name="_GoBack"/>
      <w:r>
        <w:rPr>
          <w:rFonts w:eastAsia="方正小标宋简体"/>
          <w:snapToGrid w:val="0"/>
          <w:kern w:val="0"/>
          <w:sz w:val="44"/>
        </w:rPr>
        <w:t>常州市科技局加快构建新能源汽车零部件</w:t>
      </w:r>
    </w:p>
    <w:p>
      <w:pPr>
        <w:spacing w:before="120" w:line="570" w:lineRule="exact"/>
        <w:jc w:val="center"/>
        <w:rPr>
          <w:rFonts w:eastAsia="方正小标宋简体"/>
          <w:snapToGrid w:val="0"/>
          <w:kern w:val="0"/>
          <w:sz w:val="44"/>
        </w:rPr>
      </w:pPr>
      <w:r>
        <w:rPr>
          <w:rFonts w:eastAsia="方正小标宋简体"/>
          <w:snapToGrid w:val="0"/>
          <w:kern w:val="0"/>
          <w:sz w:val="44"/>
        </w:rPr>
        <w:t>产业创新生态工作方案</w:t>
      </w:r>
      <w:bookmarkEnd w:id="0"/>
    </w:p>
    <w:p>
      <w:pPr>
        <w:spacing w:line="570" w:lineRule="exact"/>
        <w:ind w:firstLine="640" w:firstLineChars="200"/>
        <w:jc w:val="center"/>
        <w:rPr>
          <w:rFonts w:eastAsia="仿宋_GB2312"/>
          <w:snapToGrid w:val="0"/>
          <w:kern w:val="0"/>
          <w:sz w:val="32"/>
        </w:rPr>
      </w:pPr>
    </w:p>
    <w:p>
      <w:pPr>
        <w:overflowPunct w:val="0"/>
        <w:adjustRightInd w:val="0"/>
        <w:snapToGrid w:val="0"/>
        <w:spacing w:line="570" w:lineRule="exact"/>
        <w:ind w:firstLine="641"/>
        <w:rPr>
          <w:rFonts w:eastAsia="仿宋_GB2312"/>
          <w:snapToGrid w:val="0"/>
          <w:kern w:val="0"/>
          <w:sz w:val="32"/>
        </w:rPr>
      </w:pPr>
      <w:r>
        <w:rPr>
          <w:rFonts w:eastAsia="仿宋_GB2312"/>
          <w:snapToGrid w:val="0"/>
          <w:kern w:val="0"/>
          <w:sz w:val="32"/>
        </w:rPr>
        <w:t>为贯彻落实《中共常州市委常州市人民政府关于加快新能源之都建设的实施意见》（常发〔2022〕25号），根据《常州市加快构建新能源汽车零部件产业生态工作方案》（常政发〔2023〕60号）有关工作部署，聚焦新能源汽车关键零部件细分领域，加快构建新能源汽车零部件产业创新生态，助力打造国内知名的新能源汽车产业城市，现制定如下工作方案。</w:t>
      </w:r>
    </w:p>
    <w:p>
      <w:pPr>
        <w:pStyle w:val="44"/>
        <w:tabs>
          <w:tab w:val="left" w:pos="1596"/>
        </w:tabs>
        <w:overflowPunct w:val="0"/>
        <w:adjustRightInd w:val="0"/>
        <w:spacing w:line="570" w:lineRule="exact"/>
        <w:ind w:firstLine="641"/>
        <w:rPr>
          <w:rFonts w:eastAsia="黑体"/>
          <w:bCs/>
          <w:color w:val="000000"/>
          <w:szCs w:val="32"/>
        </w:rPr>
      </w:pPr>
      <w:r>
        <w:rPr>
          <w:rFonts w:eastAsia="黑体"/>
          <w:bCs/>
          <w:color w:val="000000"/>
          <w:szCs w:val="32"/>
        </w:rPr>
        <w:t>一、加强创新平台建设</w:t>
      </w:r>
    </w:p>
    <w:p>
      <w:pPr>
        <w:pStyle w:val="44"/>
        <w:tabs>
          <w:tab w:val="left" w:pos="1596"/>
        </w:tabs>
        <w:overflowPunct w:val="0"/>
        <w:adjustRightInd w:val="0"/>
        <w:spacing w:line="570" w:lineRule="exact"/>
        <w:ind w:firstLine="641"/>
        <w:rPr>
          <w:rFonts w:eastAsia="仿宋_GB2312"/>
          <w:b/>
          <w:color w:val="000000"/>
          <w:szCs w:val="32"/>
        </w:rPr>
      </w:pPr>
      <w:r>
        <w:rPr>
          <w:rFonts w:eastAsia="楷体_GB2312"/>
          <w:b/>
          <w:color w:val="000000"/>
          <w:szCs w:val="32"/>
        </w:rPr>
        <w:t>（一）提升创新平台能级。</w:t>
      </w:r>
      <w:r>
        <w:rPr>
          <w:rFonts w:eastAsia="仿宋_GB2312"/>
          <w:color w:val="000000"/>
          <w:szCs w:val="32"/>
        </w:rPr>
        <w:t>围绕产业强链，依托动力与储能电池、先进碳材料等领域优势，建强智能制造龙城实验室、长三角碳纤维及复合材料技术创新中心、清洁能源材料技术创新中心等重大创新平台，打造前沿基础研究力量和原始创新策源地，积极争创国家级、省级创新平台，面向国家重大战略需求，突破一批新能源汽车零部件产业领域的关键核心技术。（</w:t>
      </w:r>
      <w:r>
        <w:rPr>
          <w:rFonts w:eastAsia="楷体_GB2312"/>
          <w:color w:val="000000"/>
          <w:szCs w:val="32"/>
        </w:rPr>
        <w:t>责任处室：产学研合作处</w:t>
      </w:r>
      <w:r>
        <w:rPr>
          <w:rFonts w:eastAsia="仿宋_GB2312"/>
          <w:color w:val="000000"/>
          <w:szCs w:val="32"/>
        </w:rPr>
        <w:t>）</w:t>
      </w:r>
    </w:p>
    <w:p>
      <w:pPr>
        <w:pStyle w:val="44"/>
        <w:tabs>
          <w:tab w:val="left" w:pos="1596"/>
        </w:tabs>
        <w:overflowPunct w:val="0"/>
        <w:adjustRightInd w:val="0"/>
        <w:spacing w:line="570" w:lineRule="exact"/>
        <w:ind w:firstLine="641"/>
        <w:rPr>
          <w:rFonts w:eastAsia="仿宋_GB2312"/>
          <w:b/>
          <w:color w:val="000000"/>
          <w:szCs w:val="32"/>
        </w:rPr>
      </w:pPr>
      <w:r>
        <w:rPr>
          <w:rFonts w:eastAsia="楷体_GB2312"/>
          <w:b/>
          <w:color w:val="000000"/>
          <w:szCs w:val="32"/>
        </w:rPr>
        <w:t>（二）完善创新平台布局。</w:t>
      </w:r>
      <w:r>
        <w:rPr>
          <w:rFonts w:eastAsia="仿宋_GB2312"/>
          <w:color w:val="000000"/>
          <w:szCs w:val="32"/>
        </w:rPr>
        <w:t>围绕补链延链，瞄准氢能、智能网联等新能源汽车关键零部件细分领域，加快推进省产研院专业研究所、新型研发机构、重点实验室等创新平台建设，提升江苏集萃安泰创明先进能源材料研究院、江苏省汽车智能照明系统重点实验室等创新平台效能。挖掘潜力布局建设汽车电子电器、车辆底盘系统等领域联合创新中心，加速科技创新资源聚集，提升关键核心技术攻关和科技成果转移转化能力。（</w:t>
      </w:r>
      <w:r>
        <w:rPr>
          <w:rFonts w:eastAsia="楷体_GB2312"/>
          <w:color w:val="000000"/>
          <w:szCs w:val="32"/>
        </w:rPr>
        <w:t>责任处室：产学研合作处</w:t>
      </w:r>
      <w:r>
        <w:rPr>
          <w:rFonts w:eastAsia="仿宋_GB2312"/>
          <w:color w:val="000000"/>
          <w:szCs w:val="32"/>
        </w:rPr>
        <w:t>）</w:t>
      </w:r>
    </w:p>
    <w:p>
      <w:pPr>
        <w:pStyle w:val="44"/>
        <w:tabs>
          <w:tab w:val="left" w:pos="1596"/>
        </w:tabs>
        <w:overflowPunct w:val="0"/>
        <w:adjustRightInd w:val="0"/>
        <w:spacing w:line="570" w:lineRule="exact"/>
        <w:ind w:firstLine="641"/>
        <w:rPr>
          <w:rFonts w:eastAsia="仿宋_GB2312"/>
          <w:color w:val="000000"/>
          <w:szCs w:val="32"/>
        </w:rPr>
      </w:pPr>
      <w:r>
        <w:rPr>
          <w:rFonts w:eastAsia="楷体_GB2312"/>
          <w:b/>
          <w:color w:val="000000"/>
          <w:szCs w:val="32"/>
        </w:rPr>
        <w:t>（三）优化公共服务平台质效。</w:t>
      </w:r>
      <w:r>
        <w:rPr>
          <w:rFonts w:eastAsia="仿宋_GB2312"/>
          <w:color w:val="000000"/>
          <w:szCs w:val="32"/>
        </w:rPr>
        <w:t>实施《常州市科技服务业高质量发展三年行动计划》，聚焦汽车关键零部件细分领域，提升研发设计、加工试制、检验检测等公共服务平台服务能力，健全新能源汽车产业领域公共技术服务功能。依托新能源之都产科教联盟，促进新能源汽车配套产业教育链、人才链与产业链、创新链有机衔接。</w:t>
      </w:r>
      <w:r>
        <w:rPr>
          <w:rFonts w:eastAsia="仿宋_GB2312"/>
          <w:szCs w:val="44"/>
        </w:rPr>
        <w:t>推动中汽研汽车检验中心（常州）有限公司、南德新能源汽车检测（江苏）有限公司、国创未来检测技术（江苏）有限公司、国家氢能装备产品质量监督检验中心等公共服务平台提升科技服务支撑水平</w:t>
      </w:r>
      <w:r>
        <w:rPr>
          <w:rFonts w:eastAsia="仿宋_GB2312"/>
          <w:color w:val="000000"/>
          <w:szCs w:val="32"/>
        </w:rPr>
        <w:t>，加强骨干科技服务业机构的引进和培育工作。（</w:t>
      </w:r>
      <w:r>
        <w:rPr>
          <w:rFonts w:eastAsia="楷体_GB2312"/>
          <w:color w:val="000000"/>
          <w:szCs w:val="32"/>
        </w:rPr>
        <w:t>责任处室：科技服务业处、产学研合作处</w:t>
      </w:r>
      <w:r>
        <w:rPr>
          <w:rFonts w:eastAsia="仿宋_GB2312"/>
          <w:color w:val="000000"/>
          <w:szCs w:val="32"/>
        </w:rPr>
        <w:t>）</w:t>
      </w:r>
    </w:p>
    <w:p>
      <w:pPr>
        <w:pStyle w:val="44"/>
        <w:tabs>
          <w:tab w:val="left" w:pos="1596"/>
        </w:tabs>
        <w:overflowPunct w:val="0"/>
        <w:adjustRightInd w:val="0"/>
        <w:spacing w:line="570" w:lineRule="exact"/>
        <w:ind w:firstLine="641"/>
        <w:rPr>
          <w:rFonts w:eastAsia="黑体"/>
          <w:bCs/>
          <w:color w:val="000000"/>
          <w:szCs w:val="32"/>
        </w:rPr>
      </w:pPr>
      <w:r>
        <w:rPr>
          <w:rFonts w:eastAsia="黑体"/>
          <w:bCs/>
          <w:color w:val="000000"/>
          <w:szCs w:val="32"/>
        </w:rPr>
        <w:t>二、促进核心技术攻关</w:t>
      </w:r>
    </w:p>
    <w:p>
      <w:pPr>
        <w:pStyle w:val="44"/>
        <w:tabs>
          <w:tab w:val="left" w:pos="1596"/>
        </w:tabs>
        <w:overflowPunct w:val="0"/>
        <w:adjustRightInd w:val="0"/>
        <w:spacing w:line="570" w:lineRule="exact"/>
        <w:ind w:firstLine="641"/>
        <w:rPr>
          <w:rFonts w:eastAsia="仿宋_GB2312"/>
          <w:bCs/>
          <w:color w:val="000000"/>
          <w:szCs w:val="32"/>
        </w:rPr>
      </w:pPr>
      <w:r>
        <w:rPr>
          <w:rFonts w:eastAsia="楷体_GB2312"/>
          <w:b/>
          <w:color w:val="000000"/>
          <w:szCs w:val="32"/>
        </w:rPr>
        <w:t>（四）深化“揭榜挂帅”科技攻关。</w:t>
      </w:r>
      <w:r>
        <w:rPr>
          <w:rFonts w:eastAsia="仿宋_GB2312"/>
          <w:bCs/>
          <w:color w:val="000000"/>
          <w:szCs w:val="32"/>
        </w:rPr>
        <w:t>聚焦新能源汽车关键零部件细分领域“卡脖子”问题，整合多方创新要素和资源，组织实施“揭榜挂帅”科技攻关。鼓励比亚迪、理想等整车龙头企业在常发布新产品研发相关技术需求，通过“揭榜挂帅”科技攻关，破解制约产业发展的关键共性技术难题，推动本地关键零部件企业融入整车企业的研发体系，促进供应链管理与研发协同。</w:t>
      </w:r>
      <w:r>
        <w:rPr>
          <w:rFonts w:eastAsia="仿宋_GB2312"/>
          <w:color w:val="000000"/>
          <w:szCs w:val="32"/>
        </w:rPr>
        <w:t>（</w:t>
      </w:r>
      <w:r>
        <w:rPr>
          <w:rFonts w:eastAsia="楷体_GB2312"/>
          <w:color w:val="000000"/>
          <w:szCs w:val="32"/>
        </w:rPr>
        <w:t>责任处室：产学研合作处、发展规划与资源配置处</w:t>
      </w:r>
      <w:r>
        <w:rPr>
          <w:rFonts w:eastAsia="仿宋_GB2312"/>
          <w:color w:val="000000"/>
          <w:szCs w:val="32"/>
        </w:rPr>
        <w:t>）</w:t>
      </w:r>
    </w:p>
    <w:p>
      <w:pPr>
        <w:overflowPunct w:val="0"/>
        <w:adjustRightInd w:val="0"/>
        <w:snapToGrid w:val="0"/>
        <w:spacing w:line="570" w:lineRule="exact"/>
        <w:ind w:firstLine="641"/>
        <w:rPr>
          <w:rFonts w:eastAsia="仿宋_GB2312"/>
          <w:b/>
          <w:bCs/>
          <w:snapToGrid w:val="0"/>
          <w:color w:val="000000"/>
          <w:kern w:val="0"/>
          <w:sz w:val="32"/>
          <w:szCs w:val="32"/>
        </w:rPr>
      </w:pPr>
      <w:r>
        <w:rPr>
          <w:rFonts w:eastAsia="楷体_GB2312"/>
          <w:b/>
          <w:snapToGrid w:val="0"/>
          <w:color w:val="000000"/>
          <w:kern w:val="0"/>
          <w:sz w:val="32"/>
          <w:szCs w:val="32"/>
        </w:rPr>
        <w:t>（五）组建创新联合体。</w:t>
      </w:r>
      <w:r>
        <w:rPr>
          <w:rFonts w:eastAsia="仿宋_GB2312"/>
          <w:bCs/>
          <w:snapToGrid w:val="0"/>
          <w:color w:val="000000"/>
          <w:kern w:val="0"/>
          <w:sz w:val="32"/>
          <w:szCs w:val="32"/>
        </w:rPr>
        <w:t>支持本地新能源汽车零部件领域龙头企业联合产业链上下游资源，通过组建创新联合体实施技术升级与产品迭代，进一步提升竞争实力。在市科技计划中探索设置“项目+课题”方式的项目指南，支持新能源汽车零部件产业的创新联合体进行重点研发项目攻关。（</w:t>
      </w:r>
      <w:r>
        <w:rPr>
          <w:rFonts w:eastAsia="楷体_GB2312"/>
          <w:bCs/>
          <w:snapToGrid w:val="0"/>
          <w:color w:val="000000"/>
          <w:kern w:val="0"/>
          <w:sz w:val="32"/>
          <w:szCs w:val="32"/>
        </w:rPr>
        <w:t>责任处室：高新技术处、发展规划与资源配置处</w:t>
      </w:r>
      <w:r>
        <w:rPr>
          <w:rFonts w:eastAsia="仿宋_GB2312"/>
          <w:bCs/>
          <w:snapToGrid w:val="0"/>
          <w:color w:val="000000"/>
          <w:kern w:val="0"/>
          <w:sz w:val="32"/>
          <w:szCs w:val="32"/>
        </w:rPr>
        <w:t>）</w:t>
      </w:r>
    </w:p>
    <w:p>
      <w:pPr>
        <w:overflowPunct w:val="0"/>
        <w:adjustRightInd w:val="0"/>
        <w:snapToGrid w:val="0"/>
        <w:spacing w:line="570" w:lineRule="exact"/>
        <w:ind w:firstLine="641"/>
        <w:rPr>
          <w:rFonts w:eastAsia="仿宋_GB2312"/>
          <w:b/>
          <w:bCs/>
          <w:snapToGrid w:val="0"/>
          <w:color w:val="000000"/>
          <w:kern w:val="0"/>
          <w:sz w:val="32"/>
          <w:szCs w:val="32"/>
        </w:rPr>
      </w:pPr>
      <w:r>
        <w:rPr>
          <w:rFonts w:eastAsia="楷体_GB2312"/>
          <w:b/>
          <w:snapToGrid w:val="0"/>
          <w:color w:val="000000"/>
          <w:kern w:val="0"/>
          <w:sz w:val="32"/>
          <w:szCs w:val="32"/>
        </w:rPr>
        <w:t>（六）推进科技项目引导。</w:t>
      </w:r>
      <w:r>
        <w:rPr>
          <w:rFonts w:eastAsia="仿宋_GB2312"/>
          <w:bCs/>
          <w:snapToGrid w:val="0"/>
          <w:color w:val="000000"/>
          <w:kern w:val="0"/>
          <w:sz w:val="32"/>
          <w:szCs w:val="32"/>
        </w:rPr>
        <w:t>瞄准新能源汽车关键零部件细分领域，市区联动深度挖掘科技项目，积极向上争取项目资源支持，助力企业提升技术创新能力。优化迭代市科技计划体系，加强新能源汽车零部件产业前瞻技术布局和关键核心技术攻关，在应用基础研究、产业前瞻和关键核心技术、科技成果转化培育等计划指南中设立专题，组织实施科技计划项目，支持新能源汽车零部件企业加快产品开发与技术研发。（</w:t>
      </w:r>
      <w:r>
        <w:rPr>
          <w:rFonts w:eastAsia="楷体_GB2312"/>
          <w:bCs/>
          <w:snapToGrid w:val="0"/>
          <w:color w:val="000000"/>
          <w:kern w:val="0"/>
          <w:sz w:val="32"/>
          <w:szCs w:val="32"/>
        </w:rPr>
        <w:t>责任处室：发展规划与资源配置处、农村与社会发展科技处、高新技术处、科技服务业处</w:t>
      </w:r>
      <w:r>
        <w:rPr>
          <w:rFonts w:eastAsia="仿宋_GB2312"/>
          <w:bCs/>
          <w:snapToGrid w:val="0"/>
          <w:color w:val="000000"/>
          <w:kern w:val="0"/>
          <w:sz w:val="32"/>
          <w:szCs w:val="32"/>
        </w:rPr>
        <w:t>）</w:t>
      </w:r>
    </w:p>
    <w:p>
      <w:pPr>
        <w:pStyle w:val="44"/>
        <w:tabs>
          <w:tab w:val="left" w:pos="1596"/>
        </w:tabs>
        <w:overflowPunct w:val="0"/>
        <w:adjustRightInd w:val="0"/>
        <w:spacing w:line="570" w:lineRule="exact"/>
        <w:ind w:firstLine="641"/>
        <w:rPr>
          <w:rFonts w:eastAsia="黑体"/>
          <w:bCs/>
          <w:color w:val="000000"/>
          <w:szCs w:val="32"/>
        </w:rPr>
      </w:pPr>
      <w:r>
        <w:rPr>
          <w:rFonts w:eastAsia="黑体"/>
          <w:bCs/>
          <w:color w:val="000000"/>
          <w:szCs w:val="32"/>
        </w:rPr>
        <w:t>三、推进科技项目招引</w:t>
      </w:r>
    </w:p>
    <w:p>
      <w:pPr>
        <w:overflowPunct w:val="0"/>
        <w:adjustRightInd w:val="0"/>
        <w:snapToGrid w:val="0"/>
        <w:spacing w:line="570" w:lineRule="exact"/>
        <w:ind w:firstLine="641"/>
        <w:rPr>
          <w:rFonts w:eastAsia="仿宋_GB2312"/>
          <w:snapToGrid w:val="0"/>
          <w:kern w:val="0"/>
          <w:sz w:val="32"/>
        </w:rPr>
      </w:pPr>
      <w:r>
        <w:rPr>
          <w:rFonts w:eastAsia="楷体_GB2312"/>
          <w:b/>
          <w:snapToGrid w:val="0"/>
          <w:color w:val="000000"/>
          <w:kern w:val="0"/>
          <w:sz w:val="32"/>
          <w:szCs w:val="32"/>
        </w:rPr>
        <w:t>（七）提高科技招商的精准性。</w:t>
      </w:r>
      <w:r>
        <w:rPr>
          <w:rFonts w:eastAsia="仿宋_GB2312"/>
          <w:snapToGrid w:val="0"/>
          <w:kern w:val="0"/>
          <w:sz w:val="32"/>
        </w:rPr>
        <w:t>聚焦三电系统、智能网联、氢燃料电池、充换电设施、制造装备以及零部件共性技术等重点方向，围绕新能源汽车关键零部件细分领域梳理国内重点创新平台及其领军人才情况，编制产业链创新平台索引。推动各辖市、区加快建立科技招商队伍，以索引为指南明确创新资源重点招引方向，按照“整车向产业链布局”工作部署，配置力量推进新能源汽车关键零部件细分领域科技招商。（</w:t>
      </w:r>
      <w:r>
        <w:rPr>
          <w:rFonts w:eastAsia="楷体_GB2312"/>
          <w:bCs/>
          <w:snapToGrid w:val="0"/>
          <w:color w:val="000000"/>
          <w:kern w:val="0"/>
          <w:sz w:val="32"/>
          <w:szCs w:val="32"/>
        </w:rPr>
        <w:t>责任处室：</w:t>
      </w:r>
      <w:r>
        <w:rPr>
          <w:rFonts w:eastAsia="楷体_GB2312"/>
          <w:snapToGrid w:val="0"/>
          <w:kern w:val="0"/>
          <w:sz w:val="32"/>
        </w:rPr>
        <w:t>创新发展处、对外合作与人才处</w:t>
      </w:r>
      <w:r>
        <w:rPr>
          <w:rFonts w:eastAsia="仿宋_GB2312"/>
          <w:snapToGrid w:val="0"/>
          <w:kern w:val="0"/>
          <w:sz w:val="32"/>
        </w:rPr>
        <w:t>）</w:t>
      </w:r>
    </w:p>
    <w:p>
      <w:pPr>
        <w:overflowPunct w:val="0"/>
        <w:adjustRightInd w:val="0"/>
        <w:snapToGrid w:val="0"/>
        <w:spacing w:line="570" w:lineRule="exact"/>
        <w:ind w:firstLine="641"/>
        <w:rPr>
          <w:rFonts w:eastAsia="仿宋_GB2312"/>
          <w:b/>
          <w:snapToGrid w:val="0"/>
          <w:kern w:val="0"/>
          <w:sz w:val="32"/>
        </w:rPr>
      </w:pPr>
      <w:r>
        <w:rPr>
          <w:rFonts w:eastAsia="楷体_GB2312"/>
          <w:b/>
          <w:snapToGrid w:val="0"/>
          <w:color w:val="000000"/>
          <w:kern w:val="0"/>
          <w:sz w:val="32"/>
          <w:szCs w:val="32"/>
        </w:rPr>
        <w:t>（八）激发企业延链的能动性。</w:t>
      </w:r>
      <w:r>
        <w:rPr>
          <w:rFonts w:eastAsia="仿宋_GB2312"/>
          <w:snapToGrid w:val="0"/>
          <w:kern w:val="0"/>
          <w:sz w:val="32"/>
        </w:rPr>
        <w:t>鼓励我市新能源汽车零部件产业龙头企业根据自身战略布局与延链需求，跨领域投资并购、引进、孵化产业链初创型科技企业及中小微项目。支持龙头企业结合产业链优势地位，建设专业孵化器，加强项目孵化能力；鼓励龙头企业依托区域科创综合体，一站式培育中小微项目、加速初创企业发展。大力推广“苏科贷”、“创新贷”等科技信贷产品，动态更新企业入库名单，靠前服务企业融资需求。（</w:t>
      </w:r>
      <w:r>
        <w:rPr>
          <w:rFonts w:eastAsia="楷体_GB2312"/>
          <w:bCs/>
          <w:snapToGrid w:val="0"/>
          <w:color w:val="000000"/>
          <w:kern w:val="0"/>
          <w:sz w:val="32"/>
          <w:szCs w:val="32"/>
        </w:rPr>
        <w:t>责任处室：创新发展处、高新技术处、科技服务业处</w:t>
      </w:r>
      <w:r>
        <w:rPr>
          <w:rFonts w:eastAsia="仿宋_GB2312"/>
          <w:snapToGrid w:val="0"/>
          <w:kern w:val="0"/>
          <w:sz w:val="32"/>
        </w:rPr>
        <w:t>）</w:t>
      </w:r>
    </w:p>
    <w:p>
      <w:pPr>
        <w:overflowPunct w:val="0"/>
        <w:adjustRightInd w:val="0"/>
        <w:snapToGrid w:val="0"/>
        <w:spacing w:line="570" w:lineRule="exact"/>
        <w:ind w:firstLine="641"/>
        <w:rPr>
          <w:rFonts w:hint="eastAsia" w:eastAsia="仿宋_GB2312"/>
          <w:bCs/>
          <w:snapToGrid w:val="0"/>
          <w:color w:val="000000"/>
          <w:kern w:val="0"/>
          <w:sz w:val="32"/>
          <w:szCs w:val="32"/>
        </w:rPr>
      </w:pPr>
      <w:r>
        <w:rPr>
          <w:rFonts w:eastAsia="楷体_GB2312"/>
          <w:b/>
          <w:snapToGrid w:val="0"/>
          <w:color w:val="000000"/>
          <w:kern w:val="0"/>
          <w:sz w:val="32"/>
          <w:szCs w:val="32"/>
        </w:rPr>
        <w:t>（九）拓宽交流合作的开放性。</w:t>
      </w:r>
      <w:r>
        <w:rPr>
          <w:rFonts w:eastAsia="仿宋_GB2312"/>
          <w:snapToGrid w:val="0"/>
          <w:kern w:val="0"/>
          <w:sz w:val="32"/>
        </w:rPr>
        <w:t>持续开展“科技新长征”，积极参与科技经贸洽谈会，对接三电系统、智能网联等领域重点高校院所与企业，挖掘重大创新合作需求。深化中以、中德等国际科技合作，常态化实施中以国际“揭榜挂帅”专项，支持新能源汽车领域企业建设海外离岸创新中心，实施国际科技项目合作与海外人才招引。联动长城所等第三方资源，聚焦新能源汽车关键零部件细分领域，拓展与市外（潜在）独角兽企业的交流互动，围绕“一赛一课三营”，深化科创“优</w:t>
      </w:r>
      <w:r>
        <w:rPr>
          <w:rFonts w:eastAsia="仿宋_GB2312"/>
          <w:snapToGrid w:val="0"/>
          <w:kern w:val="0"/>
          <w:sz w:val="32"/>
          <w:vertAlign w:val="superscript"/>
        </w:rPr>
        <w:t>+</w:t>
      </w:r>
      <w:r>
        <w:rPr>
          <w:rFonts w:eastAsia="仿宋_GB2312"/>
          <w:snapToGrid w:val="0"/>
          <w:kern w:val="0"/>
          <w:sz w:val="32"/>
        </w:rPr>
        <w:t>”服务。</w:t>
      </w:r>
      <w:r>
        <w:rPr>
          <w:rFonts w:eastAsia="仿宋_GB2312"/>
          <w:bCs/>
          <w:snapToGrid w:val="0"/>
          <w:color w:val="000000"/>
          <w:kern w:val="0"/>
          <w:sz w:val="32"/>
          <w:szCs w:val="32"/>
        </w:rPr>
        <w:t>（</w:t>
      </w:r>
      <w:r>
        <w:rPr>
          <w:rFonts w:eastAsia="楷体_GB2312"/>
          <w:bCs/>
          <w:snapToGrid w:val="0"/>
          <w:color w:val="000000"/>
          <w:kern w:val="0"/>
          <w:sz w:val="32"/>
          <w:szCs w:val="32"/>
        </w:rPr>
        <w:t>责任处室：创新发展处、产学研合作处、高新技术处、对外合作与人才处、引进国外智力工作处</w:t>
      </w:r>
      <w:r>
        <w:rPr>
          <w:rFonts w:eastAsia="仿宋_GB2312"/>
          <w:bCs/>
          <w:snapToGrid w:val="0"/>
          <w:color w:val="000000"/>
          <w:kern w:val="0"/>
          <w:sz w:val="32"/>
          <w:szCs w:val="32"/>
        </w:rPr>
        <w:t>）</w:t>
      </w:r>
    </w:p>
    <w:p>
      <w:pPr>
        <w:overflowPunct w:val="0"/>
        <w:adjustRightInd w:val="0"/>
        <w:snapToGrid w:val="0"/>
        <w:spacing w:line="570" w:lineRule="exact"/>
        <w:ind w:firstLine="641"/>
        <w:rPr>
          <w:rFonts w:hint="eastAsia" w:eastAsia="仿宋_GB2312"/>
          <w:snapToGrid w:val="0"/>
          <w:kern w:val="0"/>
          <w:sz w:val="32"/>
        </w:rPr>
      </w:pPr>
    </w:p>
    <w:p>
      <w:pPr>
        <w:overflowPunct w:val="0"/>
        <w:adjustRightInd w:val="0"/>
        <w:snapToGrid w:val="0"/>
        <w:spacing w:line="570" w:lineRule="exact"/>
        <w:ind w:firstLine="641"/>
        <w:rPr>
          <w:rFonts w:eastAsia="仿宋_GB2312"/>
          <w:snapToGrid w:val="0"/>
          <w:kern w:val="0"/>
          <w:sz w:val="32"/>
        </w:rPr>
      </w:pPr>
      <w:r>
        <w:rPr>
          <w:rFonts w:hint="eastAsia" w:eastAsia="仿宋_GB2312"/>
          <w:snapToGrid w:val="0"/>
          <w:kern w:val="0"/>
          <w:sz w:val="32"/>
        </w:rPr>
        <w:t>附件：</w:t>
      </w:r>
      <w:r>
        <w:rPr>
          <w:rFonts w:eastAsia="仿宋_GB2312"/>
          <w:snapToGrid w:val="0"/>
          <w:kern w:val="0"/>
          <w:sz w:val="32"/>
        </w:rPr>
        <w:t>新能源汽车零部件产业重点技术方向清单</w:t>
      </w:r>
    </w:p>
    <w:p>
      <w:pPr>
        <w:tabs>
          <w:tab w:val="left" w:pos="7230"/>
          <w:tab w:val="left" w:pos="7655"/>
        </w:tabs>
        <w:overflowPunct w:val="0"/>
        <w:autoSpaceDE w:val="0"/>
        <w:autoSpaceDN w:val="0"/>
        <w:adjustRightInd w:val="0"/>
        <w:snapToGrid w:val="0"/>
        <w:spacing w:line="570" w:lineRule="exact"/>
        <w:jc w:val="left"/>
        <w:rPr>
          <w:rFonts w:eastAsia="仿宋_GB2312"/>
          <w:snapToGrid w:val="0"/>
          <w:color w:val="000000" w:themeColor="text1"/>
          <w:kern w:val="0"/>
          <w:sz w:val="32"/>
          <w:szCs w:val="32"/>
          <w14:textFill>
            <w14:solidFill>
              <w14:schemeClr w14:val="tx1"/>
            </w14:solidFill>
          </w14:textFill>
        </w:rPr>
      </w:pPr>
      <w:r>
        <w:rPr>
          <w:rFonts w:eastAsia="仿宋_GB2312"/>
          <w:snapToGrid w:val="0"/>
          <w:color w:val="000000" w:themeColor="text1"/>
          <w:kern w:val="0"/>
          <w:sz w:val="32"/>
          <w:szCs w:val="32"/>
          <w14:textFill>
            <w14:solidFill>
              <w14:schemeClr w14:val="tx1"/>
            </w14:solidFill>
          </w14:textFill>
        </w:rPr>
        <w:br w:type="page"/>
      </w:r>
    </w:p>
    <w:p>
      <w:pPr>
        <w:spacing w:line="570" w:lineRule="exact"/>
        <w:rPr>
          <w:rFonts w:ascii="黑体" w:hAnsi="黑体" w:eastAsia="黑体"/>
          <w:sz w:val="32"/>
        </w:rPr>
      </w:pPr>
      <w:r>
        <w:rPr>
          <w:rFonts w:ascii="黑体" w:hAnsi="黑体" w:eastAsia="黑体"/>
          <w:sz w:val="32"/>
        </w:rPr>
        <w:t>附件</w:t>
      </w:r>
    </w:p>
    <w:p>
      <w:pPr>
        <w:spacing w:line="570" w:lineRule="exact"/>
        <w:rPr>
          <w:rFonts w:eastAsia="仿宋_GB2312"/>
          <w:sz w:val="32"/>
        </w:rPr>
      </w:pPr>
    </w:p>
    <w:p>
      <w:pPr>
        <w:spacing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新能源汽车零部件产业重点技术方向清单</w:t>
      </w:r>
      <w:r>
        <w:rPr>
          <w:rStyle w:val="29"/>
          <w:rFonts w:hint="eastAsia" w:ascii="方正小标宋简体" w:eastAsia="方正小标宋简体"/>
          <w:sz w:val="44"/>
          <w:szCs w:val="44"/>
        </w:rPr>
        <w:footnoteReference w:id="0"/>
      </w:r>
    </w:p>
    <w:p>
      <w:pPr>
        <w:spacing w:line="570" w:lineRule="exact"/>
        <w:jc w:val="center"/>
        <w:rPr>
          <w:rFonts w:eastAsia="仿宋_GB2312"/>
          <w:sz w:val="32"/>
        </w:rPr>
      </w:pPr>
    </w:p>
    <w:tbl>
      <w:tblPr>
        <w:tblStyle w:val="2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85"/>
        <w:gridCol w:w="728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37" w:type="dxa"/>
            <w:vAlign w:val="center"/>
          </w:tcPr>
          <w:p>
            <w:pPr>
              <w:overflowPunct w:val="0"/>
              <w:autoSpaceDE w:val="0"/>
              <w:autoSpaceDN w:val="0"/>
              <w:adjustRightInd w:val="0"/>
              <w:snapToGrid w:val="0"/>
              <w:spacing w:line="420" w:lineRule="exact"/>
              <w:jc w:val="center"/>
              <w:rPr>
                <w:rFonts w:ascii="黑体" w:hAnsi="黑体" w:eastAsia="黑体"/>
                <w:snapToGrid w:val="0"/>
                <w:kern w:val="0"/>
                <w:sz w:val="28"/>
                <w:szCs w:val="28"/>
              </w:rPr>
            </w:pPr>
            <w:r>
              <w:rPr>
                <w:rFonts w:ascii="黑体" w:hAnsi="黑体" w:eastAsia="黑体"/>
                <w:snapToGrid w:val="0"/>
                <w:kern w:val="0"/>
                <w:sz w:val="28"/>
                <w:szCs w:val="28"/>
              </w:rPr>
              <w:t>领  域</w:t>
            </w:r>
          </w:p>
        </w:tc>
        <w:tc>
          <w:tcPr>
            <w:tcW w:w="7091" w:type="dxa"/>
            <w:vAlign w:val="center"/>
          </w:tcPr>
          <w:p>
            <w:pPr>
              <w:overflowPunct w:val="0"/>
              <w:autoSpaceDE w:val="0"/>
              <w:autoSpaceDN w:val="0"/>
              <w:adjustRightInd w:val="0"/>
              <w:snapToGrid w:val="0"/>
              <w:spacing w:line="420" w:lineRule="exact"/>
              <w:jc w:val="center"/>
              <w:rPr>
                <w:rFonts w:ascii="黑体" w:hAnsi="黑体" w:eastAsia="黑体"/>
                <w:snapToGrid w:val="0"/>
                <w:kern w:val="0"/>
                <w:sz w:val="28"/>
                <w:szCs w:val="28"/>
              </w:rPr>
            </w:pPr>
            <w:r>
              <w:rPr>
                <w:rFonts w:ascii="黑体" w:hAnsi="黑体" w:eastAsia="黑体"/>
                <w:snapToGrid w:val="0"/>
                <w:kern w:val="0"/>
                <w:sz w:val="28"/>
                <w:szCs w:val="28"/>
              </w:rPr>
              <w:t>重点技术方向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37" w:type="dxa"/>
            <w:shd w:val="clear" w:color="auto" w:fill="FFFFFF" w:themeFill="background1"/>
            <w:vAlign w:val="center"/>
          </w:tcPr>
          <w:p>
            <w:pPr>
              <w:overflowPunct w:val="0"/>
              <w:autoSpaceDE w:val="0"/>
              <w:autoSpaceDN w:val="0"/>
              <w:adjustRightInd w:val="0"/>
              <w:snapToGrid w:val="0"/>
              <w:spacing w:line="420" w:lineRule="exact"/>
              <w:jc w:val="center"/>
              <w:rPr>
                <w:rFonts w:eastAsia="仿宋_GB2312"/>
                <w:snapToGrid w:val="0"/>
                <w:kern w:val="0"/>
                <w:sz w:val="28"/>
                <w:szCs w:val="28"/>
              </w:rPr>
            </w:pPr>
            <w:r>
              <w:rPr>
                <w:rFonts w:eastAsia="仿宋_GB2312"/>
                <w:snapToGrid w:val="0"/>
                <w:kern w:val="0"/>
                <w:sz w:val="28"/>
                <w:szCs w:val="28"/>
              </w:rPr>
              <w:t>电池</w:t>
            </w:r>
          </w:p>
        </w:tc>
        <w:tc>
          <w:tcPr>
            <w:tcW w:w="7091" w:type="dxa"/>
            <w:vAlign w:val="center"/>
          </w:tcPr>
          <w:p>
            <w:pPr>
              <w:overflowPunct w:val="0"/>
              <w:autoSpaceDE w:val="0"/>
              <w:autoSpaceDN w:val="0"/>
              <w:adjustRightInd w:val="0"/>
              <w:snapToGrid w:val="0"/>
              <w:spacing w:line="420" w:lineRule="exact"/>
              <w:rPr>
                <w:rFonts w:eastAsia="仿宋_GB2312"/>
                <w:snapToGrid w:val="0"/>
                <w:kern w:val="0"/>
                <w:sz w:val="28"/>
                <w:szCs w:val="28"/>
              </w:rPr>
            </w:pPr>
            <w:r>
              <w:rPr>
                <w:rFonts w:eastAsia="仿宋_GB2312"/>
                <w:sz w:val="28"/>
                <w:szCs w:val="28"/>
              </w:rPr>
              <w:t>全气候/宽温域/高安全/长续航动力电池取得重大进展，高比容量</w:t>
            </w:r>
            <w:r>
              <w:rPr>
                <w:rFonts w:eastAsia="仿宋_GB2312"/>
                <w:bCs/>
                <w:sz w:val="28"/>
                <w:szCs w:val="28"/>
              </w:rPr>
              <w:t>及高安全</w:t>
            </w:r>
            <w:r>
              <w:rPr>
                <w:rFonts w:eastAsia="仿宋_GB2312"/>
                <w:sz w:val="28"/>
                <w:szCs w:val="28"/>
              </w:rPr>
              <w:t>正极/负极材料</w:t>
            </w:r>
            <w:r>
              <w:rPr>
                <w:rFonts w:eastAsia="仿宋_GB2312"/>
                <w:bCs/>
                <w:sz w:val="28"/>
                <w:szCs w:val="28"/>
              </w:rPr>
              <w:t>、耐高温隔膜材料、耐高压阻燃电解液、电池管理系统（BMS）、</w:t>
            </w:r>
            <w:r>
              <w:rPr>
                <w:rFonts w:eastAsia="仿宋_GB2312"/>
                <w:sz w:val="28"/>
                <w:szCs w:val="28"/>
              </w:rPr>
              <w:t>钠离子电池、固态锂离子等下一代电池前瞻技术取得重大突破。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37" w:type="dxa"/>
            <w:shd w:val="clear" w:color="auto" w:fill="FFFFFF" w:themeFill="background1"/>
            <w:vAlign w:val="center"/>
          </w:tcPr>
          <w:p>
            <w:pPr>
              <w:overflowPunct w:val="0"/>
              <w:autoSpaceDE w:val="0"/>
              <w:autoSpaceDN w:val="0"/>
              <w:adjustRightInd w:val="0"/>
              <w:snapToGrid w:val="0"/>
              <w:spacing w:line="420" w:lineRule="exact"/>
              <w:jc w:val="center"/>
              <w:rPr>
                <w:rFonts w:eastAsia="仿宋_GB2312"/>
                <w:snapToGrid w:val="0"/>
                <w:kern w:val="0"/>
                <w:sz w:val="28"/>
                <w:szCs w:val="28"/>
              </w:rPr>
            </w:pPr>
            <w:r>
              <w:rPr>
                <w:rFonts w:eastAsia="仿宋_GB2312"/>
                <w:snapToGrid w:val="0"/>
                <w:kern w:val="0"/>
                <w:sz w:val="28"/>
                <w:szCs w:val="28"/>
              </w:rPr>
              <w:t>电机电控</w:t>
            </w:r>
          </w:p>
        </w:tc>
        <w:tc>
          <w:tcPr>
            <w:tcW w:w="7091" w:type="dxa"/>
            <w:vAlign w:val="center"/>
          </w:tcPr>
          <w:p>
            <w:pPr>
              <w:spacing w:line="420" w:lineRule="exact"/>
              <w:rPr>
                <w:rFonts w:eastAsia="仿宋_GB2312"/>
                <w:snapToGrid w:val="0"/>
                <w:kern w:val="0"/>
                <w:sz w:val="28"/>
                <w:szCs w:val="28"/>
              </w:rPr>
            </w:pPr>
            <w:r>
              <w:rPr>
                <w:rFonts w:eastAsia="仿宋_GB2312"/>
                <w:bCs/>
                <w:sz w:val="28"/>
                <w:szCs w:val="28"/>
              </w:rPr>
              <w:t>聚焦纯电驱动总成、插电式机电耦合总成等，电驱动系统集成度、驱动电机功率密度与效率、电机控制器功率密度提升</w:t>
            </w:r>
            <w:r>
              <w:rPr>
                <w:rFonts w:eastAsia="仿宋_GB2312"/>
                <w:sz w:val="28"/>
                <w:szCs w:val="28"/>
              </w:rPr>
              <w:t>取得重大突破</w:t>
            </w:r>
            <w:r>
              <w:rPr>
                <w:rFonts w:eastAsia="仿宋_GB2312"/>
                <w:bCs/>
                <w:sz w:val="28"/>
                <w:szCs w:val="28"/>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37" w:type="dxa"/>
            <w:shd w:val="clear" w:color="auto" w:fill="FFFFFF" w:themeFill="background1"/>
            <w:vAlign w:val="center"/>
          </w:tcPr>
          <w:p>
            <w:pPr>
              <w:overflowPunct w:val="0"/>
              <w:autoSpaceDE w:val="0"/>
              <w:autoSpaceDN w:val="0"/>
              <w:adjustRightInd w:val="0"/>
              <w:snapToGrid w:val="0"/>
              <w:spacing w:line="420" w:lineRule="exact"/>
              <w:jc w:val="center"/>
              <w:rPr>
                <w:rFonts w:eastAsia="仿宋_GB2312"/>
                <w:b/>
                <w:snapToGrid w:val="0"/>
                <w:kern w:val="0"/>
                <w:sz w:val="28"/>
                <w:szCs w:val="28"/>
              </w:rPr>
            </w:pPr>
            <w:r>
              <w:rPr>
                <w:rFonts w:eastAsia="仿宋_GB2312"/>
                <w:bCs/>
                <w:sz w:val="28"/>
                <w:szCs w:val="28"/>
              </w:rPr>
              <w:t>智能网联</w:t>
            </w:r>
          </w:p>
        </w:tc>
        <w:tc>
          <w:tcPr>
            <w:tcW w:w="7091" w:type="dxa"/>
            <w:vAlign w:val="center"/>
          </w:tcPr>
          <w:p>
            <w:pPr>
              <w:spacing w:line="420" w:lineRule="exact"/>
              <w:rPr>
                <w:rFonts w:eastAsia="仿宋_GB2312"/>
                <w:snapToGrid w:val="0"/>
                <w:kern w:val="0"/>
                <w:sz w:val="28"/>
                <w:szCs w:val="28"/>
              </w:rPr>
            </w:pPr>
            <w:r>
              <w:rPr>
                <w:rFonts w:eastAsia="仿宋_GB2312"/>
                <w:bCs/>
                <w:sz w:val="28"/>
                <w:szCs w:val="28"/>
              </w:rPr>
              <w:t>以智能车辆、信息交互为重点，突破智能驾驶算法、车载操作系统、车载宽带网络、车载计算单元、域控制器、汽车环境感知、汽车线控底盘、车联网信息安全等关键核心技术。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37" w:type="dxa"/>
            <w:shd w:val="clear" w:color="auto" w:fill="FFFFFF" w:themeFill="background1"/>
            <w:vAlign w:val="center"/>
          </w:tcPr>
          <w:p>
            <w:pPr>
              <w:overflowPunct w:val="0"/>
              <w:autoSpaceDE w:val="0"/>
              <w:autoSpaceDN w:val="0"/>
              <w:adjustRightInd w:val="0"/>
              <w:snapToGrid w:val="0"/>
              <w:spacing w:line="420" w:lineRule="exact"/>
              <w:jc w:val="center"/>
              <w:rPr>
                <w:rFonts w:eastAsia="仿宋_GB2312"/>
                <w:snapToGrid w:val="0"/>
                <w:kern w:val="0"/>
                <w:sz w:val="28"/>
                <w:szCs w:val="28"/>
              </w:rPr>
            </w:pPr>
            <w:r>
              <w:rPr>
                <w:rFonts w:eastAsia="仿宋_GB2312"/>
                <w:sz w:val="28"/>
                <w:szCs w:val="28"/>
              </w:rPr>
              <w:t>氢燃料电池</w:t>
            </w:r>
          </w:p>
        </w:tc>
        <w:tc>
          <w:tcPr>
            <w:tcW w:w="7091" w:type="dxa"/>
            <w:vAlign w:val="center"/>
          </w:tcPr>
          <w:p>
            <w:pPr>
              <w:spacing w:line="420" w:lineRule="exact"/>
              <w:rPr>
                <w:rFonts w:eastAsia="仿宋_GB2312"/>
                <w:snapToGrid w:val="0"/>
                <w:kern w:val="0"/>
                <w:sz w:val="28"/>
                <w:szCs w:val="28"/>
              </w:rPr>
            </w:pPr>
            <w:r>
              <w:rPr>
                <w:rFonts w:eastAsia="仿宋_GB2312"/>
                <w:bCs/>
                <w:sz w:val="28"/>
                <w:szCs w:val="28"/>
              </w:rPr>
              <w:t>重点推进燃料电池堆、关键材料（双极板、质子交换膜等）、空压机、氢气循环系统、高压储氢瓶等核心产品的技术攻关。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37" w:type="dxa"/>
            <w:shd w:val="clear" w:color="auto" w:fill="FFFFFF" w:themeFill="background1"/>
            <w:vAlign w:val="center"/>
          </w:tcPr>
          <w:p>
            <w:pPr>
              <w:overflowPunct w:val="0"/>
              <w:autoSpaceDE w:val="0"/>
              <w:autoSpaceDN w:val="0"/>
              <w:adjustRightInd w:val="0"/>
              <w:snapToGrid w:val="0"/>
              <w:spacing w:line="420" w:lineRule="exact"/>
              <w:jc w:val="center"/>
              <w:rPr>
                <w:rFonts w:eastAsia="仿宋_GB2312"/>
                <w:snapToGrid w:val="0"/>
                <w:kern w:val="0"/>
                <w:sz w:val="28"/>
                <w:szCs w:val="28"/>
              </w:rPr>
            </w:pPr>
            <w:r>
              <w:rPr>
                <w:rFonts w:eastAsia="仿宋_GB2312"/>
                <w:snapToGrid w:val="0"/>
                <w:kern w:val="0"/>
                <w:sz w:val="28"/>
                <w:szCs w:val="28"/>
              </w:rPr>
              <w:t>充换电设施</w:t>
            </w:r>
          </w:p>
        </w:tc>
        <w:tc>
          <w:tcPr>
            <w:tcW w:w="7091" w:type="dxa"/>
            <w:vAlign w:val="center"/>
          </w:tcPr>
          <w:p>
            <w:pPr>
              <w:overflowPunct w:val="0"/>
              <w:autoSpaceDE w:val="0"/>
              <w:autoSpaceDN w:val="0"/>
              <w:adjustRightInd w:val="0"/>
              <w:snapToGrid w:val="0"/>
              <w:spacing w:line="420" w:lineRule="exact"/>
              <w:rPr>
                <w:rFonts w:eastAsia="仿宋_GB2312"/>
                <w:snapToGrid w:val="0"/>
                <w:kern w:val="0"/>
                <w:sz w:val="28"/>
                <w:szCs w:val="28"/>
              </w:rPr>
            </w:pPr>
            <w:r>
              <w:rPr>
                <w:rFonts w:eastAsia="仿宋_GB2312"/>
                <w:sz w:val="28"/>
                <w:szCs w:val="28"/>
              </w:rPr>
              <w:t>在大功率快充、有序充电、分布式储能、V2G车网互动等创新技术产品方面实现显著提升。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37" w:type="dxa"/>
            <w:shd w:val="clear" w:color="auto" w:fill="FFFFFF" w:themeFill="background1"/>
            <w:vAlign w:val="center"/>
          </w:tcPr>
          <w:p>
            <w:pPr>
              <w:overflowPunct w:val="0"/>
              <w:autoSpaceDE w:val="0"/>
              <w:autoSpaceDN w:val="0"/>
              <w:adjustRightInd w:val="0"/>
              <w:snapToGrid w:val="0"/>
              <w:spacing w:line="420" w:lineRule="exact"/>
              <w:jc w:val="center"/>
              <w:rPr>
                <w:rFonts w:eastAsia="仿宋_GB2312"/>
                <w:snapToGrid w:val="0"/>
                <w:kern w:val="0"/>
                <w:sz w:val="28"/>
                <w:szCs w:val="28"/>
              </w:rPr>
            </w:pPr>
            <w:r>
              <w:rPr>
                <w:rFonts w:eastAsia="仿宋_GB2312"/>
                <w:snapToGrid w:val="0"/>
                <w:kern w:val="0"/>
                <w:sz w:val="28"/>
                <w:szCs w:val="28"/>
              </w:rPr>
              <w:t>制造装备</w:t>
            </w:r>
          </w:p>
        </w:tc>
        <w:tc>
          <w:tcPr>
            <w:tcW w:w="7091" w:type="dxa"/>
            <w:vAlign w:val="center"/>
          </w:tcPr>
          <w:p>
            <w:pPr>
              <w:overflowPunct w:val="0"/>
              <w:autoSpaceDE w:val="0"/>
              <w:autoSpaceDN w:val="0"/>
              <w:adjustRightInd w:val="0"/>
              <w:snapToGrid w:val="0"/>
              <w:spacing w:line="420" w:lineRule="exact"/>
              <w:rPr>
                <w:rFonts w:eastAsia="仿宋_GB2312"/>
                <w:snapToGrid w:val="0"/>
                <w:kern w:val="0"/>
                <w:sz w:val="28"/>
                <w:szCs w:val="28"/>
              </w:rPr>
            </w:pPr>
            <w:r>
              <w:rPr>
                <w:rFonts w:eastAsia="仿宋_GB2312"/>
                <w:sz w:val="28"/>
                <w:szCs w:val="28"/>
                <w:shd w:val="clear" w:color="auto" w:fill="FFFFFF"/>
              </w:rPr>
              <w:t>在制造装备和生产线柔性化、信息化和智能化方向开展</w:t>
            </w:r>
            <w:r>
              <w:rPr>
                <w:rFonts w:eastAsia="仿宋_GB2312"/>
                <w:bCs/>
                <w:sz w:val="28"/>
                <w:szCs w:val="28"/>
              </w:rPr>
              <w:t>技术攻关。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37" w:type="dxa"/>
            <w:shd w:val="clear" w:color="auto" w:fill="FFFFFF" w:themeFill="background1"/>
            <w:vAlign w:val="center"/>
          </w:tcPr>
          <w:p>
            <w:pPr>
              <w:overflowPunct w:val="0"/>
              <w:autoSpaceDE w:val="0"/>
              <w:autoSpaceDN w:val="0"/>
              <w:adjustRightInd w:val="0"/>
              <w:snapToGrid w:val="0"/>
              <w:spacing w:line="420" w:lineRule="exact"/>
              <w:jc w:val="center"/>
              <w:rPr>
                <w:rFonts w:hint="eastAsia" w:eastAsia="仿宋_GB2312"/>
                <w:bCs/>
                <w:sz w:val="28"/>
                <w:szCs w:val="28"/>
              </w:rPr>
            </w:pPr>
            <w:r>
              <w:rPr>
                <w:rFonts w:eastAsia="仿宋_GB2312"/>
                <w:bCs/>
                <w:sz w:val="28"/>
                <w:szCs w:val="28"/>
              </w:rPr>
              <w:t>零部件共性</w:t>
            </w:r>
          </w:p>
          <w:p>
            <w:pPr>
              <w:overflowPunct w:val="0"/>
              <w:autoSpaceDE w:val="0"/>
              <w:autoSpaceDN w:val="0"/>
              <w:adjustRightInd w:val="0"/>
              <w:snapToGrid w:val="0"/>
              <w:spacing w:line="420" w:lineRule="exact"/>
              <w:jc w:val="center"/>
              <w:rPr>
                <w:rFonts w:eastAsia="仿宋_GB2312"/>
                <w:bCs/>
                <w:sz w:val="28"/>
                <w:szCs w:val="28"/>
              </w:rPr>
            </w:pPr>
            <w:r>
              <w:rPr>
                <w:rFonts w:eastAsia="仿宋_GB2312"/>
                <w:bCs/>
                <w:sz w:val="28"/>
                <w:szCs w:val="28"/>
              </w:rPr>
              <w:t>技术</w:t>
            </w:r>
          </w:p>
        </w:tc>
        <w:tc>
          <w:tcPr>
            <w:tcW w:w="7091" w:type="dxa"/>
            <w:vAlign w:val="center"/>
          </w:tcPr>
          <w:p>
            <w:pPr>
              <w:overflowPunct w:val="0"/>
              <w:autoSpaceDE w:val="0"/>
              <w:autoSpaceDN w:val="0"/>
              <w:adjustRightInd w:val="0"/>
              <w:snapToGrid w:val="0"/>
              <w:spacing w:line="420" w:lineRule="exact"/>
              <w:rPr>
                <w:rFonts w:eastAsia="仿宋_GB2312"/>
                <w:bCs/>
                <w:sz w:val="28"/>
                <w:szCs w:val="28"/>
              </w:rPr>
            </w:pPr>
            <w:r>
              <w:rPr>
                <w:rFonts w:eastAsia="仿宋_GB2312"/>
                <w:bCs/>
                <w:sz w:val="28"/>
                <w:szCs w:val="28"/>
              </w:rPr>
              <w:t>重点突破关键基础材料、车规级芯片、轻量化设计、计算与控制基础平台等基础共性技术</w:t>
            </w:r>
            <w:r>
              <w:rPr>
                <w:rFonts w:eastAsia="仿宋_GB2312"/>
                <w:sz w:val="28"/>
                <w:szCs w:val="28"/>
              </w:rPr>
              <w:t>，智能视觉、智能座舱等集成式功能模块实现智能化升级</w:t>
            </w:r>
            <w:r>
              <w:rPr>
                <w:rFonts w:eastAsia="仿宋_GB2312"/>
                <w:bCs/>
                <w:sz w:val="28"/>
                <w:szCs w:val="28"/>
              </w:rPr>
              <w:t>。</w:t>
            </w:r>
          </w:p>
        </w:tc>
      </w:tr>
    </w:tbl>
    <w:p>
      <w:pPr>
        <w:overflowPunct w:val="0"/>
        <w:autoSpaceDE w:val="0"/>
        <w:autoSpaceDN w:val="0"/>
        <w:adjustRightInd w:val="0"/>
        <w:snapToGrid w:val="0"/>
        <w:spacing w:line="500" w:lineRule="exact"/>
        <w:rPr>
          <w:rFonts w:eastAsia="仿宋_GB2312"/>
          <w:color w:val="000000"/>
          <w:sz w:val="32"/>
          <w:szCs w:val="32"/>
        </w:rPr>
      </w:pPr>
    </w:p>
    <w:sectPr>
      <w:footerReference r:id="rId5" w:type="default"/>
      <w:headerReference r:id="rId4" w:type="even"/>
      <w:footerReference r:id="rId6" w:type="even"/>
      <w:pgSz w:w="11906" w:h="16838"/>
      <w:pgMar w:top="2098" w:right="1531" w:bottom="1985" w:left="1531"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楷体_GBK">
    <w:altName w:val="Arial Unicode MS"/>
    <w:panose1 w:val="03000509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00000001" w:usb1="080E0000" w:usb2="0000000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font>
  <w:font w:name="汉鼎简黑体">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大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81724747"/>
      <w:docPartObj>
        <w:docPartGallery w:val="AutoText"/>
      </w:docPartObj>
    </w:sdtPr>
    <w:sdtEndPr>
      <w:rPr>
        <w:rFonts w:asciiTheme="majorEastAsia" w:hAnsiTheme="majorEastAsia" w:eastAsiaTheme="majorEastAsia"/>
        <w:sz w:val="28"/>
        <w:szCs w:val="28"/>
      </w:rPr>
    </w:sdtEndPr>
    <w:sdtContent>
      <w:p>
        <w:pPr>
          <w:pStyle w:val="12"/>
          <w:ind w:right="284"/>
          <w:jc w:val="right"/>
          <w:rPr>
            <w:rFonts w:asciiTheme="majorEastAsia" w:hAnsiTheme="majorEastAsia" w:eastAsiaTheme="majorEastAsia"/>
            <w:sz w:val="28"/>
            <w:szCs w:val="28"/>
          </w:rPr>
        </w:pPr>
        <w:r>
          <w:rPr>
            <w:rFonts w:hint="eastAsia" w:asciiTheme="minorEastAsia" w:hAnsiTheme="minorEastAsia" w:eastAsiaTheme="minor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7</w:t>
        </w:r>
        <w:r>
          <w:rPr>
            <w:sz w:val="28"/>
            <w:szCs w:val="28"/>
          </w:rPr>
          <w:fldChar w:fldCharType="end"/>
        </w:r>
        <w:r>
          <w:rPr>
            <w:rFonts w:hint="eastAsia" w:asciiTheme="majorEastAsia" w:hAnsiTheme="majorEastAsia" w:eastAsiaTheme="major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524067"/>
      <w:docPartObj>
        <w:docPartGallery w:val="AutoText"/>
      </w:docPartObj>
    </w:sdtPr>
    <w:sdtEndPr>
      <w:rPr>
        <w:rFonts w:asciiTheme="majorEastAsia" w:hAnsiTheme="majorEastAsia" w:eastAsiaTheme="majorEastAsia"/>
      </w:rPr>
    </w:sdtEndPr>
    <w:sdtContent>
      <w:p>
        <w:pPr>
          <w:pStyle w:val="12"/>
          <w:ind w:left="284"/>
          <w:rPr>
            <w:rFonts w:asciiTheme="majorEastAsia" w:hAnsiTheme="majorEastAsia" w:eastAsiaTheme="majorEastAsia"/>
          </w:rPr>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6</w:t>
        </w:r>
        <w:r>
          <w:rPr>
            <w:sz w:val="28"/>
            <w:szCs w:val="28"/>
          </w:rPr>
          <w:fldChar w:fldCharType="end"/>
        </w:r>
        <w:r>
          <w:rPr>
            <w:rFonts w:hint="eastAsia" w:asciiTheme="majorEastAsia" w:hAnsiTheme="majorEastAsia" w:eastAsiaTheme="majorEastAsia"/>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15"/>
        <w:spacing w:line="280" w:lineRule="exact"/>
        <w:rPr>
          <w:rFonts w:ascii="Times New Roman" w:hAnsi="Times New Roman" w:cs="Times New Roman" w:eastAsiaTheme="majorEastAsia"/>
          <w:sz w:val="21"/>
          <w:szCs w:val="21"/>
        </w:rPr>
      </w:pPr>
      <w:r>
        <w:rPr>
          <w:rStyle w:val="29"/>
          <w:rFonts w:ascii="Times New Roman" w:hAnsi="Times New Roman" w:cs="Times New Roman" w:eastAsiaTheme="majorEastAsia"/>
          <w:sz w:val="21"/>
          <w:szCs w:val="21"/>
        </w:rPr>
        <w:footnoteRef/>
      </w:r>
      <w:r>
        <w:rPr>
          <w:rFonts w:ascii="Times New Roman" w:hAnsi="Times New Roman" w:cs="Times New Roman" w:eastAsiaTheme="majorEastAsia"/>
          <w:sz w:val="21"/>
          <w:szCs w:val="21"/>
        </w:rPr>
        <w:t xml:space="preserve"> 《常州市加快构建新能源汽车零部件产业生态工作方案》（常政发〔2023〕60号）</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2"/>
    <w:footnote w:id="3"/>
  </w:footnotePr>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9362AD"/>
    <w:rsid w:val="0001546A"/>
    <w:rsid w:val="00017511"/>
    <w:rsid w:val="00017563"/>
    <w:rsid w:val="00020710"/>
    <w:rsid w:val="000372DC"/>
    <w:rsid w:val="000418AF"/>
    <w:rsid w:val="00054E53"/>
    <w:rsid w:val="00064CFB"/>
    <w:rsid w:val="000652F6"/>
    <w:rsid w:val="0007420E"/>
    <w:rsid w:val="00081079"/>
    <w:rsid w:val="000819F0"/>
    <w:rsid w:val="00090B51"/>
    <w:rsid w:val="000915DE"/>
    <w:rsid w:val="00092B85"/>
    <w:rsid w:val="00093009"/>
    <w:rsid w:val="000A05FF"/>
    <w:rsid w:val="000A42A3"/>
    <w:rsid w:val="000C4C1E"/>
    <w:rsid w:val="000D1243"/>
    <w:rsid w:val="000D3C50"/>
    <w:rsid w:val="000D3D21"/>
    <w:rsid w:val="000E12AE"/>
    <w:rsid w:val="000F3462"/>
    <w:rsid w:val="000F761A"/>
    <w:rsid w:val="00116EFE"/>
    <w:rsid w:val="00116F53"/>
    <w:rsid w:val="0011715B"/>
    <w:rsid w:val="0012090D"/>
    <w:rsid w:val="0012255B"/>
    <w:rsid w:val="00130479"/>
    <w:rsid w:val="00133588"/>
    <w:rsid w:val="0013783B"/>
    <w:rsid w:val="00154D70"/>
    <w:rsid w:val="00160459"/>
    <w:rsid w:val="00165066"/>
    <w:rsid w:val="001656A6"/>
    <w:rsid w:val="00172619"/>
    <w:rsid w:val="00173A21"/>
    <w:rsid w:val="001825D8"/>
    <w:rsid w:val="00192218"/>
    <w:rsid w:val="001A4C04"/>
    <w:rsid w:val="001A6A66"/>
    <w:rsid w:val="001B02BD"/>
    <w:rsid w:val="001B6B15"/>
    <w:rsid w:val="001C146B"/>
    <w:rsid w:val="001C3CA3"/>
    <w:rsid w:val="001C5D2D"/>
    <w:rsid w:val="001D0A3C"/>
    <w:rsid w:val="001D0F76"/>
    <w:rsid w:val="001D48B1"/>
    <w:rsid w:val="001D51BD"/>
    <w:rsid w:val="001E2C04"/>
    <w:rsid w:val="001F5339"/>
    <w:rsid w:val="00217626"/>
    <w:rsid w:val="0022089B"/>
    <w:rsid w:val="00231480"/>
    <w:rsid w:val="002322EF"/>
    <w:rsid w:val="00235DAF"/>
    <w:rsid w:val="002451A7"/>
    <w:rsid w:val="00247AF8"/>
    <w:rsid w:val="0025370B"/>
    <w:rsid w:val="00270876"/>
    <w:rsid w:val="0027654C"/>
    <w:rsid w:val="002852A1"/>
    <w:rsid w:val="00290D53"/>
    <w:rsid w:val="002933B5"/>
    <w:rsid w:val="00293D1B"/>
    <w:rsid w:val="002A5766"/>
    <w:rsid w:val="002C7C26"/>
    <w:rsid w:val="002D1876"/>
    <w:rsid w:val="002D771B"/>
    <w:rsid w:val="002E17D0"/>
    <w:rsid w:val="002E18A8"/>
    <w:rsid w:val="002E54FE"/>
    <w:rsid w:val="002F31AB"/>
    <w:rsid w:val="00300B75"/>
    <w:rsid w:val="00302EE7"/>
    <w:rsid w:val="00304709"/>
    <w:rsid w:val="00312F2E"/>
    <w:rsid w:val="0032345D"/>
    <w:rsid w:val="00330026"/>
    <w:rsid w:val="00334F3D"/>
    <w:rsid w:val="00337B1A"/>
    <w:rsid w:val="003546C6"/>
    <w:rsid w:val="00356333"/>
    <w:rsid w:val="0036312C"/>
    <w:rsid w:val="0036323E"/>
    <w:rsid w:val="0037296B"/>
    <w:rsid w:val="003827E4"/>
    <w:rsid w:val="003846FE"/>
    <w:rsid w:val="0038562A"/>
    <w:rsid w:val="0038740E"/>
    <w:rsid w:val="00390EDC"/>
    <w:rsid w:val="003A03CB"/>
    <w:rsid w:val="003B39C9"/>
    <w:rsid w:val="003B70CF"/>
    <w:rsid w:val="003B77A4"/>
    <w:rsid w:val="003D3647"/>
    <w:rsid w:val="003D4ED3"/>
    <w:rsid w:val="003D5038"/>
    <w:rsid w:val="003E0B6E"/>
    <w:rsid w:val="003E29B0"/>
    <w:rsid w:val="003E4152"/>
    <w:rsid w:val="003F36FE"/>
    <w:rsid w:val="003F5AD4"/>
    <w:rsid w:val="003F7DDA"/>
    <w:rsid w:val="004002D8"/>
    <w:rsid w:val="0040147D"/>
    <w:rsid w:val="00401690"/>
    <w:rsid w:val="0040291D"/>
    <w:rsid w:val="00402B2E"/>
    <w:rsid w:val="00415815"/>
    <w:rsid w:val="004208F6"/>
    <w:rsid w:val="00426C9B"/>
    <w:rsid w:val="00437802"/>
    <w:rsid w:val="00442194"/>
    <w:rsid w:val="0044482C"/>
    <w:rsid w:val="004632E8"/>
    <w:rsid w:val="0046350E"/>
    <w:rsid w:val="0047201C"/>
    <w:rsid w:val="00473693"/>
    <w:rsid w:val="00475BE3"/>
    <w:rsid w:val="00475C82"/>
    <w:rsid w:val="00482A35"/>
    <w:rsid w:val="004844DE"/>
    <w:rsid w:val="00487468"/>
    <w:rsid w:val="0049208A"/>
    <w:rsid w:val="004946F6"/>
    <w:rsid w:val="00494731"/>
    <w:rsid w:val="00497003"/>
    <w:rsid w:val="004A2526"/>
    <w:rsid w:val="004B6F8A"/>
    <w:rsid w:val="004C255F"/>
    <w:rsid w:val="004D25FB"/>
    <w:rsid w:val="004D7F16"/>
    <w:rsid w:val="004D7F24"/>
    <w:rsid w:val="004E6D25"/>
    <w:rsid w:val="004E7FBD"/>
    <w:rsid w:val="004F13F0"/>
    <w:rsid w:val="004F4CA3"/>
    <w:rsid w:val="004F7F26"/>
    <w:rsid w:val="00500A9E"/>
    <w:rsid w:val="005045C0"/>
    <w:rsid w:val="00507851"/>
    <w:rsid w:val="00515722"/>
    <w:rsid w:val="005170DD"/>
    <w:rsid w:val="0052766A"/>
    <w:rsid w:val="005330E3"/>
    <w:rsid w:val="005331CB"/>
    <w:rsid w:val="00534A90"/>
    <w:rsid w:val="005371A5"/>
    <w:rsid w:val="005534A1"/>
    <w:rsid w:val="00565411"/>
    <w:rsid w:val="00571237"/>
    <w:rsid w:val="00577C9A"/>
    <w:rsid w:val="00587EE5"/>
    <w:rsid w:val="005A08DC"/>
    <w:rsid w:val="005A095A"/>
    <w:rsid w:val="005A677B"/>
    <w:rsid w:val="005B0EF3"/>
    <w:rsid w:val="005B4739"/>
    <w:rsid w:val="005C0876"/>
    <w:rsid w:val="005C1D49"/>
    <w:rsid w:val="005C3619"/>
    <w:rsid w:val="005C5FC5"/>
    <w:rsid w:val="005C7A19"/>
    <w:rsid w:val="005D0CF0"/>
    <w:rsid w:val="005D4F08"/>
    <w:rsid w:val="005E11B5"/>
    <w:rsid w:val="005E2009"/>
    <w:rsid w:val="005F4FE6"/>
    <w:rsid w:val="005F7C47"/>
    <w:rsid w:val="00603DF6"/>
    <w:rsid w:val="006065EC"/>
    <w:rsid w:val="00624B95"/>
    <w:rsid w:val="00625095"/>
    <w:rsid w:val="0063177B"/>
    <w:rsid w:val="00631D6E"/>
    <w:rsid w:val="006334C6"/>
    <w:rsid w:val="0063390C"/>
    <w:rsid w:val="0064537C"/>
    <w:rsid w:val="00655FF0"/>
    <w:rsid w:val="0065756D"/>
    <w:rsid w:val="00663D46"/>
    <w:rsid w:val="00665827"/>
    <w:rsid w:val="006673C5"/>
    <w:rsid w:val="006675C4"/>
    <w:rsid w:val="00670586"/>
    <w:rsid w:val="00670ED0"/>
    <w:rsid w:val="00674DAD"/>
    <w:rsid w:val="00685556"/>
    <w:rsid w:val="00686C46"/>
    <w:rsid w:val="00687812"/>
    <w:rsid w:val="00692AF5"/>
    <w:rsid w:val="006944D6"/>
    <w:rsid w:val="006950A6"/>
    <w:rsid w:val="006A03B3"/>
    <w:rsid w:val="006B374C"/>
    <w:rsid w:val="006B6FDC"/>
    <w:rsid w:val="006E040F"/>
    <w:rsid w:val="006E3418"/>
    <w:rsid w:val="006E5E5E"/>
    <w:rsid w:val="00710A24"/>
    <w:rsid w:val="007262AF"/>
    <w:rsid w:val="00737F56"/>
    <w:rsid w:val="00740075"/>
    <w:rsid w:val="0074237A"/>
    <w:rsid w:val="0075018D"/>
    <w:rsid w:val="007524B1"/>
    <w:rsid w:val="0075781A"/>
    <w:rsid w:val="00760303"/>
    <w:rsid w:val="0077101D"/>
    <w:rsid w:val="00774C66"/>
    <w:rsid w:val="0078689F"/>
    <w:rsid w:val="00787C3B"/>
    <w:rsid w:val="00793954"/>
    <w:rsid w:val="00795248"/>
    <w:rsid w:val="00796834"/>
    <w:rsid w:val="007A62DE"/>
    <w:rsid w:val="007B5680"/>
    <w:rsid w:val="007C5DB2"/>
    <w:rsid w:val="007E6F1D"/>
    <w:rsid w:val="007F59EB"/>
    <w:rsid w:val="007F677B"/>
    <w:rsid w:val="008112E6"/>
    <w:rsid w:val="00813FC7"/>
    <w:rsid w:val="00814737"/>
    <w:rsid w:val="00815751"/>
    <w:rsid w:val="00825F9A"/>
    <w:rsid w:val="008344FA"/>
    <w:rsid w:val="00837BB3"/>
    <w:rsid w:val="008439F6"/>
    <w:rsid w:val="00844485"/>
    <w:rsid w:val="00846386"/>
    <w:rsid w:val="00852C92"/>
    <w:rsid w:val="00855CF8"/>
    <w:rsid w:val="00860F95"/>
    <w:rsid w:val="00873E93"/>
    <w:rsid w:val="008778B4"/>
    <w:rsid w:val="00883EF4"/>
    <w:rsid w:val="00884163"/>
    <w:rsid w:val="008901A3"/>
    <w:rsid w:val="00894DED"/>
    <w:rsid w:val="00895805"/>
    <w:rsid w:val="008A0517"/>
    <w:rsid w:val="008A1667"/>
    <w:rsid w:val="008A43DC"/>
    <w:rsid w:val="008B1D62"/>
    <w:rsid w:val="008C4F34"/>
    <w:rsid w:val="008D26A7"/>
    <w:rsid w:val="008E2AF2"/>
    <w:rsid w:val="008E7724"/>
    <w:rsid w:val="008F017B"/>
    <w:rsid w:val="008F2D99"/>
    <w:rsid w:val="00902B2B"/>
    <w:rsid w:val="009130BA"/>
    <w:rsid w:val="00921C19"/>
    <w:rsid w:val="009248F8"/>
    <w:rsid w:val="009248FB"/>
    <w:rsid w:val="0092572F"/>
    <w:rsid w:val="009278F9"/>
    <w:rsid w:val="00930E79"/>
    <w:rsid w:val="00935420"/>
    <w:rsid w:val="0093561A"/>
    <w:rsid w:val="009362AD"/>
    <w:rsid w:val="009365BE"/>
    <w:rsid w:val="009440D4"/>
    <w:rsid w:val="00946775"/>
    <w:rsid w:val="00951054"/>
    <w:rsid w:val="0096600E"/>
    <w:rsid w:val="00966CD8"/>
    <w:rsid w:val="0097139B"/>
    <w:rsid w:val="0097628D"/>
    <w:rsid w:val="00977462"/>
    <w:rsid w:val="009819BE"/>
    <w:rsid w:val="00982A1F"/>
    <w:rsid w:val="00983F32"/>
    <w:rsid w:val="00997BAD"/>
    <w:rsid w:val="00997FB2"/>
    <w:rsid w:val="009A6799"/>
    <w:rsid w:val="009B3447"/>
    <w:rsid w:val="009B4541"/>
    <w:rsid w:val="009C5B49"/>
    <w:rsid w:val="009E5F32"/>
    <w:rsid w:val="009E70AC"/>
    <w:rsid w:val="009F0ED5"/>
    <w:rsid w:val="009F122D"/>
    <w:rsid w:val="009F1605"/>
    <w:rsid w:val="009F3B66"/>
    <w:rsid w:val="009F6695"/>
    <w:rsid w:val="00A04F2B"/>
    <w:rsid w:val="00A05D9E"/>
    <w:rsid w:val="00A137EA"/>
    <w:rsid w:val="00A16B42"/>
    <w:rsid w:val="00A20B0F"/>
    <w:rsid w:val="00A24E57"/>
    <w:rsid w:val="00A32FDE"/>
    <w:rsid w:val="00A35071"/>
    <w:rsid w:val="00A37172"/>
    <w:rsid w:val="00A37D6F"/>
    <w:rsid w:val="00A43440"/>
    <w:rsid w:val="00A45917"/>
    <w:rsid w:val="00A46602"/>
    <w:rsid w:val="00A466E9"/>
    <w:rsid w:val="00A50B89"/>
    <w:rsid w:val="00A576ED"/>
    <w:rsid w:val="00A6533A"/>
    <w:rsid w:val="00A70F49"/>
    <w:rsid w:val="00A7315F"/>
    <w:rsid w:val="00A73CB6"/>
    <w:rsid w:val="00A74547"/>
    <w:rsid w:val="00A75020"/>
    <w:rsid w:val="00A83699"/>
    <w:rsid w:val="00A837E1"/>
    <w:rsid w:val="00A837EC"/>
    <w:rsid w:val="00A912B1"/>
    <w:rsid w:val="00AB16A7"/>
    <w:rsid w:val="00AB4378"/>
    <w:rsid w:val="00AB76E3"/>
    <w:rsid w:val="00AC4817"/>
    <w:rsid w:val="00AE02B5"/>
    <w:rsid w:val="00AE0888"/>
    <w:rsid w:val="00AF17CF"/>
    <w:rsid w:val="00AF2A06"/>
    <w:rsid w:val="00AF4897"/>
    <w:rsid w:val="00AF5606"/>
    <w:rsid w:val="00B0753F"/>
    <w:rsid w:val="00B16570"/>
    <w:rsid w:val="00B224EF"/>
    <w:rsid w:val="00B412C1"/>
    <w:rsid w:val="00B41E2F"/>
    <w:rsid w:val="00B43539"/>
    <w:rsid w:val="00B547C8"/>
    <w:rsid w:val="00B55048"/>
    <w:rsid w:val="00B55787"/>
    <w:rsid w:val="00B62738"/>
    <w:rsid w:val="00B669BA"/>
    <w:rsid w:val="00B66C94"/>
    <w:rsid w:val="00B70BBE"/>
    <w:rsid w:val="00B724F7"/>
    <w:rsid w:val="00B77483"/>
    <w:rsid w:val="00B80DE5"/>
    <w:rsid w:val="00B82868"/>
    <w:rsid w:val="00B85A43"/>
    <w:rsid w:val="00B931B7"/>
    <w:rsid w:val="00B93A90"/>
    <w:rsid w:val="00BA6DEC"/>
    <w:rsid w:val="00BB2D26"/>
    <w:rsid w:val="00BB4137"/>
    <w:rsid w:val="00BB6B7B"/>
    <w:rsid w:val="00BC017D"/>
    <w:rsid w:val="00BC1AE1"/>
    <w:rsid w:val="00BE2B1E"/>
    <w:rsid w:val="00BE4715"/>
    <w:rsid w:val="00BF524D"/>
    <w:rsid w:val="00C26CD1"/>
    <w:rsid w:val="00C2749C"/>
    <w:rsid w:val="00C4180F"/>
    <w:rsid w:val="00C47C5C"/>
    <w:rsid w:val="00C52E92"/>
    <w:rsid w:val="00C56AC7"/>
    <w:rsid w:val="00C62E64"/>
    <w:rsid w:val="00C67EC3"/>
    <w:rsid w:val="00C71257"/>
    <w:rsid w:val="00C71CA1"/>
    <w:rsid w:val="00C7300E"/>
    <w:rsid w:val="00C80EC8"/>
    <w:rsid w:val="00C850D1"/>
    <w:rsid w:val="00C85574"/>
    <w:rsid w:val="00C86995"/>
    <w:rsid w:val="00C930EA"/>
    <w:rsid w:val="00CA2462"/>
    <w:rsid w:val="00CA6EAB"/>
    <w:rsid w:val="00CC26E6"/>
    <w:rsid w:val="00CC7FA5"/>
    <w:rsid w:val="00CD4B97"/>
    <w:rsid w:val="00CE024A"/>
    <w:rsid w:val="00CE2249"/>
    <w:rsid w:val="00CF69D7"/>
    <w:rsid w:val="00D0168F"/>
    <w:rsid w:val="00D057EC"/>
    <w:rsid w:val="00D100DF"/>
    <w:rsid w:val="00D1439B"/>
    <w:rsid w:val="00D145E3"/>
    <w:rsid w:val="00D21EE8"/>
    <w:rsid w:val="00D25005"/>
    <w:rsid w:val="00D31BFE"/>
    <w:rsid w:val="00D32D60"/>
    <w:rsid w:val="00D345EE"/>
    <w:rsid w:val="00D37962"/>
    <w:rsid w:val="00D44A7F"/>
    <w:rsid w:val="00D450A9"/>
    <w:rsid w:val="00D456A5"/>
    <w:rsid w:val="00D541C0"/>
    <w:rsid w:val="00D558B0"/>
    <w:rsid w:val="00D622AE"/>
    <w:rsid w:val="00D7031C"/>
    <w:rsid w:val="00D8112F"/>
    <w:rsid w:val="00D814DA"/>
    <w:rsid w:val="00D854D0"/>
    <w:rsid w:val="00D916C3"/>
    <w:rsid w:val="00D93564"/>
    <w:rsid w:val="00DA0D2E"/>
    <w:rsid w:val="00DA12F0"/>
    <w:rsid w:val="00DA70F2"/>
    <w:rsid w:val="00DB001A"/>
    <w:rsid w:val="00DB068F"/>
    <w:rsid w:val="00DC3535"/>
    <w:rsid w:val="00DF3A31"/>
    <w:rsid w:val="00E151AD"/>
    <w:rsid w:val="00E15871"/>
    <w:rsid w:val="00E17F14"/>
    <w:rsid w:val="00E21170"/>
    <w:rsid w:val="00E3155E"/>
    <w:rsid w:val="00E43104"/>
    <w:rsid w:val="00E450B5"/>
    <w:rsid w:val="00E60AEE"/>
    <w:rsid w:val="00E61DE1"/>
    <w:rsid w:val="00E6684D"/>
    <w:rsid w:val="00E75EEA"/>
    <w:rsid w:val="00E7657F"/>
    <w:rsid w:val="00E80208"/>
    <w:rsid w:val="00E841B2"/>
    <w:rsid w:val="00E86AD8"/>
    <w:rsid w:val="00E86DA5"/>
    <w:rsid w:val="00E91168"/>
    <w:rsid w:val="00E96C19"/>
    <w:rsid w:val="00EA3653"/>
    <w:rsid w:val="00EC5C31"/>
    <w:rsid w:val="00ED04BE"/>
    <w:rsid w:val="00ED6423"/>
    <w:rsid w:val="00EE7676"/>
    <w:rsid w:val="00EE7FB8"/>
    <w:rsid w:val="00EF0F6D"/>
    <w:rsid w:val="00F028EE"/>
    <w:rsid w:val="00F11A7B"/>
    <w:rsid w:val="00F1659B"/>
    <w:rsid w:val="00F20AA0"/>
    <w:rsid w:val="00F224D8"/>
    <w:rsid w:val="00F25A28"/>
    <w:rsid w:val="00F3408F"/>
    <w:rsid w:val="00F34521"/>
    <w:rsid w:val="00F41BC0"/>
    <w:rsid w:val="00F42CBD"/>
    <w:rsid w:val="00F43171"/>
    <w:rsid w:val="00F50A0F"/>
    <w:rsid w:val="00F54F78"/>
    <w:rsid w:val="00F66DA4"/>
    <w:rsid w:val="00F72947"/>
    <w:rsid w:val="00F7574F"/>
    <w:rsid w:val="00F86883"/>
    <w:rsid w:val="00F9037A"/>
    <w:rsid w:val="00F92AE9"/>
    <w:rsid w:val="00FB3B49"/>
    <w:rsid w:val="00FB68B2"/>
    <w:rsid w:val="00FD59BD"/>
    <w:rsid w:val="00FE6350"/>
    <w:rsid w:val="00FF1817"/>
    <w:rsid w:val="00FF216D"/>
    <w:rsid w:val="00FF4370"/>
    <w:rsid w:val="00FF71A4"/>
    <w:rsid w:val="0B017111"/>
    <w:rsid w:val="1BE045E6"/>
    <w:rsid w:val="4A83044E"/>
    <w:rsid w:val="768471D9"/>
    <w:rsid w:val="7C2F2A25"/>
    <w:rsid w:val="7FDD20F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4"/>
    <w:qFormat/>
    <w:uiPriority w:val="0"/>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link w:val="75"/>
    <w:qFormat/>
    <w:uiPriority w:val="0"/>
    <w:pPr>
      <w:keepNext/>
      <w:keepLines/>
      <w:spacing w:before="260" w:after="260" w:line="415" w:lineRule="auto"/>
      <w:outlineLvl w:val="1"/>
    </w:pPr>
    <w:rPr>
      <w:rFonts w:ascii="等线 Light" w:eastAsia="等线 Light" w:cs="Mongolian Baiti"/>
      <w:b/>
      <w:bCs/>
      <w:sz w:val="32"/>
      <w:szCs w:val="32"/>
    </w:rPr>
  </w:style>
  <w:style w:type="paragraph" w:styleId="4">
    <w:name w:val="heading 3"/>
    <w:basedOn w:val="1"/>
    <w:next w:val="1"/>
    <w:qFormat/>
    <w:uiPriority w:val="0"/>
    <w:pPr>
      <w:keepNext/>
      <w:keepLines/>
      <w:widowControl/>
      <w:spacing w:before="200" w:line="276" w:lineRule="auto"/>
      <w:jc w:val="left"/>
      <w:outlineLvl w:val="2"/>
    </w:pPr>
    <w:rPr>
      <w:rFonts w:ascii="等线 Light" w:eastAsia="等线 Light" w:cs="Mongolian Baiti"/>
      <w:b/>
      <w:bCs/>
      <w:color w:val="5B9BD5"/>
      <w:kern w:val="0"/>
      <w:sz w:val="22"/>
      <w:szCs w:val="22"/>
    </w:rPr>
  </w:style>
  <w:style w:type="character" w:default="1" w:styleId="24">
    <w:name w:val="Default Paragraph Font"/>
    <w:semiHidden/>
    <w:unhideWhenUsed/>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5">
    <w:name w:val="Normal Indent"/>
    <w:basedOn w:val="1"/>
    <w:next w:val="1"/>
    <w:qFormat/>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6">
    <w:name w:val="annotation text"/>
    <w:basedOn w:val="1"/>
    <w:link w:val="93"/>
    <w:qFormat/>
    <w:uiPriority w:val="0"/>
    <w:pPr>
      <w:autoSpaceDE w:val="0"/>
      <w:autoSpaceDN w:val="0"/>
      <w:snapToGrid w:val="0"/>
      <w:spacing w:line="590" w:lineRule="atLeast"/>
      <w:ind w:firstLine="624"/>
      <w:jc w:val="left"/>
    </w:pPr>
    <w:rPr>
      <w:rFonts w:eastAsia="方正仿宋_GBK"/>
      <w:kern w:val="0"/>
      <w:sz w:val="32"/>
      <w:szCs w:val="32"/>
    </w:rPr>
  </w:style>
  <w:style w:type="paragraph" w:styleId="7">
    <w:name w:val="Body Text"/>
    <w:basedOn w:val="1"/>
    <w:link w:val="90"/>
    <w:qFormat/>
    <w:uiPriority w:val="0"/>
    <w:pPr>
      <w:spacing w:after="120"/>
    </w:pPr>
  </w:style>
  <w:style w:type="paragraph" w:styleId="8">
    <w:name w:val="Body Text Indent"/>
    <w:basedOn w:val="1"/>
    <w:link w:val="89"/>
    <w:qFormat/>
    <w:uiPriority w:val="0"/>
    <w:pPr>
      <w:tabs>
        <w:tab w:val="left" w:pos="180"/>
      </w:tabs>
      <w:ind w:firstLine="200" w:firstLineChars="200"/>
    </w:pPr>
    <w:rPr>
      <w:rFonts w:ascii="仿宋_GB2312" w:eastAsia="仿宋_GB2312"/>
      <w:color w:val="000000"/>
      <w:kern w:val="0"/>
      <w:sz w:val="32"/>
      <w:szCs w:val="30"/>
    </w:rPr>
  </w:style>
  <w:style w:type="paragraph" w:styleId="9">
    <w:name w:val="Plain Text"/>
    <w:basedOn w:val="1"/>
    <w:link w:val="92"/>
    <w:qFormat/>
    <w:uiPriority w:val="99"/>
    <w:rPr>
      <w:rFonts w:ascii="宋体"/>
      <w:szCs w:val="21"/>
    </w:rPr>
  </w:style>
  <w:style w:type="paragraph" w:styleId="10">
    <w:name w:val="Date"/>
    <w:basedOn w:val="1"/>
    <w:next w:val="1"/>
    <w:link w:val="79"/>
    <w:qFormat/>
    <w:uiPriority w:val="0"/>
    <w:pPr>
      <w:ind w:left="2500" w:leftChars="2500"/>
    </w:pPr>
  </w:style>
  <w:style w:type="paragraph" w:styleId="11">
    <w:name w:val="Balloon Text"/>
    <w:basedOn w:val="1"/>
    <w:link w:val="88"/>
    <w:qFormat/>
    <w:uiPriority w:val="99"/>
    <w:rPr>
      <w:sz w:val="18"/>
      <w:szCs w:val="18"/>
    </w:rPr>
  </w:style>
  <w:style w:type="paragraph" w:styleId="12">
    <w:name w:val="footer"/>
    <w:basedOn w:val="1"/>
    <w:link w:val="73"/>
    <w:qFormat/>
    <w:uiPriority w:val="99"/>
    <w:pPr>
      <w:tabs>
        <w:tab w:val="center" w:pos="4153"/>
        <w:tab w:val="right" w:pos="8306"/>
      </w:tabs>
      <w:snapToGrid w:val="0"/>
      <w:jc w:val="left"/>
    </w:pPr>
    <w:rPr>
      <w:sz w:val="18"/>
      <w:szCs w:val="18"/>
    </w:rPr>
  </w:style>
  <w:style w:type="paragraph" w:styleId="13">
    <w:name w:val="header"/>
    <w:basedOn w:val="1"/>
    <w:link w:val="76"/>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91"/>
    <w:qFormat/>
    <w:uiPriority w:val="0"/>
    <w:pPr>
      <w:spacing w:before="240" w:after="60" w:line="312" w:lineRule="auto"/>
      <w:jc w:val="center"/>
      <w:outlineLvl w:val="1"/>
    </w:pPr>
    <w:rPr>
      <w:rFonts w:ascii="Cambria" w:hAnsi="Cambria"/>
      <w:b/>
      <w:bCs/>
      <w:kern w:val="28"/>
      <w:sz w:val="32"/>
      <w:szCs w:val="32"/>
    </w:rPr>
  </w:style>
  <w:style w:type="paragraph" w:styleId="15">
    <w:name w:val="footnote text"/>
    <w:basedOn w:val="1"/>
    <w:link w:val="96"/>
    <w:semiHidden/>
    <w:unhideWhenUsed/>
    <w:qFormat/>
    <w:uiPriority w:val="99"/>
    <w:pPr>
      <w:snapToGrid w:val="0"/>
      <w:jc w:val="left"/>
    </w:pPr>
    <w:rPr>
      <w:rFonts w:asciiTheme="minorHAnsi" w:hAnsiTheme="minorHAnsi" w:eastAsiaTheme="minorEastAsia" w:cstheme="minorBidi"/>
      <w:sz w:val="18"/>
      <w:szCs w:val="18"/>
    </w:rPr>
  </w:style>
  <w:style w:type="paragraph" w:styleId="16">
    <w:name w:val="toc 2"/>
    <w:basedOn w:val="1"/>
    <w:next w:val="1"/>
    <w:qFormat/>
    <w:uiPriority w:val="0"/>
    <w:pPr>
      <w:ind w:left="200" w:leftChars="200"/>
    </w:pPr>
    <w:rPr>
      <w:rFonts w:ascii="Calibri" w:hAnsi="Calibri"/>
      <w:lang w:bidi="mn-Mong-CN"/>
    </w:rPr>
  </w:style>
  <w:style w:type="paragraph" w:styleId="17">
    <w:name w:val="Normal (Web)"/>
    <w:basedOn w:val="1"/>
    <w:qFormat/>
    <w:uiPriority w:val="0"/>
    <w:pPr>
      <w:widowControl/>
      <w:jc w:val="left"/>
    </w:pPr>
    <w:rPr>
      <w:rFonts w:ascii="宋体" w:cs="宋体"/>
      <w:kern w:val="0"/>
      <w:sz w:val="24"/>
    </w:rPr>
  </w:style>
  <w:style w:type="paragraph" w:styleId="18">
    <w:name w:val="Title"/>
    <w:basedOn w:val="1"/>
    <w:next w:val="1"/>
    <w:link w:val="77"/>
    <w:qFormat/>
    <w:uiPriority w:val="0"/>
    <w:pPr>
      <w:spacing w:before="240" w:after="60"/>
      <w:jc w:val="center"/>
      <w:outlineLvl w:val="0"/>
    </w:pPr>
    <w:rPr>
      <w:rFonts w:ascii="Cambria" w:hAnsi="Cambria"/>
      <w:b/>
      <w:bCs/>
      <w:sz w:val="32"/>
      <w:szCs w:val="32"/>
    </w:rPr>
  </w:style>
  <w:style w:type="paragraph" w:styleId="19">
    <w:name w:val="annotation subject"/>
    <w:basedOn w:val="6"/>
    <w:next w:val="6"/>
    <w:link w:val="95"/>
    <w:uiPriority w:val="0"/>
    <w:pPr>
      <w:autoSpaceDE/>
      <w:autoSpaceDN/>
      <w:snapToGrid/>
      <w:spacing w:line="240" w:lineRule="auto"/>
      <w:ind w:firstLine="0"/>
    </w:pPr>
    <w:rPr>
      <w:b/>
      <w:bCs/>
      <w:kern w:val="2"/>
      <w:sz w:val="21"/>
      <w:szCs w:val="24"/>
    </w:rPr>
  </w:style>
  <w:style w:type="paragraph" w:styleId="20">
    <w:name w:val="Body Text First Indent"/>
    <w:basedOn w:val="7"/>
    <w:qFormat/>
    <w:uiPriority w:val="0"/>
    <w:pPr>
      <w:ind w:firstLine="420"/>
    </w:pPr>
  </w:style>
  <w:style w:type="paragraph" w:styleId="21">
    <w:name w:val="Body Text First Indent 2"/>
    <w:basedOn w:val="8"/>
    <w:qFormat/>
    <w:uiPriority w:val="0"/>
    <w:pPr>
      <w:tabs>
        <w:tab w:val="clear" w:pos="180"/>
      </w:tabs>
      <w:spacing w:after="120"/>
      <w:ind w:left="420" w:firstLine="420" w:firstLineChars="0"/>
    </w:pPr>
    <w:rPr>
      <w:rFonts w:ascii="Times New Roman" w:eastAsia="宋体"/>
      <w:color w:val="auto"/>
      <w:kern w:val="2"/>
      <w:sz w:val="21"/>
      <w:szCs w:val="24"/>
    </w:rPr>
  </w:style>
  <w:style w:type="table" w:styleId="23">
    <w:name w:val="Table Grid"/>
    <w:basedOn w:val="22"/>
    <w:qFormat/>
    <w:uiPriority w:val="59"/>
    <w:pPr>
      <w:jc w:val="both"/>
    </w:pPr>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qFormat/>
    <w:uiPriority w:val="99"/>
    <w:rPr>
      <w:rFonts w:cs="Times New Roman"/>
      <w:b/>
      <w:bCs/>
    </w:rPr>
  </w:style>
  <w:style w:type="character" w:styleId="26">
    <w:name w:val="page number"/>
    <w:qFormat/>
    <w:uiPriority w:val="0"/>
  </w:style>
  <w:style w:type="character" w:styleId="27">
    <w:name w:val="Hyperlink"/>
    <w:qFormat/>
    <w:uiPriority w:val="99"/>
    <w:rPr>
      <w:color w:val="0000FF"/>
      <w:u w:val="single"/>
    </w:rPr>
  </w:style>
  <w:style w:type="character" w:styleId="28">
    <w:name w:val="annotation reference"/>
    <w:uiPriority w:val="0"/>
    <w:rPr>
      <w:sz w:val="21"/>
      <w:szCs w:val="21"/>
    </w:rPr>
  </w:style>
  <w:style w:type="character" w:styleId="29">
    <w:name w:val="footnote reference"/>
    <w:basedOn w:val="24"/>
    <w:semiHidden/>
    <w:unhideWhenUsed/>
    <w:qFormat/>
    <w:uiPriority w:val="99"/>
    <w:rPr>
      <w:vertAlign w:val="superscript"/>
    </w:rPr>
  </w:style>
  <w:style w:type="character" w:customStyle="1" w:styleId="30">
    <w:name w:val="apple-converted-space"/>
    <w:qFormat/>
    <w:uiPriority w:val="99"/>
    <w:rPr>
      <w:rFonts w:cs="Times New Roman"/>
    </w:rPr>
  </w:style>
  <w:style w:type="character" w:customStyle="1" w:styleId="31">
    <w:name w:val="font14 line-height"/>
    <w:qFormat/>
    <w:uiPriority w:val="99"/>
    <w:rPr>
      <w:rFonts w:cs="Times New Roman"/>
    </w:rPr>
  </w:style>
  <w:style w:type="character" w:customStyle="1" w:styleId="32">
    <w:name w:val="eee"/>
    <w:qFormat/>
    <w:uiPriority w:val="99"/>
  </w:style>
  <w:style w:type="paragraph" w:customStyle="1" w:styleId="33">
    <w:name w:val="标题2"/>
    <w:basedOn w:val="1"/>
    <w:next w:val="1"/>
    <w:qFormat/>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34">
    <w:name w:val="列出段落1"/>
    <w:basedOn w:val="1"/>
    <w:qFormat/>
    <w:uiPriority w:val="99"/>
    <w:pPr>
      <w:ind w:firstLine="200" w:firstLineChars="200"/>
    </w:pPr>
    <w:rPr>
      <w:rFonts w:ascii="Calibri" w:hAnsi="Calibri"/>
      <w:szCs w:val="22"/>
    </w:rPr>
  </w:style>
  <w:style w:type="paragraph" w:customStyle="1" w:styleId="35">
    <w:name w:val="抄送栏"/>
    <w:basedOn w:val="1"/>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36">
    <w:name w:val="线型"/>
    <w:basedOn w:val="35"/>
    <w:qFormat/>
    <w:uiPriority w:val="0"/>
    <w:pPr>
      <w:spacing w:line="240" w:lineRule="auto"/>
      <w:ind w:left="0" w:firstLine="0"/>
      <w:jc w:val="center"/>
    </w:pPr>
    <w:rPr>
      <w:sz w:val="21"/>
    </w:rPr>
  </w:style>
  <w:style w:type="paragraph" w:customStyle="1" w:styleId="3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8">
    <w:name w:val="List Paragraph"/>
    <w:basedOn w:val="1"/>
    <w:qFormat/>
    <w:uiPriority w:val="34"/>
    <w:pPr>
      <w:ind w:firstLine="200" w:firstLineChars="200"/>
    </w:pPr>
    <w:rPr>
      <w:szCs w:val="20"/>
    </w:rPr>
  </w:style>
  <w:style w:type="paragraph" w:customStyle="1" w:styleId="39">
    <w:name w:val="List Paragraph1"/>
    <w:basedOn w:val="1"/>
    <w:qFormat/>
    <w:uiPriority w:val="99"/>
    <w:pPr>
      <w:ind w:firstLine="200" w:firstLineChars="200"/>
    </w:pPr>
    <w:rPr>
      <w:rFonts w:ascii="宋体"/>
      <w:sz w:val="32"/>
    </w:rPr>
  </w:style>
  <w:style w:type="paragraph" w:customStyle="1" w:styleId="40">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customStyle="1" w:styleId="41">
    <w:name w:val="标题3"/>
    <w:basedOn w:val="1"/>
    <w:next w:val="1"/>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42">
    <w:name w:val="文头"/>
    <w:basedOn w:val="36"/>
    <w:qFormat/>
    <w:uiPriority w:val="0"/>
  </w:style>
  <w:style w:type="paragraph" w:customStyle="1" w:styleId="43">
    <w:name w:val="列出段落3"/>
    <w:basedOn w:val="1"/>
    <w:qFormat/>
    <w:uiPriority w:val="99"/>
    <w:pPr>
      <w:ind w:firstLine="200" w:firstLineChars="200"/>
    </w:pPr>
    <w:rPr>
      <w:rFonts w:ascii="Calibri" w:hAnsi="Calibri"/>
      <w:szCs w:val="20"/>
    </w:rPr>
  </w:style>
  <w:style w:type="paragraph" w:customStyle="1" w:styleId="44">
    <w:name w:val="附件栏"/>
    <w:basedOn w:val="1"/>
    <w:qFormat/>
    <w:uiPriority w:val="0"/>
    <w:pPr>
      <w:autoSpaceDE w:val="0"/>
      <w:autoSpaceDN w:val="0"/>
      <w:snapToGrid w:val="0"/>
      <w:spacing w:line="590" w:lineRule="atLeast"/>
      <w:ind w:firstLine="624"/>
    </w:pPr>
    <w:rPr>
      <w:rFonts w:eastAsia="方正仿宋_GBK"/>
      <w:snapToGrid w:val="0"/>
      <w:kern w:val="0"/>
      <w:sz w:val="32"/>
      <w:szCs w:val="20"/>
    </w:rPr>
  </w:style>
  <w:style w:type="paragraph" w:customStyle="1" w:styleId="45">
    <w:name w:val="红线"/>
    <w:basedOn w:val="2"/>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46">
    <w:name w:val="主题词"/>
    <w:basedOn w:val="1"/>
    <w:qFormat/>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47">
    <w:name w:val="密级"/>
    <w:basedOn w:val="1"/>
    <w:qFormat/>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48">
    <w:name w:val="紧急程度"/>
    <w:basedOn w:val="47"/>
    <w:qFormat/>
    <w:uiPriority w:val="0"/>
    <w:pPr>
      <w:overflowPunct w:val="0"/>
      <w:spacing w:line="500" w:lineRule="atLeast"/>
    </w:pPr>
    <w:rPr>
      <w:rFonts w:ascii="汉鼎简黑体" w:eastAsia="汉鼎简黑体"/>
      <w:sz w:val="32"/>
    </w:rPr>
  </w:style>
  <w:style w:type="paragraph" w:customStyle="1" w:styleId="49">
    <w:name w:val="印发栏"/>
    <w:basedOn w:val="5"/>
    <w:qFormat/>
    <w:uiPriority w:val="0"/>
    <w:pPr>
      <w:tabs>
        <w:tab w:val="right" w:pos="8465"/>
      </w:tabs>
      <w:spacing w:line="454" w:lineRule="exact"/>
      <w:ind w:left="357" w:right="357"/>
    </w:pPr>
    <w:rPr>
      <w:spacing w:val="0"/>
    </w:rPr>
  </w:style>
  <w:style w:type="paragraph" w:customStyle="1" w:styleId="50">
    <w:name w:val="印数"/>
    <w:basedOn w:val="49"/>
    <w:qFormat/>
    <w:uiPriority w:val="0"/>
    <w:pPr>
      <w:spacing w:line="400" w:lineRule="exact"/>
      <w:ind w:left="0" w:right="0"/>
      <w:jc w:val="right"/>
    </w:pPr>
  </w:style>
  <w:style w:type="paragraph" w:customStyle="1" w:styleId="51">
    <w:name w:val="Table Paragraph"/>
    <w:basedOn w:val="1"/>
    <w:qFormat/>
    <w:uiPriority w:val="99"/>
    <w:rPr>
      <w:rFonts w:ascii="Calibri" w:hAnsi="Calibri"/>
      <w:szCs w:val="22"/>
    </w:rPr>
  </w:style>
  <w:style w:type="paragraph" w:customStyle="1" w:styleId="52">
    <w:name w:val="p0"/>
    <w:basedOn w:val="1"/>
    <w:qFormat/>
    <w:uiPriority w:val="99"/>
    <w:pPr>
      <w:widowControl/>
    </w:pPr>
    <w:rPr>
      <w:kern w:val="0"/>
      <w:szCs w:val="21"/>
    </w:rPr>
  </w:style>
  <w:style w:type="paragraph" w:customStyle="1" w:styleId="53">
    <w:name w:val="仿宋小4"/>
    <w:basedOn w:val="1"/>
    <w:qFormat/>
    <w:uiPriority w:val="99"/>
    <w:pPr>
      <w:spacing w:line="360" w:lineRule="auto"/>
      <w:jc w:val="left"/>
    </w:pPr>
    <w:rPr>
      <w:rFonts w:eastAsia="仿宋_GB2312"/>
      <w:color w:val="000000"/>
      <w:sz w:val="24"/>
      <w:szCs w:val="32"/>
    </w:rPr>
  </w:style>
  <w:style w:type="paragraph" w:customStyle="1" w:styleId="54">
    <w:name w:val="Other|1"/>
    <w:basedOn w:val="1"/>
    <w:qFormat/>
    <w:uiPriority w:val="0"/>
    <w:pPr>
      <w:spacing w:line="394" w:lineRule="auto"/>
      <w:ind w:firstLine="400"/>
      <w:jc w:val="left"/>
    </w:pPr>
    <w:rPr>
      <w:rFonts w:ascii="宋体" w:cs="宋体"/>
      <w:kern w:val="0"/>
      <w:sz w:val="30"/>
      <w:szCs w:val="30"/>
      <w:lang w:val="zh-TW" w:eastAsia="zh-TW" w:bidi="zh-TW"/>
    </w:rPr>
  </w:style>
  <w:style w:type="character" w:customStyle="1" w:styleId="55">
    <w:name w:val="页脚 Char1"/>
    <w:qFormat/>
    <w:uiPriority w:val="0"/>
    <w:rPr>
      <w:rFonts w:eastAsia="宋体"/>
      <w:kern w:val="2"/>
      <w:sz w:val="18"/>
      <w:szCs w:val="18"/>
      <w:lang w:val="en-US" w:eastAsia="zh-CN" w:bidi="ar-SA"/>
    </w:rPr>
  </w:style>
  <w:style w:type="paragraph" w:customStyle="1" w:styleId="56">
    <w:name w:val="列出段落2"/>
    <w:basedOn w:val="1"/>
    <w:qFormat/>
    <w:uiPriority w:val="0"/>
    <w:pPr>
      <w:widowControl/>
      <w:spacing w:after="200" w:line="276" w:lineRule="auto"/>
      <w:ind w:left="720"/>
      <w:contextualSpacing/>
      <w:jc w:val="left"/>
    </w:pPr>
    <w:rPr>
      <w:rFonts w:ascii="等线" w:eastAsia="等线" w:cs="Mongolian Baiti"/>
      <w:kern w:val="0"/>
      <w:sz w:val="22"/>
      <w:szCs w:val="22"/>
    </w:rPr>
  </w:style>
  <w:style w:type="character" w:customStyle="1" w:styleId="57">
    <w:name w:val="bjh-strong"/>
    <w:qFormat/>
    <w:uiPriority w:val="0"/>
  </w:style>
  <w:style w:type="paragraph" w:customStyle="1" w:styleId="58">
    <w:name w:val="正文首行缩进1"/>
    <w:qFormat/>
    <w:uiPriority w:val="0"/>
    <w:pPr>
      <w:spacing w:after="120"/>
      <w:ind w:firstLine="100" w:firstLineChars="100"/>
    </w:pPr>
    <w:rPr>
      <w:rFonts w:ascii="Calibri" w:hAnsi="Calibri" w:eastAsia="宋体" w:cs="Times New Roman"/>
      <w:lang w:val="en-US" w:eastAsia="zh-CN" w:bidi="ar-SA"/>
    </w:rPr>
  </w:style>
  <w:style w:type="paragraph" w:customStyle="1" w:styleId="59">
    <w:name w:val="_Style 56"/>
    <w:basedOn w:val="7"/>
    <w:next w:val="20"/>
    <w:qFormat/>
    <w:uiPriority w:val="0"/>
    <w:pPr>
      <w:ind w:firstLine="100" w:firstLineChars="100"/>
    </w:pPr>
  </w:style>
  <w:style w:type="character" w:customStyle="1" w:styleId="60">
    <w:name w:val="bjh-p"/>
    <w:basedOn w:val="24"/>
    <w:qFormat/>
    <w:uiPriority w:val="0"/>
  </w:style>
  <w:style w:type="paragraph" w:customStyle="1" w:styleId="61">
    <w:name w:val="font5"/>
    <w:basedOn w:val="1"/>
    <w:qFormat/>
    <w:uiPriority w:val="0"/>
    <w:pPr>
      <w:widowControl/>
      <w:spacing w:before="100" w:beforeAutospacing="1" w:after="100" w:afterAutospacing="1"/>
      <w:jc w:val="left"/>
    </w:pPr>
    <w:rPr>
      <w:rFonts w:ascii="宋体" w:cs="宋体"/>
      <w:kern w:val="0"/>
      <w:sz w:val="18"/>
      <w:szCs w:val="18"/>
    </w:rPr>
  </w:style>
  <w:style w:type="paragraph" w:customStyle="1" w:styleId="62">
    <w:name w:val="font6"/>
    <w:basedOn w:val="1"/>
    <w:qFormat/>
    <w:uiPriority w:val="0"/>
    <w:pPr>
      <w:widowControl/>
      <w:spacing w:before="100" w:beforeAutospacing="1" w:after="100" w:afterAutospacing="1"/>
      <w:jc w:val="left"/>
    </w:pPr>
    <w:rPr>
      <w:rFonts w:ascii="宋体" w:cs="宋体"/>
      <w:kern w:val="0"/>
      <w:sz w:val="18"/>
      <w:szCs w:val="18"/>
    </w:rPr>
  </w:style>
  <w:style w:type="paragraph" w:customStyle="1" w:styleId="63">
    <w:name w:val="xl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cs="宋体"/>
      <w:b/>
      <w:bCs/>
      <w:kern w:val="0"/>
      <w:sz w:val="20"/>
      <w:szCs w:val="20"/>
    </w:rPr>
  </w:style>
  <w:style w:type="paragraph" w:customStyle="1" w:styleId="64">
    <w:name w:val="xl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Arial" w:hAnsi="Arial" w:cs="Arial"/>
      <w:b/>
      <w:bCs/>
      <w:kern w:val="0"/>
      <w:sz w:val="20"/>
      <w:szCs w:val="20"/>
    </w:rPr>
  </w:style>
  <w:style w:type="paragraph" w:customStyle="1" w:styleId="65">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宋体" w:cs="宋体"/>
      <w:kern w:val="0"/>
      <w:sz w:val="24"/>
    </w:rPr>
  </w:style>
  <w:style w:type="paragraph" w:customStyle="1" w:styleId="66">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cs="Arial"/>
      <w:kern w:val="0"/>
      <w:sz w:val="20"/>
      <w:szCs w:val="20"/>
    </w:rPr>
  </w:style>
  <w:style w:type="paragraph" w:customStyle="1" w:styleId="6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8">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9">
    <w:name w:val="xl6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70">
    <w:name w:val="xl7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71">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cs="宋体"/>
      <w:b/>
      <w:bCs/>
      <w:kern w:val="0"/>
      <w:sz w:val="24"/>
    </w:rPr>
  </w:style>
  <w:style w:type="character" w:customStyle="1" w:styleId="72">
    <w:name w:val="不明显参考1"/>
    <w:basedOn w:val="24"/>
    <w:qFormat/>
    <w:uiPriority w:val="0"/>
    <w:rPr>
      <w:smallCaps/>
      <w:color w:val="C0504D"/>
      <w:u w:val="single"/>
    </w:rPr>
  </w:style>
  <w:style w:type="character" w:customStyle="1" w:styleId="73">
    <w:name w:val="页脚 Char"/>
    <w:basedOn w:val="24"/>
    <w:link w:val="12"/>
    <w:qFormat/>
    <w:uiPriority w:val="99"/>
    <w:rPr>
      <w:kern w:val="2"/>
      <w:sz w:val="18"/>
      <w:szCs w:val="18"/>
    </w:rPr>
  </w:style>
  <w:style w:type="character" w:customStyle="1" w:styleId="74">
    <w:name w:val="标题 1 Char"/>
    <w:link w:val="2"/>
    <w:qFormat/>
    <w:uiPriority w:val="0"/>
    <w:rPr>
      <w:rFonts w:ascii="方正仿宋_GBK" w:eastAsia="方正仿宋_GBK"/>
      <w:b/>
      <w:snapToGrid w:val="0"/>
      <w:kern w:val="44"/>
      <w:sz w:val="44"/>
    </w:rPr>
  </w:style>
  <w:style w:type="character" w:customStyle="1" w:styleId="75">
    <w:name w:val="标题 2 Char"/>
    <w:link w:val="3"/>
    <w:qFormat/>
    <w:uiPriority w:val="0"/>
    <w:rPr>
      <w:rFonts w:ascii="等线 Light" w:eastAsia="等线 Light" w:cs="Mongolian Baiti"/>
      <w:b/>
      <w:bCs/>
      <w:kern w:val="2"/>
      <w:sz w:val="32"/>
      <w:szCs w:val="32"/>
    </w:rPr>
  </w:style>
  <w:style w:type="character" w:customStyle="1" w:styleId="76">
    <w:name w:val="页眉 Char"/>
    <w:link w:val="13"/>
    <w:qFormat/>
    <w:uiPriority w:val="99"/>
    <w:rPr>
      <w:kern w:val="2"/>
      <w:sz w:val="18"/>
      <w:szCs w:val="18"/>
    </w:rPr>
  </w:style>
  <w:style w:type="character" w:customStyle="1" w:styleId="77">
    <w:name w:val="标题 Char"/>
    <w:basedOn w:val="24"/>
    <w:link w:val="18"/>
    <w:qFormat/>
    <w:uiPriority w:val="0"/>
    <w:rPr>
      <w:rFonts w:ascii="Cambria" w:hAnsi="Cambria"/>
      <w:b/>
      <w:bCs/>
      <w:kern w:val="2"/>
      <w:sz w:val="32"/>
      <w:szCs w:val="32"/>
    </w:rPr>
  </w:style>
  <w:style w:type="paragraph" w:customStyle="1" w:styleId="78">
    <w:name w:val="Char2"/>
    <w:basedOn w:val="1"/>
    <w:qFormat/>
    <w:uiPriority w:val="0"/>
    <w:pPr>
      <w:tabs>
        <w:tab w:val="left" w:pos="420"/>
      </w:tabs>
      <w:ind w:left="420" w:hanging="420"/>
    </w:pPr>
    <w:rPr>
      <w:rFonts w:ascii="Tahoma" w:hAnsi="Tahoma"/>
      <w:sz w:val="28"/>
      <w:szCs w:val="20"/>
    </w:rPr>
  </w:style>
  <w:style w:type="character" w:customStyle="1" w:styleId="79">
    <w:name w:val="日期 Char"/>
    <w:basedOn w:val="24"/>
    <w:link w:val="10"/>
    <w:qFormat/>
    <w:uiPriority w:val="0"/>
    <w:rPr>
      <w:kern w:val="2"/>
      <w:sz w:val="21"/>
      <w:szCs w:val="24"/>
    </w:rPr>
  </w:style>
  <w:style w:type="table" w:customStyle="1" w:styleId="80">
    <w:name w:val="Table Normal"/>
    <w:semiHidden/>
    <w:unhideWhenUsed/>
    <w:qFormat/>
    <w:uiPriority w:val="0"/>
    <w:pPr>
      <w:widowControl w:val="0"/>
      <w:autoSpaceDE w:val="0"/>
      <w:autoSpaceDN w:val="0"/>
    </w:pPr>
    <w:rPr>
      <w:rFonts w:ascii="Calibri" w:hAnsi="Calibri" w:eastAsiaTheme="minorEastAsia" w:cstheme="minorBidi"/>
      <w:sz w:val="22"/>
      <w:szCs w:val="22"/>
      <w:lang w:eastAsia="en-US"/>
    </w:rPr>
    <w:tblPr>
      <w:tblCellMar>
        <w:top w:w="0" w:type="dxa"/>
        <w:left w:w="0" w:type="dxa"/>
        <w:bottom w:w="0" w:type="dxa"/>
        <w:right w:w="0" w:type="dxa"/>
      </w:tblCellMar>
    </w:tblPr>
  </w:style>
  <w:style w:type="paragraph" w:customStyle="1" w:styleId="81">
    <w:name w:val="正文-公1"/>
    <w:basedOn w:val="1"/>
    <w:next w:val="17"/>
    <w:qFormat/>
    <w:uiPriority w:val="0"/>
    <w:pPr>
      <w:ind w:firstLine="200" w:firstLineChars="200"/>
    </w:pPr>
    <w:rPr>
      <w:rFonts w:ascii="Calibri" w:hAnsi="Calibri"/>
      <w:color w:val="000000"/>
      <w:szCs w:val="22"/>
    </w:rPr>
  </w:style>
  <w:style w:type="paragraph" w:customStyle="1" w:styleId="82">
    <w:name w:val="BodyTextIndent2"/>
    <w:basedOn w:val="1"/>
    <w:qFormat/>
    <w:uiPriority w:val="0"/>
    <w:pPr>
      <w:spacing w:line="480" w:lineRule="auto"/>
      <w:ind w:left="420" w:leftChars="200"/>
    </w:pPr>
    <w:rPr>
      <w:rFonts w:ascii="Calibri" w:hAnsi="Calibri" w:eastAsia="Times New Roman"/>
    </w:rPr>
  </w:style>
  <w:style w:type="paragraph" w:customStyle="1" w:styleId="83">
    <w:name w:val="正文+仿宋"/>
    <w:basedOn w:val="17"/>
    <w:qFormat/>
    <w:uiPriority w:val="0"/>
    <w:pPr>
      <w:spacing w:before="100" w:after="100" w:line="579" w:lineRule="atLeast"/>
      <w:ind w:firstLine="627" w:firstLineChars="196"/>
      <w:jc w:val="both"/>
    </w:pPr>
    <w:rPr>
      <w:rFonts w:ascii="仿宋_GB2312" w:hAnsi="仿宋_GB2312" w:eastAsia="仿宋_GB2312"/>
      <w:b/>
      <w:bCs/>
      <w:sz w:val="32"/>
    </w:rPr>
  </w:style>
  <w:style w:type="character" w:customStyle="1" w:styleId="84">
    <w:name w:val="apple-style-span"/>
    <w:basedOn w:val="24"/>
    <w:qFormat/>
    <w:uiPriority w:val="0"/>
    <w:rPr>
      <w:rFonts w:hint="default" w:ascii="Times New Roman" w:hAnsi="Times New Roman" w:cs="Times New Roman"/>
    </w:rPr>
  </w:style>
  <w:style w:type="paragraph" w:customStyle="1" w:styleId="85">
    <w:name w:val="正文1"/>
    <w:basedOn w:val="1"/>
    <w:qFormat/>
    <w:uiPriority w:val="0"/>
    <w:pPr>
      <w:widowControl/>
    </w:pPr>
    <w:rPr>
      <w:rFonts w:ascii="等线" w:hAnsi="等线"/>
      <w:szCs w:val="21"/>
    </w:rPr>
  </w:style>
  <w:style w:type="character" w:customStyle="1" w:styleId="86">
    <w:name w:val="Subtle Reference"/>
    <w:basedOn w:val="24"/>
    <w:uiPriority w:val="0"/>
    <w:rPr>
      <w:smallCaps/>
      <w:color w:val="C0504D"/>
      <w:u w:val="single"/>
    </w:rPr>
  </w:style>
  <w:style w:type="character" w:customStyle="1" w:styleId="87">
    <w:name w:val="批注文字 Char"/>
    <w:uiPriority w:val="0"/>
    <w:rPr>
      <w:rFonts w:eastAsia="方正仿宋_GBK"/>
      <w:sz w:val="32"/>
      <w:szCs w:val="32"/>
    </w:rPr>
  </w:style>
  <w:style w:type="character" w:customStyle="1" w:styleId="88">
    <w:name w:val="批注框文本 Char"/>
    <w:link w:val="11"/>
    <w:uiPriority w:val="99"/>
    <w:rPr>
      <w:kern w:val="2"/>
      <w:sz w:val="18"/>
      <w:szCs w:val="18"/>
    </w:rPr>
  </w:style>
  <w:style w:type="character" w:customStyle="1" w:styleId="89">
    <w:name w:val="正文文本缩进 Char"/>
    <w:link w:val="8"/>
    <w:uiPriority w:val="0"/>
    <w:rPr>
      <w:rFonts w:ascii="仿宋_GB2312" w:eastAsia="仿宋_GB2312"/>
      <w:color w:val="000000"/>
      <w:sz w:val="32"/>
      <w:szCs w:val="30"/>
    </w:rPr>
  </w:style>
  <w:style w:type="character" w:customStyle="1" w:styleId="90">
    <w:name w:val="正文文本 Char"/>
    <w:link w:val="7"/>
    <w:uiPriority w:val="0"/>
    <w:rPr>
      <w:kern w:val="2"/>
      <w:sz w:val="21"/>
      <w:szCs w:val="24"/>
    </w:rPr>
  </w:style>
  <w:style w:type="character" w:customStyle="1" w:styleId="91">
    <w:name w:val="副标题 Char"/>
    <w:link w:val="14"/>
    <w:uiPriority w:val="0"/>
    <w:rPr>
      <w:rFonts w:ascii="Cambria" w:hAnsi="Cambria"/>
      <w:b/>
      <w:bCs/>
      <w:kern w:val="28"/>
      <w:sz w:val="32"/>
      <w:szCs w:val="32"/>
    </w:rPr>
  </w:style>
  <w:style w:type="character" w:customStyle="1" w:styleId="92">
    <w:name w:val="纯文本 Char"/>
    <w:link w:val="9"/>
    <w:uiPriority w:val="99"/>
    <w:rPr>
      <w:rFonts w:ascii="宋体"/>
      <w:kern w:val="2"/>
      <w:sz w:val="21"/>
      <w:szCs w:val="21"/>
    </w:rPr>
  </w:style>
  <w:style w:type="character" w:customStyle="1" w:styleId="93">
    <w:name w:val="批注文字 Char1"/>
    <w:basedOn w:val="24"/>
    <w:link w:val="6"/>
    <w:uiPriority w:val="0"/>
    <w:rPr>
      <w:rFonts w:eastAsia="方正仿宋_GBK"/>
      <w:sz w:val="32"/>
      <w:szCs w:val="32"/>
    </w:rPr>
  </w:style>
  <w:style w:type="character" w:customStyle="1" w:styleId="94">
    <w:name w:val="批注主题 Char"/>
    <w:basedOn w:val="93"/>
    <w:uiPriority w:val="0"/>
    <w:rPr>
      <w:rFonts w:eastAsia="方正仿宋_GBK"/>
      <w:sz w:val="32"/>
      <w:szCs w:val="32"/>
    </w:rPr>
  </w:style>
  <w:style w:type="character" w:customStyle="1" w:styleId="95">
    <w:name w:val="批注主题 Char1"/>
    <w:link w:val="19"/>
    <w:uiPriority w:val="0"/>
    <w:rPr>
      <w:rFonts w:eastAsia="方正仿宋_GBK"/>
      <w:b/>
      <w:bCs/>
      <w:kern w:val="2"/>
      <w:sz w:val="21"/>
      <w:szCs w:val="24"/>
    </w:rPr>
  </w:style>
  <w:style w:type="character" w:customStyle="1" w:styleId="96">
    <w:name w:val="脚注文本 Char"/>
    <w:basedOn w:val="24"/>
    <w:link w:val="15"/>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2769B49-5751-4F69-AB9E-AED790FB3136}">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6</Pages>
  <Words>2598</Words>
  <Characters>2611</Characters>
  <Lines>21</Lines>
  <Paragraphs>5</Paragraphs>
  <TotalTime>16</TotalTime>
  <ScaleCrop>false</ScaleCrop>
  <LinksUpToDate>false</LinksUpToDate>
  <CharactersWithSpaces>2613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2023-09-05T03:48:00Z</dcterms:created>
  <dc:creator>china</dc:creator>
  <cp:lastModifiedBy>人间四月天</cp:lastModifiedBy>
  <cp:lastPrinted>2023-04-04T05:57:00Z</cp:lastPrinted>
  <dcterms:modified xsi:type="dcterms:W3CDTF">2023-09-05T08:52:10Z</dcterms:modified>
  <dc:title>常州市科学技术局文件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2B9DD8AD672F44FB85CAF57652F3F629_13</vt:lpwstr>
  </property>
</Properties>
</file>