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48"/>
          <w:szCs w:val="48"/>
        </w:rPr>
      </w:pPr>
      <w:r>
        <w:rPr>
          <w:rFonts w:ascii="Times New Roman" w:hAnsi="Times New Roman" w:cs="Times New Roman"/>
          <w:b/>
          <w:sz w:val="48"/>
          <w:szCs w:val="48"/>
        </w:rPr>
        <w:t>202</w:t>
      </w:r>
      <w:r>
        <w:rPr>
          <w:rFonts w:hint="eastAsia" w:ascii="Times New Roman" w:hAnsi="Times New Roman" w:cs="Times New Roman"/>
          <w:b/>
          <w:sz w:val="48"/>
          <w:szCs w:val="48"/>
        </w:rPr>
        <w:t>1年</w:t>
      </w:r>
      <w:r>
        <w:rPr>
          <w:rFonts w:ascii="Times New Roman" w:hAnsi="Times New Roman" w:cs="Times New Roman"/>
          <w:b/>
          <w:sz w:val="48"/>
          <w:szCs w:val="48"/>
        </w:rPr>
        <w:t>常州市</w:t>
      </w:r>
      <w:r>
        <w:rPr>
          <w:rFonts w:hint="eastAsia" w:ascii="Times New Roman" w:hAnsi="Times New Roman" w:cs="Times New Roman"/>
          <w:b/>
          <w:sz w:val="48"/>
          <w:szCs w:val="48"/>
        </w:rPr>
        <w:t>复混肥、有机肥</w:t>
      </w:r>
    </w:p>
    <w:p>
      <w:pPr>
        <w:jc w:val="center"/>
        <w:rPr>
          <w:rFonts w:ascii="Times New Roman" w:hAnsi="Times New Roman" w:cs="Times New Roman"/>
          <w:b/>
          <w:sz w:val="48"/>
          <w:szCs w:val="48"/>
        </w:rPr>
      </w:pPr>
      <w:r>
        <w:rPr>
          <w:rFonts w:hint="eastAsia" w:ascii="Times New Roman" w:hAnsi="Times New Roman" w:cs="Times New Roman"/>
          <w:b/>
          <w:sz w:val="48"/>
          <w:szCs w:val="48"/>
        </w:rPr>
        <w:t>产品质量</w:t>
      </w:r>
      <w:r>
        <w:rPr>
          <w:rFonts w:ascii="Times New Roman" w:hAnsi="Times New Roman" w:cs="Times New Roman"/>
          <w:b/>
          <w:sz w:val="48"/>
          <w:szCs w:val="48"/>
        </w:rPr>
        <w:t>市级监督抽</w:t>
      </w:r>
      <w:r>
        <w:rPr>
          <w:rFonts w:hint="eastAsia" w:ascii="Times New Roman" w:hAnsi="Times New Roman" w:cs="Times New Roman"/>
          <w:b/>
          <w:sz w:val="48"/>
          <w:szCs w:val="48"/>
        </w:rPr>
        <w:t>查分析报告</w:t>
      </w:r>
    </w:p>
    <w:p>
      <w:pP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6"/>
          <w:szCs w:val="36"/>
        </w:rPr>
      </w:pPr>
    </w:p>
    <w:p>
      <w:pPr>
        <w:rPr>
          <w:rFonts w:ascii="Times New Roman" w:hAnsi="Times New Roman" w:cs="Times New Roman"/>
          <w:b/>
          <w:sz w:val="36"/>
          <w:szCs w:val="36"/>
        </w:rPr>
      </w:pPr>
    </w:p>
    <w:p>
      <w:pPr>
        <w:rPr>
          <w:rFonts w:ascii="Times New Roman" w:hAnsi="Times New Roman" w:cs="Times New Roman"/>
          <w:b/>
          <w:sz w:val="36"/>
          <w:szCs w:val="36"/>
        </w:rPr>
      </w:pPr>
    </w:p>
    <w:p>
      <w:pPr>
        <w:jc w:val="center"/>
        <w:rPr>
          <w:rFonts w:ascii="Times New Roman" w:hAnsi="Times New Roman" w:cs="Times New Roman"/>
          <w:b/>
          <w:sz w:val="36"/>
          <w:szCs w:val="36"/>
        </w:rPr>
      </w:pPr>
    </w:p>
    <w:p>
      <w:pPr>
        <w:jc w:val="center"/>
        <w:rPr>
          <w:rFonts w:ascii="Times New Roman" w:hAnsi="Times New Roman" w:cs="Times New Roman"/>
          <w:b/>
          <w:sz w:val="32"/>
          <w:szCs w:val="32"/>
        </w:rPr>
      </w:pPr>
      <w:r>
        <w:rPr>
          <w:rFonts w:ascii="Times New Roman" w:hAnsi="Times New Roman" w:cs="Times New Roman"/>
          <w:b/>
          <w:sz w:val="32"/>
          <w:szCs w:val="32"/>
        </w:rPr>
        <w:t>常州市市场监督管理局</w:t>
      </w:r>
    </w:p>
    <w:p>
      <w:pPr>
        <w:jc w:val="center"/>
        <w:rPr>
          <w:rFonts w:ascii="Times New Roman" w:hAnsi="Times New Roman" w:cs="Times New Roman"/>
          <w:b/>
          <w:sz w:val="32"/>
          <w:szCs w:val="32"/>
        </w:rPr>
      </w:pPr>
      <w:r>
        <w:rPr>
          <w:rFonts w:ascii="Times New Roman" w:hAnsi="Times New Roman" w:cs="Times New Roman"/>
          <w:b/>
          <w:sz w:val="32"/>
          <w:szCs w:val="32"/>
        </w:rPr>
        <w:t>202</w:t>
      </w:r>
      <w:r>
        <w:rPr>
          <w:rFonts w:hint="eastAsia" w:ascii="Times New Roman" w:hAnsi="Times New Roman" w:cs="Times New Roman"/>
          <w:b/>
          <w:sz w:val="32"/>
          <w:szCs w:val="32"/>
        </w:rPr>
        <w:t>1年4</w:t>
      </w:r>
      <w:r>
        <w:rPr>
          <w:rFonts w:ascii="Times New Roman" w:hAnsi="Times New Roman" w:cs="Times New Roman"/>
          <w:b/>
          <w:sz w:val="32"/>
          <w:szCs w:val="32"/>
        </w:rPr>
        <w:t>月</w:t>
      </w:r>
    </w:p>
    <w:p>
      <w:pPr>
        <w:pStyle w:val="9"/>
        <w:jc w:val="center"/>
        <w:rPr>
          <w:b/>
          <w:bCs/>
          <w:sz w:val="36"/>
          <w:szCs w:val="36"/>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9"/>
        <w:jc w:val="center"/>
        <w:rPr>
          <w:b/>
          <w:bCs/>
          <w:sz w:val="36"/>
          <w:szCs w:val="36"/>
        </w:rPr>
      </w:pPr>
      <w:r>
        <w:rPr>
          <w:rFonts w:hint="eastAsia"/>
          <w:b/>
          <w:bCs/>
          <w:sz w:val="36"/>
          <w:szCs w:val="36"/>
        </w:rPr>
        <w:t>目  录</w:t>
      </w:r>
    </w:p>
    <w:p>
      <w:pPr>
        <w:jc w:val="center"/>
        <w:rPr>
          <w:rFonts w:ascii="Times New Roman" w:hAnsi="Times New Roman" w:cs="Times New Roman"/>
          <w:sz w:val="28"/>
          <w:szCs w:val="28"/>
        </w:rPr>
      </w:pPr>
      <w:r>
        <w:rPr>
          <w:rFonts w:hint="eastAsia" w:ascii="Times New Roman" w:hAnsi="Times New Roman" w:cs="Times New Roman"/>
          <w:sz w:val="28"/>
          <w:szCs w:val="28"/>
        </w:rPr>
        <w:t>一、2021年产品质量市级监督抽查总体情况………………1</w:t>
      </w:r>
    </w:p>
    <w:p>
      <w:pPr>
        <w:jc w:val="center"/>
        <w:rPr>
          <w:rFonts w:ascii="Times New Roman" w:hAnsi="Times New Roman" w:cs="Times New Roman"/>
          <w:sz w:val="28"/>
          <w:szCs w:val="28"/>
        </w:rPr>
      </w:pPr>
      <w:r>
        <w:rPr>
          <w:rFonts w:hint="eastAsia" w:ascii="Times New Roman" w:hAnsi="Times New Roman" w:cs="Times New Roman"/>
          <w:sz w:val="28"/>
          <w:szCs w:val="28"/>
        </w:rPr>
        <w:t>二、2021年产品质量市级监督抽查呈现特点………………1</w:t>
      </w:r>
    </w:p>
    <w:p>
      <w:pPr>
        <w:jc w:val="center"/>
        <w:rPr>
          <w:rFonts w:ascii="Times New Roman" w:hAnsi="Times New Roman" w:cs="Times New Roman"/>
          <w:sz w:val="28"/>
          <w:szCs w:val="28"/>
        </w:rPr>
      </w:pPr>
      <w:r>
        <w:rPr>
          <w:rFonts w:hint="eastAsia" w:ascii="Times New Roman" w:hAnsi="Times New Roman" w:cs="Times New Roman"/>
          <w:sz w:val="28"/>
          <w:szCs w:val="28"/>
        </w:rPr>
        <w:t>三、2021年产品质量市级监督抽查情况综合分析…………1</w:t>
      </w:r>
    </w:p>
    <w:p>
      <w:pPr>
        <w:jc w:val="center"/>
        <w:rPr>
          <w:rFonts w:ascii="Times New Roman" w:hAnsi="Times New Roman" w:cs="Times New Roman"/>
          <w:sz w:val="28"/>
          <w:szCs w:val="28"/>
        </w:rPr>
      </w:pPr>
      <w:r>
        <w:rPr>
          <w:rFonts w:hint="eastAsia" w:ascii="Times New Roman" w:hAnsi="Times New Roman" w:cs="Times New Roman"/>
          <w:sz w:val="28"/>
          <w:szCs w:val="28"/>
        </w:rPr>
        <w:t>3.1产品监督抽查情况………………………………………1</w:t>
      </w:r>
    </w:p>
    <w:p>
      <w:pPr>
        <w:jc w:val="center"/>
        <w:rPr>
          <w:rFonts w:ascii="Times New Roman" w:hAnsi="Times New Roman" w:cs="Times New Roman"/>
          <w:sz w:val="28"/>
          <w:szCs w:val="28"/>
        </w:rPr>
      </w:pPr>
      <w:r>
        <w:rPr>
          <w:rFonts w:hint="eastAsia" w:ascii="Times New Roman" w:hAnsi="Times New Roman" w:cs="Times New Roman"/>
          <w:sz w:val="28"/>
          <w:szCs w:val="28"/>
        </w:rPr>
        <w:t>3.1.1产品质量抽查情况……………………………………1</w:t>
      </w:r>
    </w:p>
    <w:p>
      <w:pPr>
        <w:jc w:val="center"/>
        <w:rPr>
          <w:rFonts w:ascii="Times New Roman" w:hAnsi="Times New Roman" w:cs="Times New Roman"/>
          <w:sz w:val="28"/>
          <w:szCs w:val="28"/>
        </w:rPr>
      </w:pPr>
      <w:r>
        <w:rPr>
          <w:rFonts w:hint="eastAsia" w:ascii="Times New Roman" w:hAnsi="Times New Roman" w:cs="Times New Roman"/>
          <w:sz w:val="28"/>
          <w:szCs w:val="28"/>
        </w:rPr>
        <w:t>3.1.2 不同抽样地区监督抽查情况…………………………2</w:t>
      </w:r>
    </w:p>
    <w:p>
      <w:pPr>
        <w:jc w:val="center"/>
        <w:rPr>
          <w:rFonts w:ascii="Times New Roman" w:hAnsi="Times New Roman" w:cs="Times New Roman"/>
          <w:sz w:val="28"/>
          <w:szCs w:val="28"/>
        </w:rPr>
      </w:pPr>
      <w:r>
        <w:rPr>
          <w:rFonts w:hint="eastAsia" w:ascii="Times New Roman" w:hAnsi="Times New Roman" w:cs="Times New Roman"/>
          <w:sz w:val="28"/>
          <w:szCs w:val="28"/>
        </w:rPr>
        <w:t>3.2产品质量抽查结果分析…………………………………4</w:t>
      </w:r>
    </w:p>
    <w:p>
      <w:pPr>
        <w:jc w:val="center"/>
        <w:rPr>
          <w:rFonts w:ascii="Times New Roman" w:hAnsi="Times New Roman" w:cs="Times New Roman"/>
          <w:sz w:val="28"/>
          <w:szCs w:val="28"/>
        </w:rPr>
      </w:pPr>
      <w:r>
        <w:rPr>
          <w:rFonts w:hint="eastAsia" w:ascii="Times New Roman" w:hAnsi="Times New Roman" w:cs="Times New Roman"/>
          <w:sz w:val="28"/>
          <w:szCs w:val="28"/>
        </w:rPr>
        <w:t>四、后处理建议措施…………………………………………5</w:t>
      </w:r>
    </w:p>
    <w:p>
      <w:pPr>
        <w:jc w:val="center"/>
        <w:rPr>
          <w:rFonts w:ascii="Times New Roman" w:hAnsi="Times New Roman" w:cs="Times New Roman"/>
          <w:sz w:val="28"/>
          <w:szCs w:val="28"/>
        </w:rPr>
      </w:pPr>
      <w:r>
        <w:rPr>
          <w:rFonts w:hint="eastAsia" w:ascii="Times New Roman" w:hAnsi="Times New Roman" w:cs="Times New Roman"/>
          <w:sz w:val="28"/>
          <w:szCs w:val="28"/>
        </w:rPr>
        <w:t>4.1</w:t>
      </w:r>
      <w:r>
        <w:rPr>
          <w:rFonts w:hint="eastAsia" w:ascii="宋体" w:hAnsi="宋体" w:cs="宋体"/>
          <w:sz w:val="28"/>
          <w:szCs w:val="28"/>
        </w:rPr>
        <w:t>对于生产企业的建议措施</w:t>
      </w:r>
      <w:r>
        <w:rPr>
          <w:rFonts w:hint="eastAsia" w:ascii="Times New Roman" w:hAnsi="Times New Roman" w:cs="Times New Roman"/>
          <w:sz w:val="28"/>
          <w:szCs w:val="28"/>
        </w:rPr>
        <w:t>………………………………5</w:t>
      </w:r>
    </w:p>
    <w:p>
      <w:pPr>
        <w:ind w:firstLine="560" w:firstLineChars="200"/>
        <w:rPr>
          <w:rFonts w:ascii="Times New Roman" w:hAnsi="Times New Roman" w:cs="Times New Roman"/>
          <w:sz w:val="28"/>
          <w:szCs w:val="28"/>
        </w:rPr>
      </w:pPr>
      <w:r>
        <w:rPr>
          <w:rFonts w:hint="eastAsia" w:ascii="Times New Roman" w:hAnsi="Times New Roman" w:cs="Times New Roman"/>
          <w:sz w:val="28"/>
          <w:szCs w:val="28"/>
        </w:rPr>
        <w:t>4.2</w:t>
      </w:r>
      <w:r>
        <w:rPr>
          <w:rFonts w:hint="eastAsia" w:ascii="宋体" w:hAnsi="宋体" w:cs="宋体"/>
          <w:sz w:val="28"/>
          <w:szCs w:val="28"/>
        </w:rPr>
        <w:t>对于销售单位的建议措施</w:t>
      </w:r>
      <w:r>
        <w:rPr>
          <w:rFonts w:hint="eastAsia" w:ascii="Times New Roman" w:hAnsi="Times New Roman" w:cs="Times New Roman"/>
          <w:sz w:val="28"/>
          <w:szCs w:val="28"/>
        </w:rPr>
        <w:t>………………………………7</w:t>
      </w:r>
    </w:p>
    <w:p>
      <w:pPr>
        <w:jc w:val="center"/>
        <w:rPr>
          <w:rFonts w:ascii="Times New Roman" w:hAnsi="Times New Roman" w:cs="Times New Roman"/>
          <w:sz w:val="28"/>
          <w:szCs w:val="28"/>
        </w:rPr>
      </w:pPr>
      <w:r>
        <w:rPr>
          <w:rFonts w:hint="eastAsia" w:ascii="Times New Roman" w:hAnsi="Times New Roman" w:cs="Times New Roman"/>
          <w:sz w:val="28"/>
          <w:szCs w:val="28"/>
        </w:rPr>
        <w:t>五、消费提示…………………………………………………7</w:t>
      </w:r>
    </w:p>
    <w:p>
      <w:pPr>
        <w:jc w:val="center"/>
        <w:rPr>
          <w:rFonts w:ascii="Times New Roman" w:hAnsi="Times New Roman" w:cs="Times New Roman"/>
          <w:b/>
          <w:sz w:val="32"/>
          <w:szCs w:val="32"/>
        </w:rPr>
      </w:pPr>
    </w:p>
    <w:p>
      <w:pPr>
        <w:jc w:val="center"/>
        <w:rPr>
          <w:rFonts w:ascii="Times New Roman" w:hAnsi="Times New Roman" w:cs="Times New Roman"/>
          <w:b/>
          <w:sz w:val="32"/>
          <w:szCs w:val="32"/>
        </w:rPr>
      </w:pPr>
    </w:p>
    <w:p>
      <w:pPr>
        <w:jc w:val="center"/>
        <w:rPr>
          <w:rFonts w:ascii="Times New Roman" w:hAnsi="Times New Roman" w:cs="Times New Roman"/>
          <w:b/>
          <w:sz w:val="32"/>
          <w:szCs w:val="32"/>
        </w:rPr>
      </w:pPr>
    </w:p>
    <w:p>
      <w:pPr>
        <w:jc w:val="center"/>
        <w:rPr>
          <w:rFonts w:ascii="Times New Roman" w:hAnsi="Times New Roman" w:cs="Times New Roman"/>
          <w:b/>
          <w:sz w:val="32"/>
          <w:szCs w:val="32"/>
        </w:rPr>
      </w:pPr>
    </w:p>
    <w:p>
      <w:pPr>
        <w:jc w:val="center"/>
        <w:rPr>
          <w:rFonts w:ascii="Times New Roman" w:hAnsi="Times New Roman" w:cs="Times New Roman"/>
          <w:b/>
          <w:sz w:val="32"/>
          <w:szCs w:val="32"/>
        </w:rPr>
      </w:pPr>
    </w:p>
    <w:p>
      <w:pPr>
        <w:jc w:val="center"/>
        <w:rPr>
          <w:rFonts w:ascii="Times New Roman" w:hAnsi="Times New Roman" w:cs="Times New Roman"/>
          <w:b/>
          <w:sz w:val="32"/>
          <w:szCs w:val="32"/>
        </w:rPr>
      </w:pPr>
    </w:p>
    <w:p>
      <w:pPr>
        <w:jc w:val="center"/>
        <w:rPr>
          <w:rFonts w:ascii="Times New Roman" w:hAnsi="Times New Roman" w:cs="Times New Roman"/>
          <w:b/>
          <w:sz w:val="32"/>
          <w:szCs w:val="32"/>
        </w:rPr>
      </w:pPr>
    </w:p>
    <w:p>
      <w:pPr>
        <w:jc w:val="center"/>
        <w:rPr>
          <w:rFonts w:ascii="Times New Roman" w:hAnsi="Times New Roman" w:cs="Times New Roman"/>
          <w:b/>
          <w:sz w:val="32"/>
          <w:szCs w:val="32"/>
        </w:rPr>
      </w:pPr>
    </w:p>
    <w:p>
      <w:pPr>
        <w:jc w:val="center"/>
        <w:rPr>
          <w:rFonts w:ascii="Times New Roman" w:hAnsi="Times New Roman" w:cs="Times New Roman"/>
          <w:b/>
          <w:sz w:val="32"/>
          <w:szCs w:val="32"/>
        </w:rPr>
      </w:pPr>
    </w:p>
    <w:p>
      <w:pPr>
        <w:pStyle w:val="2"/>
        <w:sectPr>
          <w:footerReference r:id="rId5" w:type="default"/>
          <w:pgSz w:w="11906" w:h="16838"/>
          <w:pgMar w:top="1440" w:right="1800" w:bottom="1440" w:left="1800" w:header="851" w:footer="992" w:gutter="0"/>
          <w:cols w:space="425" w:num="1"/>
          <w:docGrid w:type="lines" w:linePitch="312" w:charSpace="0"/>
        </w:sectPr>
      </w:pPr>
    </w:p>
    <w:p>
      <w:pPr>
        <w:pStyle w:val="2"/>
        <w:rPr>
          <w:rFonts w:asciiTheme="minorEastAsia" w:hAnsiTheme="minorEastAsia"/>
          <w:sz w:val="24"/>
          <w:szCs w:val="24"/>
        </w:rPr>
      </w:pPr>
      <w:r>
        <w:rPr>
          <w:rFonts w:hint="eastAsia" w:asciiTheme="minorEastAsia" w:hAnsiTheme="minorEastAsia"/>
          <w:sz w:val="24"/>
          <w:szCs w:val="24"/>
        </w:rPr>
        <w:t>一、2021年产品质量市级监督抽查总体情况</w:t>
      </w:r>
    </w:p>
    <w:p>
      <w:pPr>
        <w:spacing w:line="360" w:lineRule="auto"/>
        <w:ind w:firstLine="480" w:firstLineChars="200"/>
        <w:jc w:val="left"/>
        <w:rPr>
          <w:rFonts w:cs="Times New Roman" w:asciiTheme="minorEastAsia" w:hAnsiTheme="minorEastAsia"/>
          <w:sz w:val="24"/>
          <w:szCs w:val="24"/>
        </w:rPr>
      </w:pPr>
      <w:r>
        <w:rPr>
          <w:rFonts w:hint="eastAsia" w:asciiTheme="minorEastAsia" w:hAnsiTheme="minorEastAsia"/>
          <w:color w:val="000000"/>
          <w:sz w:val="24"/>
          <w:szCs w:val="24"/>
        </w:rPr>
        <w:t>常州市市场监督管理局</w:t>
      </w:r>
      <w:r>
        <w:rPr>
          <w:rFonts w:hint="eastAsia" w:asciiTheme="minorEastAsia" w:hAnsiTheme="minorEastAsia"/>
          <w:sz w:val="24"/>
          <w:szCs w:val="24"/>
        </w:rPr>
        <w:t>按照</w:t>
      </w:r>
      <w:r>
        <w:rPr>
          <w:rFonts w:hint="eastAsia" w:asciiTheme="minorEastAsia" w:hAnsiTheme="minorEastAsia"/>
          <w:color w:val="000000"/>
          <w:sz w:val="24"/>
          <w:szCs w:val="24"/>
        </w:rPr>
        <w:t>《</w:t>
      </w:r>
      <w:r>
        <w:rPr>
          <w:rFonts w:hint="eastAsia" w:asciiTheme="minorEastAsia" w:hAnsiTheme="minorEastAsia"/>
          <w:sz w:val="24"/>
          <w:szCs w:val="24"/>
        </w:rPr>
        <w:t>省市场监管局关于加强春耕化肥产品质量监管工作的通知</w:t>
      </w:r>
      <w:r>
        <w:rPr>
          <w:rFonts w:hint="eastAsia" w:asciiTheme="minorEastAsia" w:hAnsiTheme="minorEastAsia"/>
          <w:color w:val="000000"/>
          <w:sz w:val="24"/>
          <w:szCs w:val="24"/>
        </w:rPr>
        <w:t>》（苏</w:t>
      </w:r>
      <w:r>
        <w:rPr>
          <w:rFonts w:hint="eastAsia" w:asciiTheme="minorEastAsia" w:hAnsiTheme="minorEastAsia"/>
          <w:sz w:val="24"/>
          <w:szCs w:val="24"/>
        </w:rPr>
        <w:t>市监质监〔2021〕48号</w:t>
      </w:r>
      <w:r>
        <w:rPr>
          <w:rFonts w:hint="eastAsia" w:asciiTheme="minorEastAsia" w:hAnsiTheme="minorEastAsia"/>
          <w:color w:val="000000"/>
          <w:sz w:val="24"/>
          <w:szCs w:val="24"/>
        </w:rPr>
        <w:t>）文件要求对常州地区销售的</w:t>
      </w:r>
      <w:r>
        <w:rPr>
          <w:rFonts w:hint="eastAsia" w:cs="Times New Roman" w:asciiTheme="minorEastAsia" w:hAnsiTheme="minorEastAsia"/>
          <w:sz w:val="24"/>
          <w:szCs w:val="24"/>
        </w:rPr>
        <w:t>复混肥、有机肥的产品进行监督抽查工作。</w:t>
      </w:r>
    </w:p>
    <w:p>
      <w:pPr>
        <w:spacing w:line="360" w:lineRule="auto"/>
        <w:ind w:firstLine="480" w:firstLineChars="200"/>
        <w:jc w:val="left"/>
        <w:rPr>
          <w:rFonts w:cs="Times New Roman" w:asciiTheme="minorEastAsia" w:hAnsiTheme="minorEastAsia"/>
          <w:sz w:val="24"/>
          <w:szCs w:val="24"/>
        </w:rPr>
      </w:pPr>
      <w:r>
        <w:rPr>
          <w:rFonts w:hint="eastAsia" w:cs="Times New Roman" w:asciiTheme="minorEastAsia" w:hAnsiTheme="minorEastAsia"/>
          <w:sz w:val="24"/>
          <w:szCs w:val="24"/>
        </w:rPr>
        <w:t>此次任务覆盖常州市全区域，共抽查产品31批次。合格产品28批次，不合格产品3批次。整体合格率90.3%。</w:t>
      </w:r>
    </w:p>
    <w:p>
      <w:pPr>
        <w:pStyle w:val="2"/>
        <w:rPr>
          <w:rFonts w:asciiTheme="minorEastAsia" w:hAnsiTheme="minorEastAsia"/>
          <w:sz w:val="24"/>
          <w:szCs w:val="24"/>
        </w:rPr>
      </w:pPr>
      <w:r>
        <w:rPr>
          <w:rFonts w:asciiTheme="minorEastAsia" w:hAnsiTheme="minorEastAsia"/>
          <w:sz w:val="24"/>
          <w:szCs w:val="24"/>
        </w:rPr>
        <w:t>二、2021年产品质量市级监督抽查呈现特点</w:t>
      </w:r>
    </w:p>
    <w:p>
      <w:pPr>
        <w:spacing w:line="520" w:lineRule="exact"/>
        <w:ind w:firstLine="480" w:firstLineChars="200"/>
        <w:jc w:val="left"/>
        <w:rPr>
          <w:rFonts w:cs="Times New Roman" w:asciiTheme="minorEastAsia" w:hAnsiTheme="minorEastAsia"/>
          <w:sz w:val="24"/>
          <w:szCs w:val="24"/>
        </w:rPr>
      </w:pPr>
      <w:r>
        <w:rPr>
          <w:rFonts w:hint="eastAsia" w:cs="Times New Roman" w:asciiTheme="minorEastAsia" w:hAnsiTheme="minorEastAsia"/>
          <w:sz w:val="24"/>
          <w:szCs w:val="24"/>
        </w:rPr>
        <w:t>综合此次复混肥的产品监督检查数据分析，复混肥、有机肥产品质量市级监督抽查综合合格率达到90.3%。，产品质量水平良好。</w:t>
      </w:r>
    </w:p>
    <w:p>
      <w:pPr>
        <w:pStyle w:val="2"/>
        <w:rPr>
          <w:rFonts w:asciiTheme="minorEastAsia" w:hAnsiTheme="minorEastAsia"/>
          <w:sz w:val="24"/>
          <w:szCs w:val="24"/>
        </w:rPr>
      </w:pPr>
      <w:r>
        <w:rPr>
          <w:rFonts w:asciiTheme="minorEastAsia" w:hAnsiTheme="minorEastAsia"/>
          <w:sz w:val="24"/>
          <w:szCs w:val="24"/>
        </w:rPr>
        <w:t>三、2021年产品质量市级监督抽查情况综合分析</w:t>
      </w:r>
    </w:p>
    <w:p>
      <w:pPr>
        <w:pStyle w:val="3"/>
        <w:rPr>
          <w:rFonts w:asciiTheme="minorEastAsia" w:hAnsiTheme="minorEastAsia" w:eastAsiaTheme="minorEastAsia"/>
          <w:szCs w:val="24"/>
        </w:rPr>
      </w:pPr>
      <w:r>
        <w:rPr>
          <w:rFonts w:asciiTheme="minorEastAsia" w:hAnsiTheme="minorEastAsia" w:eastAsiaTheme="minorEastAsia"/>
          <w:szCs w:val="24"/>
        </w:rPr>
        <w:t>3.1产品监督抽查情况</w:t>
      </w:r>
    </w:p>
    <w:p>
      <w:pPr>
        <w:pStyle w:val="3"/>
        <w:rPr>
          <w:rFonts w:asciiTheme="minorEastAsia" w:hAnsiTheme="minorEastAsia" w:eastAsiaTheme="minorEastAsia"/>
          <w:szCs w:val="24"/>
        </w:rPr>
      </w:pPr>
      <w:r>
        <w:rPr>
          <w:rFonts w:asciiTheme="minorEastAsia" w:hAnsiTheme="minorEastAsia" w:eastAsiaTheme="minorEastAsia"/>
          <w:szCs w:val="24"/>
        </w:rPr>
        <w:t xml:space="preserve">3.1.1 </w:t>
      </w:r>
      <w:r>
        <w:rPr>
          <w:rFonts w:hint="eastAsia" w:cs="Times New Roman" w:asciiTheme="minorEastAsia" w:hAnsiTheme="minorEastAsia" w:eastAsiaTheme="minorEastAsia"/>
          <w:szCs w:val="24"/>
        </w:rPr>
        <w:t>复混肥、有机肥产品</w:t>
      </w:r>
      <w:r>
        <w:rPr>
          <w:rFonts w:asciiTheme="minorEastAsia" w:hAnsiTheme="minorEastAsia" w:eastAsiaTheme="minorEastAsia"/>
          <w:szCs w:val="24"/>
        </w:rPr>
        <w:t>质量抽查情况</w:t>
      </w:r>
    </w:p>
    <w:p>
      <w:pPr>
        <w:spacing w:line="520" w:lineRule="exact"/>
        <w:ind w:firstLine="480" w:firstLineChars="200"/>
        <w:jc w:val="left"/>
        <w:rPr>
          <w:rFonts w:cs="Times New Roman" w:asciiTheme="minorEastAsia" w:hAnsiTheme="minorEastAsia"/>
          <w:sz w:val="24"/>
          <w:szCs w:val="24"/>
        </w:rPr>
      </w:pPr>
      <w:r>
        <w:rPr>
          <w:rFonts w:hint="eastAsia" w:cs="Times New Roman" w:asciiTheme="minorEastAsia" w:hAnsiTheme="minorEastAsia"/>
          <w:sz w:val="24"/>
          <w:szCs w:val="24"/>
        </w:rPr>
        <w:t>此次监督抽查总体情况良好，31批次产品，合格产品28批次，不合格产品3批次。整体合格率90.3%。各产品合格率详见表1。</w:t>
      </w:r>
    </w:p>
    <w:p>
      <w:pPr>
        <w:tabs>
          <w:tab w:val="left" w:pos="1313"/>
        </w:tabs>
        <w:spacing w:line="360" w:lineRule="auto"/>
        <w:ind w:firstLine="480" w:firstLineChars="200"/>
        <w:jc w:val="center"/>
        <w:rPr>
          <w:rFonts w:cs="Times New Roman" w:asciiTheme="minorEastAsia" w:hAnsiTheme="minorEastAsia"/>
          <w:sz w:val="24"/>
          <w:szCs w:val="24"/>
        </w:rPr>
      </w:pPr>
      <w:r>
        <w:rPr>
          <w:rFonts w:cs="Times New Roman" w:asciiTheme="minorEastAsia" w:hAnsiTheme="minorEastAsia"/>
          <w:sz w:val="24"/>
          <w:szCs w:val="24"/>
        </w:rPr>
        <w:t>表1</w:t>
      </w:r>
      <w:r>
        <w:rPr>
          <w:rFonts w:hint="eastAsia" w:cs="Times New Roman" w:asciiTheme="minorEastAsia" w:hAnsiTheme="minorEastAsia"/>
          <w:sz w:val="24"/>
          <w:szCs w:val="24"/>
        </w:rPr>
        <w:t>复混肥、有机肥产品质量抽查情况表</w:t>
      </w:r>
    </w:p>
    <w:tbl>
      <w:tblPr>
        <w:tblStyle w:val="18"/>
        <w:tblW w:w="485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26"/>
        <w:gridCol w:w="1391"/>
        <w:gridCol w:w="1534"/>
        <w:gridCol w:w="1413"/>
        <w:gridCol w:w="1441"/>
        <w:gridCol w:w="13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574" w:type="pct"/>
            <w:vAlign w:val="center"/>
          </w:tcPr>
          <w:p>
            <w:pPr>
              <w:pStyle w:val="19"/>
              <w:spacing w:before="1" w:line="360" w:lineRule="auto"/>
              <w:ind w:left="124" w:right="112"/>
              <w:rPr>
                <w:rFonts w:asciiTheme="minorEastAsia" w:hAnsiTheme="minorEastAsia" w:eastAsiaTheme="minorEastAsia"/>
                <w:kern w:val="2"/>
                <w:sz w:val="24"/>
                <w:szCs w:val="24"/>
                <w:lang w:val="en-US" w:bidi="ar-SA"/>
              </w:rPr>
            </w:pPr>
            <w:r>
              <w:rPr>
                <w:rFonts w:asciiTheme="minorEastAsia" w:hAnsiTheme="minorEastAsia" w:eastAsiaTheme="minorEastAsia"/>
                <w:kern w:val="2"/>
                <w:sz w:val="24"/>
                <w:szCs w:val="24"/>
                <w:lang w:val="en-US" w:bidi="ar-SA"/>
              </w:rPr>
              <w:t>序号</w:t>
            </w:r>
          </w:p>
        </w:tc>
        <w:tc>
          <w:tcPr>
            <w:tcW w:w="861" w:type="pct"/>
            <w:vAlign w:val="center"/>
          </w:tcPr>
          <w:p>
            <w:pPr>
              <w:pStyle w:val="19"/>
              <w:spacing w:before="0" w:line="360" w:lineRule="auto"/>
              <w:rPr>
                <w:rFonts w:asciiTheme="minorEastAsia" w:hAnsiTheme="minorEastAsia" w:eastAsiaTheme="minorEastAsia"/>
                <w:kern w:val="2"/>
                <w:sz w:val="24"/>
                <w:szCs w:val="24"/>
                <w:lang w:val="en-US" w:bidi="ar-SA"/>
              </w:rPr>
            </w:pPr>
            <w:r>
              <w:rPr>
                <w:rFonts w:asciiTheme="minorEastAsia" w:hAnsiTheme="minorEastAsia" w:eastAsiaTheme="minorEastAsia"/>
                <w:kern w:val="2"/>
                <w:sz w:val="24"/>
                <w:szCs w:val="24"/>
                <w:lang w:val="en-US" w:bidi="ar-SA"/>
              </w:rPr>
              <w:t>产品分类</w:t>
            </w:r>
          </w:p>
        </w:tc>
        <w:tc>
          <w:tcPr>
            <w:tcW w:w="950" w:type="pct"/>
            <w:vAlign w:val="center"/>
          </w:tcPr>
          <w:p>
            <w:pPr>
              <w:pStyle w:val="19"/>
              <w:spacing w:before="0" w:line="360" w:lineRule="auto"/>
              <w:rPr>
                <w:rFonts w:asciiTheme="minorEastAsia" w:hAnsiTheme="minorEastAsia" w:eastAsiaTheme="minorEastAsia"/>
                <w:kern w:val="2"/>
                <w:sz w:val="24"/>
                <w:szCs w:val="24"/>
                <w:lang w:val="en-US" w:bidi="ar-SA"/>
              </w:rPr>
            </w:pPr>
            <w:r>
              <w:rPr>
                <w:rFonts w:asciiTheme="minorEastAsia" w:hAnsiTheme="minorEastAsia" w:eastAsiaTheme="minorEastAsia"/>
                <w:kern w:val="2"/>
                <w:sz w:val="24"/>
                <w:szCs w:val="24"/>
                <w:lang w:val="en-US" w:bidi="ar-SA"/>
              </w:rPr>
              <w:t>抽查批次</w:t>
            </w:r>
          </w:p>
        </w:tc>
        <w:tc>
          <w:tcPr>
            <w:tcW w:w="875" w:type="pct"/>
            <w:vAlign w:val="center"/>
          </w:tcPr>
          <w:p>
            <w:pPr>
              <w:pStyle w:val="19"/>
              <w:spacing w:before="0" w:line="360" w:lineRule="auto"/>
              <w:rPr>
                <w:rFonts w:asciiTheme="minorEastAsia" w:hAnsiTheme="minorEastAsia" w:eastAsiaTheme="minorEastAsia"/>
                <w:kern w:val="2"/>
                <w:sz w:val="24"/>
                <w:szCs w:val="24"/>
                <w:lang w:val="en-US" w:bidi="ar-SA"/>
              </w:rPr>
            </w:pPr>
            <w:r>
              <w:rPr>
                <w:rFonts w:asciiTheme="minorEastAsia" w:hAnsiTheme="minorEastAsia" w:eastAsiaTheme="minorEastAsia"/>
                <w:kern w:val="2"/>
                <w:sz w:val="24"/>
                <w:szCs w:val="24"/>
                <w:lang w:val="en-US" w:bidi="ar-SA"/>
              </w:rPr>
              <w:t>合格批次</w:t>
            </w:r>
          </w:p>
        </w:tc>
        <w:tc>
          <w:tcPr>
            <w:tcW w:w="892" w:type="pct"/>
            <w:vAlign w:val="center"/>
          </w:tcPr>
          <w:p>
            <w:pPr>
              <w:pStyle w:val="19"/>
              <w:spacing w:before="0" w:line="360" w:lineRule="auto"/>
              <w:rPr>
                <w:rFonts w:asciiTheme="minorEastAsia" w:hAnsiTheme="minorEastAsia" w:eastAsiaTheme="minorEastAsia"/>
                <w:kern w:val="2"/>
                <w:sz w:val="24"/>
                <w:szCs w:val="24"/>
                <w:lang w:val="en-US" w:bidi="ar-SA"/>
              </w:rPr>
            </w:pPr>
            <w:r>
              <w:rPr>
                <w:rFonts w:asciiTheme="minorEastAsia" w:hAnsiTheme="minorEastAsia" w:eastAsiaTheme="minorEastAsia"/>
                <w:kern w:val="2"/>
                <w:sz w:val="24"/>
                <w:szCs w:val="24"/>
                <w:lang w:val="en-US" w:bidi="ar-SA"/>
              </w:rPr>
              <w:t>不合格批次</w:t>
            </w:r>
          </w:p>
        </w:tc>
        <w:tc>
          <w:tcPr>
            <w:tcW w:w="848" w:type="pct"/>
            <w:vAlign w:val="center"/>
          </w:tcPr>
          <w:p>
            <w:pPr>
              <w:pStyle w:val="19"/>
              <w:spacing w:before="0" w:line="360" w:lineRule="auto"/>
              <w:rPr>
                <w:rFonts w:asciiTheme="minorEastAsia" w:hAnsiTheme="minorEastAsia" w:eastAsiaTheme="minorEastAsia"/>
                <w:kern w:val="2"/>
                <w:sz w:val="24"/>
                <w:szCs w:val="24"/>
                <w:lang w:val="en-US" w:bidi="ar-SA"/>
              </w:rPr>
            </w:pPr>
            <w:r>
              <w:rPr>
                <w:rFonts w:asciiTheme="minorEastAsia" w:hAnsiTheme="minorEastAsia" w:eastAsiaTheme="minorEastAsia"/>
                <w:kern w:val="2"/>
                <w:sz w:val="24"/>
                <w:szCs w:val="24"/>
                <w:lang w:val="en-US" w:bidi="ar-SA"/>
              </w:rPr>
              <w:t>合格率</w:t>
            </w:r>
            <w:r>
              <w:rPr>
                <w:rFonts w:hint="eastAsia" w:asciiTheme="minorEastAsia" w:hAnsiTheme="minorEastAsia" w:eastAsiaTheme="minorEastAsia"/>
                <w:kern w:val="2"/>
                <w:sz w:val="24"/>
                <w:szCs w:val="24"/>
                <w:lang w:val="en-US" w:bidi="ar-S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574" w:type="pct"/>
            <w:vAlign w:val="center"/>
          </w:tcPr>
          <w:p>
            <w:pPr>
              <w:pStyle w:val="19"/>
              <w:spacing w:before="0" w:line="360" w:lineRule="auto"/>
              <w:rPr>
                <w:rFonts w:asciiTheme="minorEastAsia" w:hAnsiTheme="minorEastAsia" w:eastAsiaTheme="minorEastAsia"/>
                <w:kern w:val="2"/>
                <w:sz w:val="24"/>
                <w:szCs w:val="24"/>
                <w:lang w:val="en-US" w:bidi="ar-SA"/>
              </w:rPr>
            </w:pPr>
            <w:r>
              <w:rPr>
                <w:rFonts w:hint="eastAsia" w:asciiTheme="minorEastAsia" w:hAnsiTheme="minorEastAsia" w:eastAsiaTheme="minorEastAsia"/>
                <w:kern w:val="2"/>
                <w:sz w:val="24"/>
                <w:szCs w:val="24"/>
                <w:lang w:val="en-US" w:bidi="ar-SA"/>
              </w:rPr>
              <w:t>1</w:t>
            </w:r>
          </w:p>
        </w:tc>
        <w:tc>
          <w:tcPr>
            <w:tcW w:w="861" w:type="pct"/>
            <w:vAlign w:val="center"/>
          </w:tcPr>
          <w:p>
            <w:pPr>
              <w:pStyle w:val="19"/>
              <w:spacing w:before="0" w:line="360" w:lineRule="auto"/>
              <w:rPr>
                <w:rFonts w:asciiTheme="minorEastAsia" w:hAnsiTheme="minorEastAsia" w:eastAsiaTheme="minorEastAsia"/>
                <w:kern w:val="2"/>
                <w:sz w:val="24"/>
                <w:szCs w:val="24"/>
                <w:lang w:val="en-US" w:bidi="ar-SA"/>
              </w:rPr>
            </w:pPr>
            <w:r>
              <w:rPr>
                <w:rFonts w:hint="eastAsia" w:asciiTheme="minorEastAsia" w:hAnsiTheme="minorEastAsia" w:eastAsiaTheme="minorEastAsia"/>
                <w:sz w:val="24"/>
                <w:szCs w:val="24"/>
              </w:rPr>
              <w:t>复混肥、有机肥</w:t>
            </w:r>
          </w:p>
        </w:tc>
        <w:tc>
          <w:tcPr>
            <w:tcW w:w="950" w:type="pct"/>
            <w:vAlign w:val="center"/>
          </w:tcPr>
          <w:p>
            <w:pPr>
              <w:pStyle w:val="19"/>
              <w:spacing w:before="0" w:line="360" w:lineRule="auto"/>
              <w:rPr>
                <w:rFonts w:asciiTheme="minorEastAsia" w:hAnsiTheme="minorEastAsia" w:eastAsiaTheme="minorEastAsia"/>
                <w:kern w:val="2"/>
                <w:sz w:val="24"/>
                <w:szCs w:val="24"/>
                <w:lang w:val="en-US" w:bidi="ar-SA"/>
              </w:rPr>
            </w:pPr>
            <w:r>
              <w:rPr>
                <w:rFonts w:hint="eastAsia" w:asciiTheme="minorEastAsia" w:hAnsiTheme="minorEastAsia" w:eastAsiaTheme="minorEastAsia"/>
                <w:kern w:val="2"/>
                <w:sz w:val="24"/>
                <w:szCs w:val="24"/>
                <w:lang w:val="en-US" w:bidi="ar-SA"/>
              </w:rPr>
              <w:t>31</w:t>
            </w:r>
          </w:p>
        </w:tc>
        <w:tc>
          <w:tcPr>
            <w:tcW w:w="875" w:type="pct"/>
            <w:vAlign w:val="center"/>
          </w:tcPr>
          <w:p>
            <w:pPr>
              <w:pStyle w:val="19"/>
              <w:spacing w:before="0" w:line="360" w:lineRule="auto"/>
              <w:rPr>
                <w:rFonts w:asciiTheme="minorEastAsia" w:hAnsiTheme="minorEastAsia" w:eastAsiaTheme="minorEastAsia"/>
                <w:kern w:val="2"/>
                <w:sz w:val="24"/>
                <w:szCs w:val="24"/>
                <w:lang w:val="en-US" w:bidi="ar-SA"/>
              </w:rPr>
            </w:pPr>
            <w:r>
              <w:rPr>
                <w:rFonts w:hint="eastAsia" w:asciiTheme="minorEastAsia" w:hAnsiTheme="minorEastAsia" w:eastAsiaTheme="minorEastAsia"/>
                <w:kern w:val="2"/>
                <w:sz w:val="24"/>
                <w:szCs w:val="24"/>
                <w:lang w:val="en-US" w:bidi="ar-SA"/>
              </w:rPr>
              <w:t>28</w:t>
            </w:r>
          </w:p>
        </w:tc>
        <w:tc>
          <w:tcPr>
            <w:tcW w:w="892" w:type="pct"/>
            <w:vAlign w:val="center"/>
          </w:tcPr>
          <w:p>
            <w:pPr>
              <w:pStyle w:val="19"/>
              <w:spacing w:before="0" w:line="360" w:lineRule="auto"/>
              <w:rPr>
                <w:rFonts w:asciiTheme="minorEastAsia" w:hAnsiTheme="minorEastAsia" w:eastAsiaTheme="minorEastAsia"/>
                <w:kern w:val="2"/>
                <w:sz w:val="24"/>
                <w:szCs w:val="24"/>
                <w:lang w:val="en-US" w:bidi="ar-SA"/>
              </w:rPr>
            </w:pPr>
            <w:r>
              <w:rPr>
                <w:rFonts w:hint="eastAsia" w:asciiTheme="minorEastAsia" w:hAnsiTheme="minorEastAsia" w:eastAsiaTheme="minorEastAsia"/>
                <w:kern w:val="2"/>
                <w:sz w:val="24"/>
                <w:szCs w:val="24"/>
                <w:lang w:val="en-US" w:bidi="ar-SA"/>
              </w:rPr>
              <w:t>3</w:t>
            </w:r>
          </w:p>
        </w:tc>
        <w:tc>
          <w:tcPr>
            <w:tcW w:w="848" w:type="pct"/>
            <w:vAlign w:val="center"/>
          </w:tcPr>
          <w:p>
            <w:pPr>
              <w:pStyle w:val="19"/>
              <w:spacing w:before="0" w:line="360" w:lineRule="auto"/>
              <w:rPr>
                <w:rFonts w:asciiTheme="minorEastAsia" w:hAnsiTheme="minorEastAsia" w:eastAsiaTheme="minorEastAsia"/>
                <w:kern w:val="2"/>
                <w:sz w:val="24"/>
                <w:szCs w:val="24"/>
                <w:lang w:val="en-US" w:bidi="ar-SA"/>
              </w:rPr>
            </w:pPr>
            <w:r>
              <w:rPr>
                <w:rFonts w:hint="eastAsia" w:asciiTheme="minorEastAsia" w:hAnsiTheme="minorEastAsia" w:eastAsiaTheme="minorEastAsia"/>
                <w:kern w:val="2"/>
                <w:sz w:val="24"/>
                <w:szCs w:val="24"/>
                <w:lang w:val="en-US" w:bidi="ar-SA"/>
              </w:rPr>
              <w:t>90.3</w:t>
            </w:r>
          </w:p>
        </w:tc>
      </w:tr>
    </w:tbl>
    <w:p>
      <w:pPr>
        <w:spacing w:line="360" w:lineRule="auto"/>
        <w:ind w:firstLine="480" w:firstLineChars="200"/>
        <w:jc w:val="center"/>
        <w:rPr>
          <w:rFonts w:cs="Times New Roman" w:asciiTheme="minorEastAsia" w:hAnsiTheme="minorEastAsia"/>
          <w:sz w:val="24"/>
          <w:szCs w:val="24"/>
        </w:rPr>
      </w:pPr>
    </w:p>
    <w:p>
      <w:pPr>
        <w:spacing w:line="360" w:lineRule="auto"/>
        <w:ind w:firstLine="480" w:firstLineChars="200"/>
        <w:jc w:val="center"/>
        <w:rPr>
          <w:rFonts w:cs="Times New Roman" w:asciiTheme="minorEastAsia" w:hAnsiTheme="minorEastAsia"/>
          <w:sz w:val="24"/>
          <w:szCs w:val="24"/>
        </w:rPr>
      </w:pPr>
      <w:r>
        <w:rPr>
          <w:rFonts w:asciiTheme="minorEastAsia" w:hAnsiTheme="minorEastAsia"/>
          <w:sz w:val="24"/>
          <w:szCs w:val="24"/>
        </w:rPr>
        <w:drawing>
          <wp:inline distT="0" distB="0" distL="0" distR="0">
            <wp:extent cx="4845685" cy="3103245"/>
            <wp:effectExtent l="19050" t="0" r="12065" b="19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adjustRightInd w:val="0"/>
        <w:snapToGrid w:val="0"/>
        <w:spacing w:line="400" w:lineRule="atLeast"/>
        <w:ind w:firstLine="480"/>
        <w:jc w:val="center"/>
        <w:rPr>
          <w:rFonts w:cs="宋体" w:asciiTheme="minorEastAsia" w:hAnsiTheme="minorEastAsia"/>
          <w:sz w:val="24"/>
          <w:szCs w:val="24"/>
        </w:rPr>
      </w:pPr>
      <w:r>
        <w:rPr>
          <w:rFonts w:hint="eastAsia" w:cs="宋体" w:asciiTheme="minorEastAsia" w:hAnsiTheme="minorEastAsia"/>
          <w:sz w:val="24"/>
          <w:szCs w:val="24"/>
        </w:rPr>
        <w:t>图1</w:t>
      </w:r>
      <w:r>
        <w:rPr>
          <w:rFonts w:hint="eastAsia" w:cs="Times New Roman" w:asciiTheme="minorEastAsia" w:hAnsiTheme="minorEastAsia"/>
          <w:sz w:val="24"/>
          <w:szCs w:val="24"/>
        </w:rPr>
        <w:t>复混肥、有机肥</w:t>
      </w:r>
      <w:r>
        <w:rPr>
          <w:rFonts w:hint="eastAsia" w:cs="宋体" w:asciiTheme="minorEastAsia" w:hAnsiTheme="minorEastAsia"/>
          <w:sz w:val="24"/>
          <w:szCs w:val="24"/>
        </w:rPr>
        <w:t>产品合格率情况</w:t>
      </w:r>
    </w:p>
    <w:p>
      <w:pPr>
        <w:pStyle w:val="3"/>
        <w:rPr>
          <w:rFonts w:asciiTheme="minorEastAsia" w:hAnsiTheme="minorEastAsia" w:eastAsiaTheme="minorEastAsia"/>
          <w:szCs w:val="24"/>
        </w:rPr>
      </w:pPr>
      <w:r>
        <w:rPr>
          <w:rFonts w:asciiTheme="minorEastAsia" w:hAnsiTheme="minorEastAsia" w:eastAsiaTheme="minorEastAsia"/>
          <w:szCs w:val="24"/>
        </w:rPr>
        <w:t>3.1.2 不同抽样地区监督抽查情况</w:t>
      </w:r>
    </w:p>
    <w:p>
      <w:pPr>
        <w:adjustRightInd w:val="0"/>
        <w:snapToGrid w:val="0"/>
        <w:spacing w:line="400" w:lineRule="atLeast"/>
        <w:jc w:val="center"/>
        <w:rPr>
          <w:rFonts w:asciiTheme="minorEastAsia" w:hAnsiTheme="minorEastAsia"/>
          <w:b/>
          <w:sz w:val="24"/>
          <w:szCs w:val="24"/>
        </w:rPr>
      </w:pPr>
      <w:r>
        <w:rPr>
          <w:rFonts w:hint="eastAsia" w:asciiTheme="minorEastAsia" w:hAnsiTheme="minorEastAsia"/>
          <w:b/>
          <w:sz w:val="24"/>
          <w:szCs w:val="24"/>
        </w:rPr>
        <w:t>表4  不同出样地区产品监督抽查情况表</w:t>
      </w:r>
    </w:p>
    <w:p>
      <w:pPr>
        <w:rPr>
          <w:rFonts w:asciiTheme="minorEastAsia" w:hAnsiTheme="minorEastAsia"/>
          <w:sz w:val="24"/>
          <w:szCs w:val="24"/>
        </w:rPr>
      </w:pPr>
    </w:p>
    <w:tbl>
      <w:tblPr>
        <w:tblStyle w:val="11"/>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845"/>
        <w:gridCol w:w="1557"/>
        <w:gridCol w:w="1559"/>
        <w:gridCol w:w="1843"/>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087" w:type="dxa"/>
            <w:vAlign w:val="center"/>
          </w:tcPr>
          <w:p>
            <w:pPr>
              <w:adjustRightInd w:val="0"/>
              <w:snapToGrid w:val="0"/>
              <w:spacing w:line="400" w:lineRule="atLeast"/>
              <w:ind w:left="-647" w:leftChars="-308" w:firstLine="720" w:firstLineChars="300"/>
              <w:rPr>
                <w:rFonts w:asciiTheme="minorEastAsia" w:hAnsiTheme="minorEastAsia"/>
                <w:sz w:val="24"/>
                <w:szCs w:val="24"/>
              </w:rPr>
            </w:pPr>
            <w:r>
              <w:rPr>
                <w:rFonts w:hint="eastAsia" w:asciiTheme="minorEastAsia" w:hAnsiTheme="minorEastAsia"/>
                <w:sz w:val="24"/>
                <w:szCs w:val="24"/>
              </w:rPr>
              <w:t>序号</w:t>
            </w:r>
          </w:p>
        </w:tc>
        <w:tc>
          <w:tcPr>
            <w:tcW w:w="1845" w:type="dxa"/>
            <w:vAlign w:val="center"/>
          </w:tcPr>
          <w:p>
            <w:pPr>
              <w:adjustRightInd w:val="0"/>
              <w:snapToGrid w:val="0"/>
              <w:spacing w:line="400" w:lineRule="atLeast"/>
              <w:ind w:left="-647" w:leftChars="-308" w:firstLine="600" w:firstLineChars="250"/>
              <w:jc w:val="center"/>
              <w:rPr>
                <w:rFonts w:asciiTheme="minorEastAsia" w:hAnsiTheme="minorEastAsia"/>
                <w:sz w:val="24"/>
                <w:szCs w:val="24"/>
              </w:rPr>
            </w:pPr>
            <w:r>
              <w:rPr>
                <w:rFonts w:hint="eastAsia" w:asciiTheme="minorEastAsia" w:hAnsiTheme="minorEastAsia"/>
                <w:sz w:val="24"/>
                <w:szCs w:val="24"/>
              </w:rPr>
              <w:t>抽样地区</w:t>
            </w:r>
          </w:p>
        </w:tc>
        <w:tc>
          <w:tcPr>
            <w:tcW w:w="1557" w:type="dxa"/>
            <w:vAlign w:val="center"/>
          </w:tcPr>
          <w:p>
            <w:pPr>
              <w:adjustRightInd w:val="0"/>
              <w:snapToGrid w:val="0"/>
              <w:spacing w:line="400" w:lineRule="atLeast"/>
              <w:ind w:left="-647" w:leftChars="-308" w:firstLine="600" w:firstLineChars="250"/>
              <w:jc w:val="center"/>
              <w:rPr>
                <w:rFonts w:asciiTheme="minorEastAsia" w:hAnsiTheme="minorEastAsia"/>
                <w:sz w:val="24"/>
                <w:szCs w:val="24"/>
              </w:rPr>
            </w:pPr>
            <w:r>
              <w:rPr>
                <w:rFonts w:hint="eastAsia" w:asciiTheme="minorEastAsia" w:hAnsiTheme="minorEastAsia"/>
                <w:sz w:val="24"/>
                <w:szCs w:val="24"/>
              </w:rPr>
              <w:t>抽查批次</w:t>
            </w:r>
          </w:p>
        </w:tc>
        <w:tc>
          <w:tcPr>
            <w:tcW w:w="1559" w:type="dxa"/>
            <w:vAlign w:val="center"/>
          </w:tcPr>
          <w:p>
            <w:pPr>
              <w:adjustRightInd w:val="0"/>
              <w:snapToGrid w:val="0"/>
              <w:spacing w:line="400" w:lineRule="atLeast"/>
              <w:ind w:left="-647" w:leftChars="-308" w:firstLine="600" w:firstLineChars="250"/>
              <w:jc w:val="center"/>
              <w:rPr>
                <w:rFonts w:asciiTheme="minorEastAsia" w:hAnsiTheme="minorEastAsia"/>
                <w:sz w:val="24"/>
                <w:szCs w:val="24"/>
              </w:rPr>
            </w:pPr>
            <w:r>
              <w:rPr>
                <w:rFonts w:hint="eastAsia" w:asciiTheme="minorEastAsia" w:hAnsiTheme="minorEastAsia"/>
                <w:sz w:val="24"/>
                <w:szCs w:val="24"/>
              </w:rPr>
              <w:t>合格批次</w:t>
            </w:r>
          </w:p>
        </w:tc>
        <w:tc>
          <w:tcPr>
            <w:tcW w:w="1843" w:type="dxa"/>
            <w:vAlign w:val="center"/>
          </w:tcPr>
          <w:p>
            <w:pPr>
              <w:adjustRightInd w:val="0"/>
              <w:snapToGrid w:val="0"/>
              <w:spacing w:line="400" w:lineRule="atLeast"/>
              <w:ind w:left="-647" w:leftChars="-308" w:firstLine="600" w:firstLineChars="250"/>
              <w:jc w:val="center"/>
              <w:rPr>
                <w:rFonts w:asciiTheme="minorEastAsia" w:hAnsiTheme="minorEastAsia"/>
                <w:sz w:val="24"/>
                <w:szCs w:val="24"/>
              </w:rPr>
            </w:pPr>
            <w:r>
              <w:rPr>
                <w:rFonts w:hint="eastAsia" w:asciiTheme="minorEastAsia" w:hAnsiTheme="minorEastAsia"/>
                <w:sz w:val="24"/>
                <w:szCs w:val="24"/>
              </w:rPr>
              <w:t>不合格批次</w:t>
            </w:r>
          </w:p>
        </w:tc>
        <w:tc>
          <w:tcPr>
            <w:tcW w:w="1170" w:type="dxa"/>
            <w:vAlign w:val="center"/>
          </w:tcPr>
          <w:p>
            <w:pPr>
              <w:adjustRightInd w:val="0"/>
              <w:snapToGrid w:val="0"/>
              <w:spacing w:line="400" w:lineRule="atLeast"/>
              <w:ind w:left="-647" w:leftChars="-308" w:firstLine="600" w:firstLineChars="250"/>
              <w:jc w:val="center"/>
              <w:rPr>
                <w:rFonts w:asciiTheme="minorEastAsia" w:hAnsiTheme="minorEastAsia"/>
                <w:sz w:val="24"/>
                <w:szCs w:val="24"/>
              </w:rPr>
            </w:pPr>
            <w:r>
              <w:rPr>
                <w:rFonts w:hint="eastAsia" w:asciiTheme="minorEastAsia" w:hAnsiTheme="minorEastAsia"/>
                <w:sz w:val="24"/>
                <w:szCs w:val="24"/>
              </w:rPr>
              <w:t>合格率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8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w:t>
            </w:r>
          </w:p>
        </w:tc>
        <w:tc>
          <w:tcPr>
            <w:tcW w:w="1845"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金坛区</w:t>
            </w:r>
          </w:p>
        </w:tc>
        <w:tc>
          <w:tcPr>
            <w:tcW w:w="155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5</w:t>
            </w:r>
          </w:p>
        </w:tc>
        <w:tc>
          <w:tcPr>
            <w:tcW w:w="1559"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5</w:t>
            </w:r>
          </w:p>
        </w:tc>
        <w:tc>
          <w:tcPr>
            <w:tcW w:w="1843"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0</w:t>
            </w:r>
          </w:p>
        </w:tc>
        <w:tc>
          <w:tcPr>
            <w:tcW w:w="1170"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8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2</w:t>
            </w:r>
          </w:p>
        </w:tc>
        <w:tc>
          <w:tcPr>
            <w:tcW w:w="1845"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溧阳市</w:t>
            </w:r>
          </w:p>
        </w:tc>
        <w:tc>
          <w:tcPr>
            <w:tcW w:w="155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7</w:t>
            </w:r>
          </w:p>
        </w:tc>
        <w:tc>
          <w:tcPr>
            <w:tcW w:w="1559"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7</w:t>
            </w:r>
          </w:p>
        </w:tc>
        <w:tc>
          <w:tcPr>
            <w:tcW w:w="1843"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0</w:t>
            </w:r>
          </w:p>
        </w:tc>
        <w:tc>
          <w:tcPr>
            <w:tcW w:w="1170"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8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3</w:t>
            </w:r>
          </w:p>
        </w:tc>
        <w:tc>
          <w:tcPr>
            <w:tcW w:w="1845"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天宁区</w:t>
            </w:r>
          </w:p>
        </w:tc>
        <w:tc>
          <w:tcPr>
            <w:tcW w:w="155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w:t>
            </w:r>
          </w:p>
        </w:tc>
        <w:tc>
          <w:tcPr>
            <w:tcW w:w="1559"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w:t>
            </w:r>
          </w:p>
        </w:tc>
        <w:tc>
          <w:tcPr>
            <w:tcW w:w="1843"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0</w:t>
            </w:r>
          </w:p>
        </w:tc>
        <w:tc>
          <w:tcPr>
            <w:tcW w:w="1170"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8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4</w:t>
            </w:r>
          </w:p>
        </w:tc>
        <w:tc>
          <w:tcPr>
            <w:tcW w:w="1845"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武进区</w:t>
            </w:r>
          </w:p>
        </w:tc>
        <w:tc>
          <w:tcPr>
            <w:tcW w:w="155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5</w:t>
            </w:r>
          </w:p>
        </w:tc>
        <w:tc>
          <w:tcPr>
            <w:tcW w:w="1559"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5</w:t>
            </w:r>
          </w:p>
        </w:tc>
        <w:tc>
          <w:tcPr>
            <w:tcW w:w="1843"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0</w:t>
            </w:r>
          </w:p>
        </w:tc>
        <w:tc>
          <w:tcPr>
            <w:tcW w:w="1170"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8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5</w:t>
            </w:r>
          </w:p>
        </w:tc>
        <w:tc>
          <w:tcPr>
            <w:tcW w:w="1845"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新北区</w:t>
            </w:r>
          </w:p>
        </w:tc>
        <w:tc>
          <w:tcPr>
            <w:tcW w:w="155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4</w:t>
            </w:r>
          </w:p>
        </w:tc>
        <w:tc>
          <w:tcPr>
            <w:tcW w:w="1559"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3</w:t>
            </w:r>
          </w:p>
        </w:tc>
        <w:tc>
          <w:tcPr>
            <w:tcW w:w="1843"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w:t>
            </w:r>
          </w:p>
        </w:tc>
        <w:tc>
          <w:tcPr>
            <w:tcW w:w="1170"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8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6</w:t>
            </w:r>
          </w:p>
        </w:tc>
        <w:tc>
          <w:tcPr>
            <w:tcW w:w="1845"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钟楼区</w:t>
            </w:r>
          </w:p>
        </w:tc>
        <w:tc>
          <w:tcPr>
            <w:tcW w:w="155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4</w:t>
            </w:r>
          </w:p>
        </w:tc>
        <w:tc>
          <w:tcPr>
            <w:tcW w:w="1559"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3</w:t>
            </w:r>
          </w:p>
        </w:tc>
        <w:tc>
          <w:tcPr>
            <w:tcW w:w="1843"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w:t>
            </w:r>
          </w:p>
        </w:tc>
        <w:tc>
          <w:tcPr>
            <w:tcW w:w="1170"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8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7</w:t>
            </w:r>
          </w:p>
        </w:tc>
        <w:tc>
          <w:tcPr>
            <w:tcW w:w="1845"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经济开发区</w:t>
            </w:r>
          </w:p>
        </w:tc>
        <w:tc>
          <w:tcPr>
            <w:tcW w:w="1557"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5</w:t>
            </w:r>
          </w:p>
        </w:tc>
        <w:tc>
          <w:tcPr>
            <w:tcW w:w="1559"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4</w:t>
            </w:r>
          </w:p>
        </w:tc>
        <w:tc>
          <w:tcPr>
            <w:tcW w:w="1843"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1</w:t>
            </w:r>
          </w:p>
        </w:tc>
        <w:tc>
          <w:tcPr>
            <w:tcW w:w="1170" w:type="dxa"/>
            <w:vAlign w:val="center"/>
          </w:tcPr>
          <w:p>
            <w:pPr>
              <w:adjustRightInd w:val="0"/>
              <w:snapToGrid w:val="0"/>
              <w:spacing w:line="400" w:lineRule="atLeast"/>
              <w:jc w:val="center"/>
              <w:rPr>
                <w:rFonts w:asciiTheme="minorEastAsia" w:hAnsiTheme="minorEastAsia"/>
                <w:sz w:val="24"/>
                <w:szCs w:val="24"/>
              </w:rPr>
            </w:pPr>
            <w:r>
              <w:rPr>
                <w:rFonts w:hint="eastAsia" w:asciiTheme="minorEastAsia" w:hAnsiTheme="minorEastAsia"/>
                <w:sz w:val="24"/>
                <w:szCs w:val="24"/>
              </w:rPr>
              <w:t>80%</w:t>
            </w:r>
          </w:p>
        </w:tc>
      </w:tr>
    </w:tbl>
    <w:p>
      <w:pPr>
        <w:rPr>
          <w:rFonts w:asciiTheme="minorEastAsia" w:hAnsiTheme="minorEastAsia"/>
          <w:sz w:val="24"/>
          <w:szCs w:val="24"/>
        </w:rPr>
        <w:sectPr>
          <w:footerReference r:id="rId7" w:type="first"/>
          <w:footerReference r:id="rId6" w:type="default"/>
          <w:pgSz w:w="11906" w:h="16838"/>
          <w:pgMar w:top="1440" w:right="1800" w:bottom="1440" w:left="1800" w:header="851" w:footer="992" w:gutter="0"/>
          <w:pgNumType w:start="1"/>
          <w:cols w:space="425" w:num="1"/>
          <w:titlePg/>
          <w:docGrid w:type="lines" w:linePitch="312" w:charSpace="0"/>
        </w:sectPr>
      </w:pPr>
    </w:p>
    <w:p>
      <w:pPr>
        <w:jc w:val="center"/>
        <w:rPr>
          <w:rFonts w:asciiTheme="minorEastAsia" w:hAnsiTheme="minorEastAsia"/>
          <w:sz w:val="24"/>
          <w:szCs w:val="24"/>
        </w:rPr>
      </w:pPr>
      <w:r>
        <w:rPr>
          <w:rFonts w:asciiTheme="minorEastAsia" w:hAnsiTheme="minorEastAsia"/>
          <w:sz w:val="24"/>
          <w:szCs w:val="24"/>
        </w:rPr>
        <w:drawing>
          <wp:inline distT="0" distB="0" distL="0" distR="0">
            <wp:extent cx="5110480" cy="3062605"/>
            <wp:effectExtent l="4445" t="4445" r="5715" b="1143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adjustRightInd w:val="0"/>
        <w:snapToGrid w:val="0"/>
        <w:spacing w:line="400" w:lineRule="atLeast"/>
        <w:ind w:firstLine="480"/>
        <w:jc w:val="center"/>
        <w:rPr>
          <w:rFonts w:cs="宋体" w:asciiTheme="minorEastAsia" w:hAnsiTheme="minorEastAsia"/>
          <w:sz w:val="24"/>
          <w:szCs w:val="24"/>
        </w:rPr>
      </w:pPr>
      <w:r>
        <w:rPr>
          <w:rFonts w:hint="eastAsia" w:cs="宋体" w:asciiTheme="minorEastAsia" w:hAnsiTheme="minorEastAsia"/>
          <w:sz w:val="24"/>
          <w:szCs w:val="24"/>
        </w:rPr>
        <w:t>图2 不同地区样品数量占比情况</w:t>
      </w:r>
    </w:p>
    <w:p>
      <w:pPr>
        <w:adjustRightInd w:val="0"/>
        <w:snapToGrid w:val="0"/>
        <w:spacing w:line="400" w:lineRule="atLeast"/>
        <w:ind w:firstLine="480"/>
        <w:jc w:val="center"/>
        <w:rPr>
          <w:rFonts w:cs="宋体" w:asciiTheme="minorEastAsia" w:hAnsiTheme="minorEastAsia"/>
          <w:sz w:val="24"/>
          <w:szCs w:val="24"/>
        </w:rPr>
      </w:pPr>
    </w:p>
    <w:p>
      <w:pPr>
        <w:adjustRightInd w:val="0"/>
        <w:snapToGrid w:val="0"/>
        <w:spacing w:line="400" w:lineRule="atLeast"/>
        <w:ind w:firstLine="480"/>
        <w:jc w:val="center"/>
        <w:rPr>
          <w:rFonts w:cs="宋体" w:asciiTheme="minorEastAsia" w:hAnsiTheme="minorEastAsia"/>
          <w:sz w:val="24"/>
          <w:szCs w:val="24"/>
        </w:rPr>
      </w:pPr>
      <w:r>
        <w:rPr>
          <w:rFonts w:asciiTheme="minorEastAsia" w:hAnsiTheme="minorEastAsia"/>
          <w:sz w:val="24"/>
          <w:szCs w:val="24"/>
        </w:rPr>
        <w:drawing>
          <wp:inline distT="0" distB="0" distL="0" distR="0">
            <wp:extent cx="5030470" cy="3479800"/>
            <wp:effectExtent l="0" t="0" r="17780" b="63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adjustRightInd w:val="0"/>
        <w:snapToGrid w:val="0"/>
        <w:spacing w:line="400" w:lineRule="atLeast"/>
        <w:ind w:firstLine="480"/>
        <w:jc w:val="center"/>
        <w:rPr>
          <w:rFonts w:cs="宋体" w:asciiTheme="minorEastAsia" w:hAnsiTheme="minorEastAsia"/>
          <w:sz w:val="24"/>
          <w:szCs w:val="24"/>
        </w:rPr>
      </w:pPr>
      <w:r>
        <w:rPr>
          <w:rFonts w:hint="eastAsia" w:cs="宋体" w:asciiTheme="minorEastAsia" w:hAnsiTheme="minorEastAsia"/>
          <w:sz w:val="24"/>
          <w:szCs w:val="24"/>
        </w:rPr>
        <w:t>图3 不同地区合格率情况</w:t>
      </w:r>
    </w:p>
    <w:p>
      <w:pPr>
        <w:spacing w:line="360" w:lineRule="auto"/>
        <w:ind w:firstLine="480" w:firstLineChars="200"/>
        <w:rPr>
          <w:rFonts w:cs="Times New Roman" w:asciiTheme="minorEastAsia" w:hAnsiTheme="minorEastAsia"/>
          <w:sz w:val="24"/>
          <w:szCs w:val="24"/>
        </w:rPr>
        <w:sectPr>
          <w:footerReference r:id="rId8" w:type="first"/>
          <w:pgSz w:w="11906" w:h="16838"/>
          <w:pgMar w:top="1440" w:right="1800" w:bottom="1440" w:left="1800" w:header="851" w:footer="992" w:gutter="0"/>
          <w:cols w:space="425" w:num="1"/>
          <w:titlePg/>
          <w:docGrid w:type="lines" w:linePitch="312" w:charSpace="0"/>
        </w:sectPr>
      </w:pPr>
    </w:p>
    <w:p>
      <w:pPr>
        <w:pStyle w:val="3"/>
        <w:rPr>
          <w:rFonts w:asciiTheme="minorEastAsia" w:hAnsiTheme="minorEastAsia" w:eastAsiaTheme="minorEastAsia"/>
          <w:szCs w:val="24"/>
        </w:rPr>
      </w:pPr>
      <w:r>
        <w:rPr>
          <w:rFonts w:asciiTheme="minorEastAsia" w:hAnsiTheme="minorEastAsia" w:eastAsiaTheme="minorEastAsia"/>
          <w:szCs w:val="24"/>
        </w:rPr>
        <w:t>3.2产品质量抽查结果分析</w:t>
      </w:r>
    </w:p>
    <w:p>
      <w:pPr>
        <w:tabs>
          <w:tab w:val="left" w:pos="5742"/>
        </w:tabs>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本次抽查发现3次产品不合格，具体不合格信息见下表：</w:t>
      </w:r>
    </w:p>
    <w:p>
      <w:pPr>
        <w:adjustRightInd w:val="0"/>
        <w:snapToGrid w:val="0"/>
        <w:spacing w:line="360" w:lineRule="auto"/>
        <w:jc w:val="center"/>
        <w:rPr>
          <w:rFonts w:asciiTheme="minorEastAsia" w:hAnsiTheme="minorEastAsia"/>
          <w:b/>
          <w:sz w:val="24"/>
          <w:szCs w:val="24"/>
        </w:rPr>
      </w:pPr>
      <w:r>
        <w:rPr>
          <w:rFonts w:hint="eastAsia" w:asciiTheme="minorEastAsia" w:hAnsiTheme="minorEastAsia"/>
          <w:b/>
          <w:sz w:val="24"/>
          <w:szCs w:val="24"/>
        </w:rPr>
        <w:t xml:space="preserve">表5   </w:t>
      </w:r>
      <w:r>
        <w:rPr>
          <w:rFonts w:hint="eastAsia" w:cs="Times New Roman" w:asciiTheme="minorEastAsia" w:hAnsiTheme="minorEastAsia"/>
          <w:sz w:val="24"/>
          <w:szCs w:val="24"/>
        </w:rPr>
        <w:t>复混肥、有机肥</w:t>
      </w:r>
      <w:r>
        <w:rPr>
          <w:rFonts w:hint="eastAsia" w:asciiTheme="minorEastAsia" w:hAnsiTheme="minorEastAsia"/>
          <w:b/>
          <w:sz w:val="24"/>
          <w:szCs w:val="24"/>
        </w:rPr>
        <w:t>不合格明细表</w:t>
      </w:r>
    </w:p>
    <w:tbl>
      <w:tblPr>
        <w:tblStyle w:val="11"/>
        <w:tblW w:w="9498"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3402"/>
        <w:gridCol w:w="851"/>
        <w:gridCol w:w="1275"/>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52"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抽查批次号</w:t>
            </w:r>
          </w:p>
        </w:tc>
        <w:tc>
          <w:tcPr>
            <w:tcW w:w="3402"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检验项目</w:t>
            </w:r>
          </w:p>
        </w:tc>
        <w:tc>
          <w:tcPr>
            <w:tcW w:w="851"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单位</w:t>
            </w:r>
          </w:p>
        </w:tc>
        <w:tc>
          <w:tcPr>
            <w:tcW w:w="1275"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技术要求</w:t>
            </w:r>
          </w:p>
        </w:tc>
        <w:tc>
          <w:tcPr>
            <w:tcW w:w="1418"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检验结果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52"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D202103004010018</w:t>
            </w:r>
          </w:p>
        </w:tc>
        <w:tc>
          <w:tcPr>
            <w:tcW w:w="3402" w:type="dxa"/>
            <w:shd w:val="clear" w:color="auto" w:fill="auto"/>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有机质的质量分数</w:t>
            </w:r>
            <w:r>
              <w:rPr>
                <w:rFonts w:hint="eastAsia" w:cs="宋体" w:asciiTheme="minorEastAsia" w:hAnsiTheme="minorEastAsia"/>
                <w:kern w:val="0"/>
                <w:sz w:val="24"/>
                <w:szCs w:val="24"/>
              </w:rPr>
              <w:br w:type="textWrapping"/>
            </w:r>
            <w:r>
              <w:rPr>
                <w:rFonts w:hint="eastAsia" w:cs="宋体" w:asciiTheme="minorEastAsia" w:hAnsiTheme="minorEastAsia"/>
                <w:kern w:val="0"/>
                <w:sz w:val="24"/>
                <w:szCs w:val="24"/>
              </w:rPr>
              <w:t>（以烘干基计）</w:t>
            </w:r>
          </w:p>
        </w:tc>
        <w:tc>
          <w:tcPr>
            <w:tcW w:w="851"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w:t>
            </w:r>
          </w:p>
        </w:tc>
        <w:tc>
          <w:tcPr>
            <w:tcW w:w="1275"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≥45</w:t>
            </w:r>
          </w:p>
        </w:tc>
        <w:tc>
          <w:tcPr>
            <w:tcW w:w="1418" w:type="dxa"/>
            <w:shd w:val="clear" w:color="auto" w:fill="auto"/>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52"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D202103004010018</w:t>
            </w:r>
          </w:p>
        </w:tc>
        <w:tc>
          <w:tcPr>
            <w:tcW w:w="3402"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总铬（Cr）（以干基计）</w:t>
            </w:r>
          </w:p>
        </w:tc>
        <w:tc>
          <w:tcPr>
            <w:tcW w:w="851"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mg/kg</w:t>
            </w:r>
          </w:p>
        </w:tc>
        <w:tc>
          <w:tcPr>
            <w:tcW w:w="1275"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 xml:space="preserve">≤150 </w:t>
            </w:r>
          </w:p>
        </w:tc>
        <w:tc>
          <w:tcPr>
            <w:tcW w:w="1418" w:type="dxa"/>
            <w:shd w:val="clear" w:color="auto" w:fill="auto"/>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52"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D202103004010025</w:t>
            </w:r>
          </w:p>
        </w:tc>
        <w:tc>
          <w:tcPr>
            <w:tcW w:w="3402"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有机质（以干基计）</w:t>
            </w:r>
          </w:p>
        </w:tc>
        <w:tc>
          <w:tcPr>
            <w:tcW w:w="851"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w:t>
            </w:r>
          </w:p>
        </w:tc>
        <w:tc>
          <w:tcPr>
            <w:tcW w:w="1275"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≥40.0</w:t>
            </w:r>
          </w:p>
        </w:tc>
        <w:tc>
          <w:tcPr>
            <w:tcW w:w="1418" w:type="dxa"/>
            <w:shd w:val="clear" w:color="auto" w:fill="auto"/>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52"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D202103004010031</w:t>
            </w:r>
          </w:p>
        </w:tc>
        <w:tc>
          <w:tcPr>
            <w:tcW w:w="3402" w:type="dxa"/>
            <w:shd w:val="clear" w:color="auto" w:fill="auto"/>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总养分（N+K</w:t>
            </w:r>
            <w:r>
              <w:rPr>
                <w:rFonts w:hint="eastAsia" w:cs="宋体" w:asciiTheme="minorEastAsia" w:hAnsiTheme="minorEastAsia"/>
                <w:kern w:val="0"/>
                <w:sz w:val="24"/>
                <w:szCs w:val="24"/>
                <w:vertAlign w:val="subscript"/>
              </w:rPr>
              <w:t>2</w:t>
            </w:r>
            <w:r>
              <w:rPr>
                <w:rFonts w:hint="eastAsia" w:cs="宋体" w:asciiTheme="minorEastAsia" w:hAnsiTheme="minorEastAsia"/>
                <w:kern w:val="0"/>
                <w:sz w:val="24"/>
                <w:szCs w:val="24"/>
              </w:rPr>
              <w:t>O+P</w:t>
            </w:r>
            <w:r>
              <w:rPr>
                <w:rFonts w:hint="eastAsia" w:cs="宋体" w:asciiTheme="minorEastAsia" w:hAnsiTheme="minorEastAsia"/>
                <w:kern w:val="0"/>
                <w:sz w:val="24"/>
                <w:szCs w:val="24"/>
                <w:vertAlign w:val="subscript"/>
              </w:rPr>
              <w:t>2</w:t>
            </w:r>
            <w:r>
              <w:rPr>
                <w:rFonts w:hint="eastAsia" w:cs="宋体" w:asciiTheme="minorEastAsia" w:hAnsiTheme="minorEastAsia"/>
                <w:kern w:val="0"/>
                <w:sz w:val="24"/>
                <w:szCs w:val="24"/>
              </w:rPr>
              <w:t>O</w:t>
            </w:r>
            <w:r>
              <w:rPr>
                <w:rFonts w:hint="eastAsia" w:cs="宋体" w:asciiTheme="minorEastAsia" w:hAnsiTheme="minorEastAsia"/>
                <w:kern w:val="0"/>
                <w:sz w:val="24"/>
                <w:szCs w:val="24"/>
                <w:vertAlign w:val="subscript"/>
              </w:rPr>
              <w:t>5</w:t>
            </w:r>
            <w:r>
              <w:rPr>
                <w:rFonts w:hint="eastAsia" w:cs="宋体" w:asciiTheme="minorEastAsia" w:hAnsiTheme="minorEastAsia"/>
                <w:kern w:val="0"/>
                <w:sz w:val="24"/>
                <w:szCs w:val="24"/>
              </w:rPr>
              <w:t>)的质量分数（以烘干基计）</w:t>
            </w:r>
          </w:p>
        </w:tc>
        <w:tc>
          <w:tcPr>
            <w:tcW w:w="851"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w:t>
            </w:r>
          </w:p>
        </w:tc>
        <w:tc>
          <w:tcPr>
            <w:tcW w:w="1275"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≥7</w:t>
            </w:r>
          </w:p>
        </w:tc>
        <w:tc>
          <w:tcPr>
            <w:tcW w:w="1418" w:type="dxa"/>
            <w:shd w:val="clear" w:color="auto" w:fill="auto"/>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52"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D202103004010031</w:t>
            </w:r>
          </w:p>
        </w:tc>
        <w:tc>
          <w:tcPr>
            <w:tcW w:w="3402" w:type="dxa"/>
            <w:shd w:val="clear" w:color="auto" w:fill="auto"/>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有机质的质量分数</w:t>
            </w:r>
            <w:r>
              <w:rPr>
                <w:rFonts w:hint="eastAsia" w:cs="宋体" w:asciiTheme="minorEastAsia" w:hAnsiTheme="minorEastAsia"/>
                <w:kern w:val="0"/>
                <w:sz w:val="24"/>
                <w:szCs w:val="24"/>
              </w:rPr>
              <w:br w:type="textWrapping"/>
            </w:r>
            <w:r>
              <w:rPr>
                <w:rFonts w:hint="eastAsia" w:cs="宋体" w:asciiTheme="minorEastAsia" w:hAnsiTheme="minorEastAsia"/>
                <w:kern w:val="0"/>
                <w:sz w:val="24"/>
                <w:szCs w:val="24"/>
              </w:rPr>
              <w:t>（以烘干基计）</w:t>
            </w:r>
          </w:p>
        </w:tc>
        <w:tc>
          <w:tcPr>
            <w:tcW w:w="851"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w:t>
            </w:r>
          </w:p>
        </w:tc>
        <w:tc>
          <w:tcPr>
            <w:tcW w:w="1275" w:type="dxa"/>
            <w:shd w:val="clear" w:color="auto" w:fill="auto"/>
            <w:noWrap/>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≥45</w:t>
            </w:r>
          </w:p>
        </w:tc>
        <w:tc>
          <w:tcPr>
            <w:tcW w:w="1418" w:type="dxa"/>
            <w:shd w:val="clear" w:color="auto" w:fill="auto"/>
            <w:vAlign w:val="center"/>
          </w:tcPr>
          <w:p>
            <w:pPr>
              <w:widowControl/>
              <w:spacing w:line="360" w:lineRule="auto"/>
              <w:jc w:val="center"/>
              <w:rPr>
                <w:rFonts w:cs="宋体" w:asciiTheme="minorEastAsia" w:hAnsiTheme="minorEastAsia"/>
                <w:kern w:val="0"/>
                <w:sz w:val="24"/>
                <w:szCs w:val="24"/>
              </w:rPr>
            </w:pPr>
            <w:r>
              <w:rPr>
                <w:rFonts w:hint="eastAsia" w:cs="宋体" w:asciiTheme="minorEastAsia" w:hAnsiTheme="minorEastAsia"/>
                <w:kern w:val="0"/>
                <w:sz w:val="24"/>
                <w:szCs w:val="24"/>
              </w:rPr>
              <w:t>31.0</w:t>
            </w:r>
          </w:p>
        </w:tc>
      </w:tr>
    </w:tbl>
    <w:p>
      <w:pPr>
        <w:adjustRightInd w:val="0"/>
        <w:snapToGrid w:val="0"/>
        <w:spacing w:line="360" w:lineRule="auto"/>
        <w:ind w:firstLine="480"/>
        <w:rPr>
          <w:rFonts w:cs="宋体" w:asciiTheme="minorEastAsia" w:hAnsiTheme="minorEastAsia"/>
          <w:sz w:val="24"/>
          <w:szCs w:val="24"/>
        </w:rPr>
      </w:pP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不合格的主要原因：</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1、未按照规范要求生产。</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2、出厂前没有进行质量检验。</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肥料：总养分不足将直接影响施肥效果，影响农作物生长，同时，复混（合）肥料养分含量是肥料定价的关键因素，总养分不够属短秤少量行为，损害了农民的切身利益。</w:t>
      </w:r>
      <w:r>
        <w:rPr>
          <w:rFonts w:hint="eastAsia" w:asciiTheme="minorEastAsia" w:hAnsiTheme="minorEastAsia"/>
          <w:color w:val="000000"/>
          <w:sz w:val="24"/>
          <w:szCs w:val="24"/>
        </w:rPr>
        <w:t>单一养分不合格将影响施肥效果，影响农作物生长，造成减产减收，同时，也增加了农民的肥料成本支出。</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历年抽查情况：</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2</w:t>
      </w:r>
      <w:r>
        <w:rPr>
          <w:rFonts w:cs="宋体" w:asciiTheme="minorEastAsia" w:hAnsiTheme="minorEastAsia"/>
          <w:sz w:val="24"/>
          <w:szCs w:val="24"/>
        </w:rPr>
        <w:t>019</w:t>
      </w:r>
      <w:r>
        <w:rPr>
          <w:rFonts w:hint="eastAsia" w:cs="宋体" w:asciiTheme="minorEastAsia" w:hAnsiTheme="minorEastAsia"/>
          <w:sz w:val="24"/>
          <w:szCs w:val="24"/>
        </w:rPr>
        <w:t>年第二季度，江苏省市场监督管理局对农业生产资料进行了监督抽查，其中复混肥料抽查产品125批次，合格116批次，合格率为92.8%。</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2</w:t>
      </w:r>
      <w:r>
        <w:rPr>
          <w:rFonts w:cs="宋体" w:asciiTheme="minorEastAsia" w:hAnsiTheme="minorEastAsia"/>
          <w:sz w:val="24"/>
          <w:szCs w:val="24"/>
        </w:rPr>
        <w:t>020</w:t>
      </w:r>
      <w:r>
        <w:rPr>
          <w:rFonts w:hint="eastAsia" w:cs="宋体" w:asciiTheme="minorEastAsia" w:hAnsiTheme="minorEastAsia"/>
          <w:sz w:val="24"/>
          <w:szCs w:val="24"/>
        </w:rPr>
        <w:t>年第二季度，江苏省市场监督管理局对农业生产资料进行了监督抽查，其中复混肥料抽查产品93批次，合格85批次，合格率为91.4%。</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2</w:t>
      </w:r>
      <w:r>
        <w:rPr>
          <w:rFonts w:cs="宋体" w:asciiTheme="minorEastAsia" w:hAnsiTheme="minorEastAsia"/>
          <w:sz w:val="24"/>
          <w:szCs w:val="24"/>
        </w:rPr>
        <w:t>020</w:t>
      </w:r>
      <w:r>
        <w:rPr>
          <w:rFonts w:hint="eastAsia" w:cs="宋体" w:asciiTheme="minorEastAsia" w:hAnsiTheme="minorEastAsia"/>
          <w:sz w:val="24"/>
          <w:szCs w:val="24"/>
        </w:rPr>
        <w:t>年度，常州市市场监督管理局对常州市生产和销售的复合肥料进行了质量监督抽查，共抽查产品1</w:t>
      </w:r>
      <w:r>
        <w:rPr>
          <w:rFonts w:cs="宋体" w:asciiTheme="minorEastAsia" w:hAnsiTheme="minorEastAsia"/>
          <w:sz w:val="24"/>
          <w:szCs w:val="24"/>
        </w:rPr>
        <w:t>5</w:t>
      </w:r>
      <w:r>
        <w:rPr>
          <w:rFonts w:hint="eastAsia" w:cs="宋体" w:asciiTheme="minorEastAsia" w:hAnsiTheme="minorEastAsia"/>
          <w:sz w:val="24"/>
          <w:szCs w:val="24"/>
        </w:rPr>
        <w:t>批次，合格1</w:t>
      </w:r>
      <w:r>
        <w:rPr>
          <w:rFonts w:cs="宋体" w:asciiTheme="minorEastAsia" w:hAnsiTheme="minorEastAsia"/>
          <w:sz w:val="24"/>
          <w:szCs w:val="24"/>
        </w:rPr>
        <w:t>5</w:t>
      </w:r>
      <w:r>
        <w:rPr>
          <w:rFonts w:hint="eastAsia" w:cs="宋体" w:asciiTheme="minorEastAsia" w:hAnsiTheme="minorEastAsia"/>
          <w:sz w:val="24"/>
          <w:szCs w:val="24"/>
        </w:rPr>
        <w:t>批次，合格率1</w:t>
      </w:r>
      <w:r>
        <w:rPr>
          <w:rFonts w:cs="宋体" w:asciiTheme="minorEastAsia" w:hAnsiTheme="minorEastAsia"/>
          <w:sz w:val="24"/>
          <w:szCs w:val="24"/>
        </w:rPr>
        <w:t>00</w:t>
      </w:r>
      <w:r>
        <w:rPr>
          <w:rFonts w:hint="eastAsia" w:cs="宋体" w:asciiTheme="minorEastAsia" w:hAnsiTheme="minorEastAsia"/>
          <w:sz w:val="24"/>
          <w:szCs w:val="24"/>
        </w:rPr>
        <w:t>%。</w:t>
      </w:r>
    </w:p>
    <w:p>
      <w:pPr>
        <w:pStyle w:val="2"/>
        <w:rPr>
          <w:rFonts w:asciiTheme="minorEastAsia" w:hAnsiTheme="minorEastAsia"/>
          <w:sz w:val="24"/>
          <w:szCs w:val="24"/>
        </w:rPr>
      </w:pPr>
      <w:r>
        <w:rPr>
          <w:rFonts w:hint="eastAsia" w:asciiTheme="minorEastAsia" w:hAnsiTheme="minorEastAsia"/>
          <w:sz w:val="24"/>
          <w:szCs w:val="24"/>
        </w:rPr>
        <w:t>四、后处理建议措施</w:t>
      </w:r>
    </w:p>
    <w:p>
      <w:pPr>
        <w:pStyle w:val="2"/>
        <w:rPr>
          <w:rFonts w:cs="宋体" w:asciiTheme="minorEastAsia" w:hAnsiTheme="minorEastAsia"/>
          <w:sz w:val="24"/>
          <w:szCs w:val="24"/>
        </w:rPr>
      </w:pPr>
      <w:r>
        <w:rPr>
          <w:rFonts w:hint="eastAsia" w:cs="宋体" w:asciiTheme="minorEastAsia" w:hAnsiTheme="minorEastAsia"/>
          <w:sz w:val="24"/>
          <w:szCs w:val="24"/>
        </w:rPr>
        <w:t>4</w:t>
      </w:r>
      <w:r>
        <w:rPr>
          <w:rFonts w:cs="宋体" w:asciiTheme="minorEastAsia" w:hAnsiTheme="minorEastAsia"/>
          <w:sz w:val="24"/>
          <w:szCs w:val="24"/>
        </w:rPr>
        <w:t>.1</w:t>
      </w:r>
      <w:r>
        <w:rPr>
          <w:rFonts w:hint="eastAsia" w:cs="宋体" w:asciiTheme="minorEastAsia" w:hAnsiTheme="minorEastAsia"/>
          <w:sz w:val="24"/>
          <w:szCs w:val="24"/>
        </w:rPr>
        <w:t>对于生产企业的建议措施：</w:t>
      </w:r>
    </w:p>
    <w:p>
      <w:pPr>
        <w:adjustRightInd w:val="0"/>
        <w:snapToGrid w:val="0"/>
        <w:spacing w:line="360" w:lineRule="auto"/>
        <w:ind w:firstLine="600" w:firstLineChars="250"/>
        <w:rPr>
          <w:rFonts w:cs="宋体" w:asciiTheme="minorEastAsia" w:hAnsiTheme="minorEastAsia"/>
          <w:sz w:val="24"/>
          <w:szCs w:val="24"/>
        </w:rPr>
      </w:pPr>
      <w:r>
        <w:rPr>
          <w:rFonts w:hint="eastAsia" w:cs="宋体" w:asciiTheme="minorEastAsia" w:hAnsiTheme="minorEastAsia"/>
          <w:sz w:val="24"/>
          <w:szCs w:val="24"/>
        </w:rPr>
        <w:t>(</w:t>
      </w:r>
      <w:r>
        <w:rPr>
          <w:rFonts w:cs="宋体" w:asciiTheme="minorEastAsia" w:hAnsiTheme="minorEastAsia"/>
          <w:sz w:val="24"/>
          <w:szCs w:val="24"/>
        </w:rPr>
        <w:t>1</w:t>
      </w:r>
      <w:r>
        <w:rPr>
          <w:rFonts w:hint="eastAsia" w:cs="宋体" w:asciiTheme="minorEastAsia" w:hAnsiTheme="minorEastAsia"/>
          <w:sz w:val="24"/>
          <w:szCs w:val="24"/>
        </w:rPr>
        <w:t>）针对本次抽查反映的标准适用性提出标准改善建议</w:t>
      </w:r>
    </w:p>
    <w:p>
      <w:pPr>
        <w:adjustRightInd w:val="0"/>
        <w:snapToGrid w:val="0"/>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鼓励规模企业和龙头企业积极参与标准的编制、修订工作，确保产品升级换代与标准同步，进一步加深对肥料标准的理解。通过采取与检验机构、科研院所通力合作的模式，在开发新产品、改进工艺等创新方面加大资金投入，搞好产品结构调整，提高企业核心竞争力和市场占有率，另外还需要在实际生产过程中增加与农户的接触，了解一线最新的信息，根据不同地域，不同种植条件，调整肥料的配方标准。</w:t>
      </w:r>
    </w:p>
    <w:p>
      <w:pPr>
        <w:adjustRightInd w:val="0"/>
        <w:snapToGrid w:val="0"/>
        <w:spacing w:line="360" w:lineRule="auto"/>
        <w:ind w:firstLine="600" w:firstLineChars="250"/>
        <w:rPr>
          <w:rFonts w:cs="宋体" w:asciiTheme="minorEastAsia" w:hAnsiTheme="minorEastAsia"/>
          <w:sz w:val="24"/>
          <w:szCs w:val="24"/>
        </w:rPr>
      </w:pPr>
      <w:r>
        <w:rPr>
          <w:rFonts w:hint="eastAsia" w:cs="宋体" w:asciiTheme="minorEastAsia" w:hAnsiTheme="minorEastAsia"/>
          <w:sz w:val="24"/>
          <w:szCs w:val="24"/>
        </w:rPr>
        <w:t>（2）针对产品存在的具体技术问题提出技术改进措施</w:t>
      </w:r>
    </w:p>
    <w:p>
      <w:pPr>
        <w:adjustRightInd w:val="0"/>
        <w:snapToGrid w:val="0"/>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对于生产假冒伪劣产品、严重损坏消费者利益和行业形象、扰乱市场秩序的企业，要严厉打击。对在生产质量控制、产品出厂检验、型式检验等方面存在严重问题的，要进行停产整顿或撤销其行政许可。</w:t>
      </w:r>
    </w:p>
    <w:p>
      <w:pPr>
        <w:adjustRightInd w:val="0"/>
        <w:snapToGrid w:val="0"/>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本次抽检不合格项目主要集中在总养分、有机质项目，生产企业在企业应淘汰落后及不合格的生产和检测设备，保证生产的产品满足国家要求。</w:t>
      </w:r>
    </w:p>
    <w:p>
      <w:pPr>
        <w:adjustRightInd w:val="0"/>
        <w:snapToGrid w:val="0"/>
        <w:spacing w:line="360" w:lineRule="auto"/>
        <w:ind w:firstLine="600" w:firstLineChars="250"/>
        <w:rPr>
          <w:rFonts w:cs="宋体" w:asciiTheme="minorEastAsia" w:hAnsiTheme="minorEastAsia"/>
          <w:sz w:val="24"/>
          <w:szCs w:val="24"/>
        </w:rPr>
      </w:pPr>
      <w:r>
        <w:rPr>
          <w:rFonts w:hint="eastAsia" w:cs="宋体" w:asciiTheme="minorEastAsia" w:hAnsiTheme="minorEastAsia"/>
          <w:sz w:val="24"/>
          <w:szCs w:val="24"/>
        </w:rPr>
        <w:t>（3）结合产业发展，对加强企业质量管理和新品开发工艺改进提出建议。</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针对此次出现不合格的产品，购置行业内技术领先的生产和检测设备，进一步完善产品工艺流程、技术文件、工艺文件等作业指导书，进一步核实其与现行标准的符合性，严禁擅自降低生产工艺要求。</w:t>
      </w:r>
    </w:p>
    <w:p>
      <w:pPr>
        <w:adjustRightInd w:val="0"/>
        <w:snapToGrid w:val="0"/>
        <w:spacing w:line="360" w:lineRule="auto"/>
        <w:ind w:firstLine="600" w:firstLineChars="250"/>
        <w:rPr>
          <w:rFonts w:cs="宋体" w:asciiTheme="minorEastAsia" w:hAnsiTheme="minorEastAsia"/>
          <w:sz w:val="24"/>
          <w:szCs w:val="24"/>
        </w:rPr>
      </w:pPr>
      <w:r>
        <w:rPr>
          <w:rFonts w:hint="eastAsia" w:cs="宋体" w:asciiTheme="minorEastAsia" w:hAnsiTheme="minorEastAsia"/>
          <w:sz w:val="24"/>
          <w:szCs w:val="24"/>
        </w:rPr>
        <w:t>（4）针对监管部门质量监管工作及措施提出具体建议，结合监管体制或现状可能存在漏洞的建议</w:t>
      </w:r>
    </w:p>
    <w:p>
      <w:pPr>
        <w:adjustRightInd w:val="0"/>
        <w:snapToGrid w:val="0"/>
        <w:spacing w:line="360" w:lineRule="auto"/>
        <w:ind w:firstLine="600" w:firstLineChars="250"/>
        <w:rPr>
          <w:rFonts w:cs="宋体" w:asciiTheme="minorEastAsia" w:hAnsiTheme="minorEastAsia"/>
          <w:sz w:val="24"/>
          <w:szCs w:val="24"/>
        </w:rPr>
      </w:pPr>
      <w:r>
        <w:rPr>
          <w:rFonts w:hint="eastAsia" w:cs="宋体" w:asciiTheme="minorEastAsia" w:hAnsiTheme="minorEastAsia"/>
          <w:sz w:val="24"/>
          <w:szCs w:val="24"/>
        </w:rPr>
        <w:t>对“三证”不全的产品 ，要求商家退回厂家，不得销售；对于无化肥经营权的部门，取消其对化肥的经营；对于假冒伪劣的产品不允许销售。同时应加大对化肥经营者的宣传，包括经营的有关政策和化肥的基本常识，提高他们识别假冒伪劣商品的技能。</w:t>
      </w:r>
    </w:p>
    <w:p>
      <w:pPr>
        <w:adjustRightInd w:val="0"/>
        <w:snapToGrid w:val="0"/>
        <w:spacing w:line="360" w:lineRule="auto"/>
        <w:ind w:firstLine="600" w:firstLineChars="250"/>
        <w:rPr>
          <w:rFonts w:cs="宋体" w:asciiTheme="minorEastAsia" w:hAnsiTheme="minorEastAsia"/>
          <w:sz w:val="24"/>
          <w:szCs w:val="24"/>
        </w:rPr>
      </w:pPr>
      <w:r>
        <w:rPr>
          <w:rFonts w:hint="eastAsia" w:cs="宋体" w:asciiTheme="minorEastAsia" w:hAnsiTheme="minorEastAsia"/>
          <w:sz w:val="24"/>
          <w:szCs w:val="24"/>
        </w:rPr>
        <w:t>（5）促进产业健康发展，向有关行业主管部门提出针对性建议</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加强学习，结合肥料管理工作，采取多种方式对肥料管理、生产、使用等各方面人员进行广泛的宣传教育。各级农业行政主管部门也要认真学习，提高对肥料管理工作重要的认识。增强肥料管理人员对搞好肥料管理工作、保护农民利益的紧迫感和责任感。</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通过广播、电视、报刊等宣传媒体，普及有关肥料知识，提供肥料市场信息，提高农民的自我保护意识，教育生产、经营者守法经营。</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举办农民技术人员培训班和到田间地头召开现场会，宣传产品质量法、消费者权益保护法等法规，提高农民法律意识，增强农民用法律保护自己合法权益不受侵害的能力。通过宣传教育，使社会国家实行严格的肥料等级管理制度，严把登记质量关，加强肥料市场管理，正确引导农民使用登记过的合格产品。</w:t>
      </w:r>
    </w:p>
    <w:p>
      <w:pPr>
        <w:pStyle w:val="2"/>
        <w:rPr>
          <w:rFonts w:cs="宋体" w:asciiTheme="minorEastAsia" w:hAnsiTheme="minorEastAsia"/>
          <w:sz w:val="24"/>
          <w:szCs w:val="24"/>
        </w:rPr>
      </w:pPr>
      <w:r>
        <w:rPr>
          <w:rFonts w:hint="eastAsia" w:cs="宋体" w:asciiTheme="minorEastAsia" w:hAnsiTheme="minorEastAsia"/>
          <w:sz w:val="24"/>
          <w:szCs w:val="24"/>
        </w:rPr>
        <w:t>4</w:t>
      </w:r>
      <w:r>
        <w:rPr>
          <w:rFonts w:cs="宋体" w:asciiTheme="minorEastAsia" w:hAnsiTheme="minorEastAsia"/>
          <w:sz w:val="24"/>
          <w:szCs w:val="24"/>
        </w:rPr>
        <w:t>.2</w:t>
      </w:r>
      <w:r>
        <w:rPr>
          <w:rFonts w:hint="eastAsia" w:cs="宋体" w:asciiTheme="minorEastAsia" w:hAnsiTheme="minorEastAsia"/>
          <w:sz w:val="24"/>
          <w:szCs w:val="24"/>
        </w:rPr>
        <w:t>对于销售单位的建议措施：</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销售商在采购肥料时，应注意选择大型生产单位生产的产品，例如史丹利、撒可富、洋丰等</w:t>
      </w:r>
      <w:bookmarkStart w:id="0" w:name="_GoBack"/>
      <w:bookmarkEnd w:id="0"/>
      <w:r>
        <w:rPr>
          <w:rFonts w:hint="eastAsia" w:cs="宋体" w:asciiTheme="minorEastAsia" w:hAnsiTheme="minorEastAsia"/>
          <w:sz w:val="24"/>
          <w:szCs w:val="24"/>
        </w:rPr>
        <w:t>，产品应有合格证且型号、产品标准标识清楚。销售商自身应对所销售的产品有一定了解，比如产品标准，产品类型、适用农作物或者土壤环境等。在此次抽检过程中，大部分肥料销售商只知道销售该类肥料产品，但是对产品信息一概不知。建议销售商可以在售卖产品之前进行肥料产品的委托测试，同时向相关的检测单位学习该产品的相关标准和知识。</w:t>
      </w:r>
    </w:p>
    <w:p>
      <w:pPr>
        <w:pStyle w:val="2"/>
        <w:rPr>
          <w:rFonts w:asciiTheme="minorEastAsia" w:hAnsiTheme="minorEastAsia"/>
          <w:sz w:val="24"/>
          <w:szCs w:val="24"/>
        </w:rPr>
      </w:pPr>
      <w:r>
        <w:rPr>
          <w:rFonts w:hint="eastAsia" w:asciiTheme="minorEastAsia" w:hAnsiTheme="minorEastAsia"/>
          <w:sz w:val="24"/>
          <w:szCs w:val="24"/>
        </w:rPr>
        <w:t>五、消费提示</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1、选购正规厂家生产的复混肥料（复合肥料）产品，从产品包装上查验是否有“三证号”，即生产许可证号、肥料登记证号和执行的产品标准号（GB/T15063-2009等）；同时注意包装上是否有企业名称、地址、电话等。</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2、注意化肥养分含量的标注。复混肥料总养分≥40%为高浓度肥料，总养分30%~40%为中浓度肥料，总养分25%~30%为低浓度肥料。总养分含量应标明氮、磷、钾的百分含量，不得将其它元素或化合物计入总养分。如氮、磷、钾含量分别为15－15－15的氮磷钾复混（合）肥料，其总养分应标注为总养分≥45%。</w:t>
      </w:r>
    </w:p>
    <w:p>
      <w:pPr>
        <w:adjustRightInd w:val="0"/>
        <w:snapToGrid w:val="0"/>
        <w:spacing w:line="360" w:lineRule="auto"/>
        <w:ind w:firstLine="480"/>
        <w:rPr>
          <w:rFonts w:cs="宋体" w:asciiTheme="minorEastAsia" w:hAnsiTheme="minorEastAsia"/>
          <w:sz w:val="24"/>
          <w:szCs w:val="24"/>
        </w:rPr>
      </w:pPr>
      <w:r>
        <w:rPr>
          <w:rFonts w:hint="eastAsia" w:cs="宋体" w:asciiTheme="minorEastAsia" w:hAnsiTheme="minorEastAsia"/>
          <w:sz w:val="24"/>
          <w:szCs w:val="24"/>
        </w:rPr>
        <w:t>3、含有氯离子的复混肥料（复合肥料）用在忌氯作物上可能导致品质下降、减产甚至绝产，因此要慎重选购。常见的复混肥料可简单分为含氯型、硫酸钾型、硝酸钾型等，其中含氯型又按照氯离子浓度的不同，分为高氯、中氯和低氯三种类型。含有氯离子的复混肥料（复合肥料），适用于水稻、小麦等非忌氯作物；硫酸钾型和硝酸钾型等不含氯离子的肥料适用于茶叶、柑桔、草莓、葡萄等忌氯作物。</w:t>
      </w:r>
    </w:p>
    <w:p>
      <w:pPr>
        <w:adjustRightInd w:val="0"/>
        <w:snapToGrid w:val="0"/>
        <w:spacing w:line="360" w:lineRule="auto"/>
        <w:ind w:firstLine="480"/>
        <w:rPr>
          <w:rFonts w:ascii="宋体" w:hAnsi="宋体" w:cs="宋体"/>
          <w:sz w:val="24"/>
          <w:szCs w:val="24"/>
        </w:rPr>
      </w:pPr>
      <w:r>
        <w:rPr>
          <w:rFonts w:hint="eastAsia" w:cs="宋体" w:asciiTheme="minorEastAsia" w:hAnsiTheme="minorEastAsia"/>
          <w:sz w:val="24"/>
          <w:szCs w:val="24"/>
        </w:rPr>
        <w:t>4、消费者在选购化肥时注意产品生产日期。化肥一般有效期为3年，过期产品肥效会明显降低，建议优先选择醒目位置印刷生产日期的产品。同时在选购化肥时注意观察产品颗粒均匀性，优先选择颗粒大小均匀且颗粒硬度较大的产品。</w:t>
      </w:r>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4735423"/>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2487085"/>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pPr>
      <w:pStyle w:val="7"/>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228102"/>
    </w:sdtPr>
    <w:sdtContent>
      <w:p>
        <w:pPr>
          <w:pStyle w:val="7"/>
          <w:jc w:val="center"/>
        </w:pPr>
        <w:r>
          <w:fldChar w:fldCharType="begin"/>
        </w:r>
        <w:r>
          <w:instrText xml:space="preserve">PAGE   \* MERGEFORMAT</w:instrText>
        </w:r>
        <w:r>
          <w:fldChar w:fldCharType="separate"/>
        </w:r>
        <w:r>
          <w:rPr>
            <w:lang w:val="zh-CN"/>
          </w:rPr>
          <w:t>3</w:t>
        </w:r>
        <w:r>
          <w:fldChar w:fldCharType="end"/>
        </w:r>
      </w:p>
    </w:sdtContent>
  </w:sdt>
  <w:p>
    <w:pPr>
      <w:pStyle w:val="7"/>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5</w: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c1ODhjODA2MTYzMTJhZTEyZWRlZDYzNjE1MGVhMGYifQ=="/>
  </w:docVars>
  <w:rsids>
    <w:rsidRoot w:val="00793286"/>
    <w:rsid w:val="000003FF"/>
    <w:rsid w:val="00005C56"/>
    <w:rsid w:val="000A7C25"/>
    <w:rsid w:val="000B0A90"/>
    <w:rsid w:val="000C6150"/>
    <w:rsid w:val="000F501E"/>
    <w:rsid w:val="00113898"/>
    <w:rsid w:val="001141CD"/>
    <w:rsid w:val="0013513D"/>
    <w:rsid w:val="00136064"/>
    <w:rsid w:val="001B019E"/>
    <w:rsid w:val="001C2A11"/>
    <w:rsid w:val="001E5F5D"/>
    <w:rsid w:val="00215975"/>
    <w:rsid w:val="00217BFE"/>
    <w:rsid w:val="00235300"/>
    <w:rsid w:val="002510D7"/>
    <w:rsid w:val="00265FB8"/>
    <w:rsid w:val="0027115B"/>
    <w:rsid w:val="00276D01"/>
    <w:rsid w:val="002B7DDF"/>
    <w:rsid w:val="002C1EDA"/>
    <w:rsid w:val="002C6986"/>
    <w:rsid w:val="002E6A74"/>
    <w:rsid w:val="002F7204"/>
    <w:rsid w:val="002F7A80"/>
    <w:rsid w:val="00303C2F"/>
    <w:rsid w:val="00317BB8"/>
    <w:rsid w:val="003219DD"/>
    <w:rsid w:val="00322033"/>
    <w:rsid w:val="003279C8"/>
    <w:rsid w:val="00336B7F"/>
    <w:rsid w:val="00354C53"/>
    <w:rsid w:val="003C6B94"/>
    <w:rsid w:val="003D6E33"/>
    <w:rsid w:val="003E7EE2"/>
    <w:rsid w:val="0041485F"/>
    <w:rsid w:val="00446659"/>
    <w:rsid w:val="00450853"/>
    <w:rsid w:val="00483FE6"/>
    <w:rsid w:val="00490671"/>
    <w:rsid w:val="004C4787"/>
    <w:rsid w:val="004D166B"/>
    <w:rsid w:val="004E550A"/>
    <w:rsid w:val="004F149F"/>
    <w:rsid w:val="00543BC6"/>
    <w:rsid w:val="00574007"/>
    <w:rsid w:val="005B5A47"/>
    <w:rsid w:val="005B6378"/>
    <w:rsid w:val="005C5B4F"/>
    <w:rsid w:val="005C6CD8"/>
    <w:rsid w:val="005D7FA9"/>
    <w:rsid w:val="0060391B"/>
    <w:rsid w:val="00617955"/>
    <w:rsid w:val="006204CE"/>
    <w:rsid w:val="00635CD9"/>
    <w:rsid w:val="00642811"/>
    <w:rsid w:val="00653912"/>
    <w:rsid w:val="006768CC"/>
    <w:rsid w:val="006839FB"/>
    <w:rsid w:val="006967E6"/>
    <w:rsid w:val="006A26E5"/>
    <w:rsid w:val="006C4995"/>
    <w:rsid w:val="00747943"/>
    <w:rsid w:val="00781595"/>
    <w:rsid w:val="00787E02"/>
    <w:rsid w:val="00793286"/>
    <w:rsid w:val="007971B4"/>
    <w:rsid w:val="007C550C"/>
    <w:rsid w:val="007F12FC"/>
    <w:rsid w:val="00805E5E"/>
    <w:rsid w:val="008128EC"/>
    <w:rsid w:val="00816765"/>
    <w:rsid w:val="00887AEE"/>
    <w:rsid w:val="008C0198"/>
    <w:rsid w:val="008C0553"/>
    <w:rsid w:val="008E2228"/>
    <w:rsid w:val="008E3EAF"/>
    <w:rsid w:val="00903551"/>
    <w:rsid w:val="00923D0B"/>
    <w:rsid w:val="009334B1"/>
    <w:rsid w:val="0094411C"/>
    <w:rsid w:val="00960E16"/>
    <w:rsid w:val="009A03DA"/>
    <w:rsid w:val="009A31C7"/>
    <w:rsid w:val="009C7C4F"/>
    <w:rsid w:val="009E1F81"/>
    <w:rsid w:val="009F11E1"/>
    <w:rsid w:val="009F5D28"/>
    <w:rsid w:val="00A352BD"/>
    <w:rsid w:val="00A435DD"/>
    <w:rsid w:val="00A55A21"/>
    <w:rsid w:val="00AC2D3A"/>
    <w:rsid w:val="00AD0B90"/>
    <w:rsid w:val="00AD5E3E"/>
    <w:rsid w:val="00AD73AD"/>
    <w:rsid w:val="00AE5E2C"/>
    <w:rsid w:val="00B059E0"/>
    <w:rsid w:val="00B15E0D"/>
    <w:rsid w:val="00B2331B"/>
    <w:rsid w:val="00B26B53"/>
    <w:rsid w:val="00B465DC"/>
    <w:rsid w:val="00B66B77"/>
    <w:rsid w:val="00B70BB0"/>
    <w:rsid w:val="00B72FF4"/>
    <w:rsid w:val="00B828B4"/>
    <w:rsid w:val="00B94BF1"/>
    <w:rsid w:val="00BB5416"/>
    <w:rsid w:val="00C22DC1"/>
    <w:rsid w:val="00C4371E"/>
    <w:rsid w:val="00C4772C"/>
    <w:rsid w:val="00C64A1C"/>
    <w:rsid w:val="00C72338"/>
    <w:rsid w:val="00CA0648"/>
    <w:rsid w:val="00CB1420"/>
    <w:rsid w:val="00CB400D"/>
    <w:rsid w:val="00CC5ABF"/>
    <w:rsid w:val="00CD4EF4"/>
    <w:rsid w:val="00D42598"/>
    <w:rsid w:val="00D73A22"/>
    <w:rsid w:val="00D762E6"/>
    <w:rsid w:val="00D85CB1"/>
    <w:rsid w:val="00D8728F"/>
    <w:rsid w:val="00DA3FD1"/>
    <w:rsid w:val="00DC5E56"/>
    <w:rsid w:val="00DD2B18"/>
    <w:rsid w:val="00E042DA"/>
    <w:rsid w:val="00E06230"/>
    <w:rsid w:val="00E074DF"/>
    <w:rsid w:val="00E306AD"/>
    <w:rsid w:val="00E55BC2"/>
    <w:rsid w:val="00E66A56"/>
    <w:rsid w:val="00E97EE7"/>
    <w:rsid w:val="00F12ECF"/>
    <w:rsid w:val="00F36281"/>
    <w:rsid w:val="00F45B1D"/>
    <w:rsid w:val="00F51884"/>
    <w:rsid w:val="00F518CB"/>
    <w:rsid w:val="00F71874"/>
    <w:rsid w:val="00F87154"/>
    <w:rsid w:val="00F872CB"/>
    <w:rsid w:val="00F96281"/>
    <w:rsid w:val="00FB07EC"/>
    <w:rsid w:val="00FC68DC"/>
    <w:rsid w:val="1F33516B"/>
    <w:rsid w:val="27743C6E"/>
    <w:rsid w:val="2A731573"/>
    <w:rsid w:val="37CE542D"/>
    <w:rsid w:val="41E50B66"/>
    <w:rsid w:val="47BB3D68"/>
    <w:rsid w:val="61D05259"/>
    <w:rsid w:val="6D594CE2"/>
    <w:rsid w:val="787837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keepNext/>
      <w:keepLines/>
      <w:spacing w:before="340" w:after="330"/>
      <w:jc w:val="left"/>
      <w:outlineLvl w:val="0"/>
    </w:pPr>
    <w:rPr>
      <w:b/>
      <w:bCs/>
      <w:kern w:val="44"/>
      <w:sz w:val="32"/>
      <w:szCs w:val="44"/>
    </w:rPr>
  </w:style>
  <w:style w:type="paragraph" w:styleId="3">
    <w:name w:val="heading 2"/>
    <w:basedOn w:val="1"/>
    <w:next w:val="1"/>
    <w:link w:val="21"/>
    <w:unhideWhenUsed/>
    <w:qFormat/>
    <w:uiPriority w:val="9"/>
    <w:pPr>
      <w:keepNext/>
      <w:keepLines/>
      <w:spacing w:before="260" w:after="260" w:line="520" w:lineRule="exact"/>
      <w:jc w:val="left"/>
      <w:outlineLvl w:val="1"/>
    </w:pPr>
    <w:rPr>
      <w:rFonts w:asciiTheme="majorHAnsi" w:hAnsiTheme="majorHAnsi" w:eastAsiaTheme="majorEastAsia" w:cstheme="majorBidi"/>
      <w:b/>
      <w:bCs/>
      <w:sz w:val="24"/>
      <w:szCs w:val="32"/>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Body Text"/>
    <w:basedOn w:val="1"/>
    <w:link w:val="17"/>
    <w:qFormat/>
    <w:uiPriority w:val="1"/>
    <w:pPr>
      <w:autoSpaceDE w:val="0"/>
      <w:autoSpaceDN w:val="0"/>
      <w:jc w:val="left"/>
    </w:pPr>
    <w:rPr>
      <w:rFonts w:ascii="Arial Unicode MS" w:hAnsi="Arial Unicode MS" w:eastAsia="Arial Unicode MS" w:cs="Arial Unicode MS"/>
      <w:kern w:val="0"/>
      <w:sz w:val="32"/>
      <w:szCs w:val="32"/>
      <w:lang w:val="zh-CN" w:bidi="zh-CN"/>
    </w:rPr>
  </w:style>
  <w:style w:type="paragraph" w:styleId="5">
    <w:name w:val="Date"/>
    <w:basedOn w:val="1"/>
    <w:next w:val="1"/>
    <w:link w:val="14"/>
    <w:semiHidden/>
    <w:unhideWhenUsed/>
    <w:qFormat/>
    <w:uiPriority w:val="99"/>
    <w:pPr>
      <w:ind w:left="100" w:leftChars="2500"/>
    </w:pPr>
  </w:style>
  <w:style w:type="paragraph" w:styleId="6">
    <w:name w:val="Balloon Text"/>
    <w:basedOn w:val="1"/>
    <w:link w:val="15"/>
    <w:semiHidden/>
    <w:unhideWhenUsed/>
    <w:qFormat/>
    <w:uiPriority w:val="99"/>
    <w:rPr>
      <w:sz w:val="18"/>
      <w:szCs w:val="18"/>
    </w:rPr>
  </w:style>
  <w:style w:type="paragraph" w:styleId="7">
    <w:name w:val="footer"/>
    <w:basedOn w:val="1"/>
    <w:link w:val="23"/>
    <w:unhideWhenUsed/>
    <w:qFormat/>
    <w:uiPriority w:val="99"/>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widowControl/>
      <w:tabs>
        <w:tab w:val="right" w:leader="dot" w:pos="9840"/>
      </w:tabs>
      <w:spacing w:after="100" w:line="480" w:lineRule="auto"/>
      <w:jc w:val="left"/>
    </w:pPr>
    <w:rPr>
      <w:rFonts w:cs="Times New Roman"/>
      <w:kern w:val="0"/>
      <w:sz w:val="22"/>
    </w:rPr>
  </w:style>
  <w:style w:type="paragraph" w:styleId="10">
    <w:name w:val="toc 2"/>
    <w:basedOn w:val="1"/>
    <w:next w:val="1"/>
    <w:unhideWhenUsed/>
    <w:qFormat/>
    <w:uiPriority w:val="39"/>
    <w:pPr>
      <w:widowControl/>
      <w:spacing w:after="100" w:line="259" w:lineRule="auto"/>
      <w:ind w:left="220"/>
      <w:jc w:val="left"/>
    </w:pPr>
    <w:rPr>
      <w:rFonts w:cs="Times New Roman"/>
      <w:kern w:val="0"/>
      <w:sz w:val="22"/>
    </w:rPr>
  </w:style>
  <w:style w:type="character" w:styleId="13">
    <w:name w:val="Hyperlink"/>
    <w:basedOn w:val="12"/>
    <w:unhideWhenUsed/>
    <w:qFormat/>
    <w:uiPriority w:val="99"/>
    <w:rPr>
      <w:color w:val="0000FF" w:themeColor="hyperlink"/>
      <w:u w:val="single"/>
    </w:rPr>
  </w:style>
  <w:style w:type="character" w:customStyle="1" w:styleId="14">
    <w:name w:val="日期 Char"/>
    <w:basedOn w:val="12"/>
    <w:link w:val="5"/>
    <w:semiHidden/>
    <w:qFormat/>
    <w:uiPriority w:val="99"/>
  </w:style>
  <w:style w:type="character" w:customStyle="1" w:styleId="15">
    <w:name w:val="批注框文本 Char"/>
    <w:basedOn w:val="12"/>
    <w:link w:val="6"/>
    <w:semiHidden/>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正文文本 Char"/>
    <w:basedOn w:val="12"/>
    <w:link w:val="4"/>
    <w:qFormat/>
    <w:uiPriority w:val="1"/>
    <w:rPr>
      <w:rFonts w:ascii="Arial Unicode MS" w:hAnsi="Arial Unicode MS" w:eastAsia="Arial Unicode MS" w:cs="Arial Unicode MS"/>
      <w:kern w:val="0"/>
      <w:sz w:val="32"/>
      <w:szCs w:val="32"/>
      <w:lang w:val="zh-CN" w:bidi="zh-CN"/>
    </w:rPr>
  </w:style>
  <w:style w:type="table" w:customStyle="1" w:styleId="18">
    <w:name w:val="Table Normal"/>
    <w:semiHidden/>
    <w:unhideWhenUsed/>
    <w:qFormat/>
    <w:uiPriority w:val="2"/>
    <w:tblPr>
      <w:tblCellMar>
        <w:top w:w="0" w:type="dxa"/>
        <w:left w:w="0" w:type="dxa"/>
        <w:bottom w:w="0" w:type="dxa"/>
        <w:right w:w="0" w:type="dxa"/>
      </w:tblCellMar>
    </w:tblPr>
  </w:style>
  <w:style w:type="paragraph" w:customStyle="1" w:styleId="19">
    <w:name w:val="Table Paragraph"/>
    <w:basedOn w:val="1"/>
    <w:qFormat/>
    <w:uiPriority w:val="1"/>
    <w:pPr>
      <w:autoSpaceDE w:val="0"/>
      <w:autoSpaceDN w:val="0"/>
      <w:spacing w:before="146"/>
      <w:jc w:val="center"/>
    </w:pPr>
    <w:rPr>
      <w:rFonts w:ascii="Times New Roman" w:hAnsi="Times New Roman" w:eastAsia="Times New Roman" w:cs="Times New Roman"/>
      <w:kern w:val="0"/>
      <w:sz w:val="22"/>
      <w:lang w:val="zh-CN" w:bidi="zh-CN"/>
    </w:rPr>
  </w:style>
  <w:style w:type="character" w:customStyle="1" w:styleId="20">
    <w:name w:val="标题 1 Char"/>
    <w:basedOn w:val="12"/>
    <w:link w:val="2"/>
    <w:qFormat/>
    <w:uiPriority w:val="9"/>
    <w:rPr>
      <w:b/>
      <w:bCs/>
      <w:kern w:val="44"/>
      <w:sz w:val="32"/>
      <w:szCs w:val="44"/>
    </w:rPr>
  </w:style>
  <w:style w:type="character" w:customStyle="1" w:styleId="21">
    <w:name w:val="标题 2 Char"/>
    <w:basedOn w:val="12"/>
    <w:link w:val="3"/>
    <w:qFormat/>
    <w:uiPriority w:val="9"/>
    <w:rPr>
      <w:rFonts w:asciiTheme="majorHAnsi" w:hAnsiTheme="majorHAnsi" w:eastAsiaTheme="majorEastAsia" w:cstheme="majorBidi"/>
      <w:b/>
      <w:bCs/>
      <w:sz w:val="24"/>
      <w:szCs w:val="32"/>
    </w:rPr>
  </w:style>
  <w:style w:type="character" w:customStyle="1" w:styleId="22">
    <w:name w:val="页眉 Char"/>
    <w:basedOn w:val="12"/>
    <w:link w:val="8"/>
    <w:qFormat/>
    <w:uiPriority w:val="99"/>
    <w:rPr>
      <w:sz w:val="18"/>
      <w:szCs w:val="18"/>
    </w:rPr>
  </w:style>
  <w:style w:type="character" w:customStyle="1" w:styleId="23">
    <w:name w:val="页脚 Char"/>
    <w:basedOn w:val="12"/>
    <w:link w:val="7"/>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F:\&#21407;&#26700;&#38754;\&#21103;&#26412;&#32467;&#21333;&#32479;&#3574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21407;&#26700;&#38754;\&#21103;&#26412;&#32467;&#21333;&#32479;&#35745;.xlsx" TargetMode="External"/></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oleObject" Target="file:///F:\&#21407;&#26700;&#38754;\&#21103;&#26412;&#32467;&#21333;&#32479;&#3574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600"/>
              <a:t>复混肥、有机肥产品合格率</a:t>
            </a:r>
            <a:endParaRPr lang="zh-CN" altLang="en-US" sz="1600"/>
          </a:p>
        </c:rich>
      </c:tx>
      <c:layout/>
      <c:overlay val="0"/>
    </c:title>
    <c:autoTitleDeleted val="0"/>
    <c:plotArea>
      <c:layout/>
      <c:barChart>
        <c:barDir val="col"/>
        <c:grouping val="clustered"/>
        <c:varyColors val="0"/>
        <c:ser>
          <c:idx val="0"/>
          <c:order val="0"/>
          <c:tx>
            <c:strRef>
              <c:f>'4月'!$D$278</c:f>
              <c:strCache>
                <c:ptCount val="1"/>
                <c:pt idx="0">
                  <c:v>肥料</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'4月'!$E$277</c:f>
              <c:strCache>
                <c:ptCount val="1"/>
                <c:pt idx="0">
                  <c:v>合格率%</c:v>
                </c:pt>
              </c:strCache>
            </c:strRef>
          </c:cat>
          <c:val>
            <c:numRef>
              <c:f>'4月'!$E$278</c:f>
              <c:numCache>
                <c:formatCode>General</c:formatCode>
                <c:ptCount val="1"/>
                <c:pt idx="0">
                  <c:v>90.3</c:v>
                </c:pt>
              </c:numCache>
            </c:numRef>
          </c:val>
        </c:ser>
        <c:dLbls>
          <c:showLegendKey val="0"/>
          <c:showVal val="0"/>
          <c:showCatName val="0"/>
          <c:showSerName val="0"/>
          <c:showPercent val="0"/>
          <c:showBubbleSize val="0"/>
        </c:dLbls>
        <c:gapWidth val="150"/>
        <c:axId val="402909824"/>
        <c:axId val="452546944"/>
      </c:barChart>
      <c:catAx>
        <c:axId val="40290982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52546944"/>
        <c:crosses val="autoZero"/>
        <c:auto val="1"/>
        <c:lblAlgn val="ctr"/>
        <c:lblOffset val="100"/>
        <c:noMultiLvlLbl val="0"/>
      </c:catAx>
      <c:valAx>
        <c:axId val="45254694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0290982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1" i="0" u="none" strike="noStrike" kern="1200" cap="all" spc="50" baseline="0">
                <a:solidFill>
                  <a:schemeClr val="tx1">
                    <a:lumMod val="65000"/>
                    <a:lumOff val="35000"/>
                  </a:schemeClr>
                </a:solidFill>
                <a:latin typeface="+mn-lt"/>
                <a:ea typeface="+mn-ea"/>
                <a:cs typeface="+mn-cs"/>
              </a:defRPr>
            </a:pPr>
            <a:r>
              <a:rPr lang="zh-CN"/>
              <a:t>不同地区样品数量占比示意图</a:t>
            </a:r>
            <a:endParaRPr lang="zh-CN"/>
          </a:p>
        </c:rich>
      </c:tx>
      <c:layout/>
      <c:overlay val="0"/>
      <c:spPr>
        <a:noFill/>
        <a:ln>
          <a:noFill/>
        </a:ln>
        <a:effectLst/>
      </c:spPr>
    </c:title>
    <c:autoTitleDeleted val="0"/>
    <c:plotArea>
      <c:layout/>
      <c:pieChart>
        <c:varyColors val="1"/>
        <c:ser>
          <c:idx val="0"/>
          <c:order val="0"/>
          <c:tx>
            <c:strRef>
              <c:f>'4月'!$E$299</c:f>
              <c:strCache>
                <c:ptCount val="1"/>
                <c:pt idx="0">
                  <c:v>抽查批次</c:v>
                </c:pt>
              </c:strCache>
            </c:strRef>
          </c:tx>
          <c:explosion val="0"/>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dPt>
          <c:dPt>
            <c:idx val="4"/>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dPt>
          <c:dPt>
            <c:idx val="5"/>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dPt>
          <c:dPt>
            <c:idx val="6"/>
            <c:bubble3D val="0"/>
            <c:spPr>
              <a:solidFill>
                <a:schemeClr val="accent1">
                  <a:lumMod val="60000"/>
                </a:schemeClr>
              </a:solidFill>
              <a:ln>
                <a:noFill/>
              </a:ln>
              <a:effectLst/>
              <a:scene3d>
                <a:camera prst="orthographicFront"/>
                <a:lightRig rig="brightRoom" dir="t"/>
              </a:scene3d>
              <a:sp3d prstMaterial="flat">
                <a:bevelT w="50800" h="101600" prst="angle"/>
                <a:contourClr>
                  <a:srgbClr val="000000"/>
                </a:contourClr>
              </a:sp3d>
            </c:spPr>
          </c:dPt>
          <c:dLbls>
            <c:dLbl>
              <c:idx val="2"/>
              <c:layout>
                <c:manualLayout>
                  <c:x val="-0.0657657402044428"/>
                  <c:y val="-0.0817834817091985"/>
                </c:manualLayout>
              </c:layout>
              <c:numFmt formatCode="General" sourceLinked="1"/>
              <c:spPr>
                <a:noFill/>
                <a:ln>
                  <a:noFill/>
                </a:ln>
                <a:effectLst/>
              </c:spPr>
              <c:txPr>
                <a:bodyPr rot="0" spcFirstLastPara="1" vertOverflow="ellipsis" vert="horz" wrap="square" lIns="38100" tIns="19050" rIns="38100" bIns="19050" anchor="ctr" anchorCtr="1">
                  <a:noAutofit/>
                </a:bodyPr>
                <a:lstStyle/>
                <a:p>
                  <a:pPr>
                    <a:defRPr lang="zh-CN" sz="900" b="1" i="0" u="none" strike="noStrike" kern="1200" baseline="0">
                      <a:solidFill>
                        <a:schemeClr val="lt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0772986099153113"/>
                      <c:h val="0.168712582915525"/>
                    </c:manualLayout>
                  </c15:layout>
                </c:ext>
              </c:extLst>
            </c:dLbl>
            <c:dLbl>
              <c:idx val="6"/>
              <c:layout>
                <c:manualLayout>
                  <c:x val="0.0776120834050814"/>
                  <c:y val="0.181543489937488"/>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1" i="0" u="none" strike="noStrike" kern="1200" baseline="0">
                    <a:solidFill>
                      <a:schemeClr val="lt1"/>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'4月'!$D$300:$D$306</c:f>
              <c:strCache>
                <c:ptCount val="7"/>
                <c:pt idx="0">
                  <c:v>金坛区</c:v>
                </c:pt>
                <c:pt idx="1">
                  <c:v>溧阳市</c:v>
                </c:pt>
                <c:pt idx="2">
                  <c:v>天宁区</c:v>
                </c:pt>
                <c:pt idx="3">
                  <c:v>武进区</c:v>
                </c:pt>
                <c:pt idx="4">
                  <c:v>新北区</c:v>
                </c:pt>
                <c:pt idx="5">
                  <c:v>钟楼区</c:v>
                </c:pt>
                <c:pt idx="6">
                  <c:v>经济开发区</c:v>
                </c:pt>
              </c:strCache>
            </c:strRef>
          </c:cat>
          <c:val>
            <c:numRef>
              <c:f>'4月'!$E$300:$E$306</c:f>
              <c:numCache>
                <c:formatCode>General</c:formatCode>
                <c:ptCount val="7"/>
                <c:pt idx="0">
                  <c:v>5</c:v>
                </c:pt>
                <c:pt idx="1">
                  <c:v>7</c:v>
                </c:pt>
                <c:pt idx="2">
                  <c:v>1</c:v>
                </c:pt>
                <c:pt idx="3">
                  <c:v>5</c:v>
                </c:pt>
                <c:pt idx="4">
                  <c:v>4</c:v>
                </c:pt>
                <c:pt idx="5">
                  <c:v>4</c:v>
                </c:pt>
                <c:pt idx="6">
                  <c:v>5</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200"/>
              <a:t>不同地区产品合格率情况</a:t>
            </a:r>
            <a:endParaRPr lang="zh-CN" altLang="en-US" sz="1200"/>
          </a:p>
        </c:rich>
      </c:tx>
      <c:layout/>
      <c:overlay val="0"/>
    </c:title>
    <c:autoTitleDeleted val="0"/>
    <c:plotArea>
      <c:layout/>
      <c:barChart>
        <c:barDir val="col"/>
        <c:grouping val="clustered"/>
        <c:varyColors val="0"/>
        <c:ser>
          <c:idx val="0"/>
          <c:order val="0"/>
          <c:tx>
            <c:strRef>
              <c:f>'4月'!$E$299</c:f>
              <c:strCache>
                <c:ptCount val="1"/>
                <c:pt idx="0">
                  <c:v>合格率</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'4月'!$D$300:$D$306</c:f>
              <c:strCache>
                <c:ptCount val="7"/>
                <c:pt idx="0">
                  <c:v>金坛区</c:v>
                </c:pt>
                <c:pt idx="1">
                  <c:v>溧阳市</c:v>
                </c:pt>
                <c:pt idx="2">
                  <c:v>天宁区</c:v>
                </c:pt>
                <c:pt idx="3">
                  <c:v>武进区</c:v>
                </c:pt>
                <c:pt idx="4">
                  <c:v>新北区</c:v>
                </c:pt>
                <c:pt idx="5">
                  <c:v>钟楼区</c:v>
                </c:pt>
                <c:pt idx="6">
                  <c:v>经济开发区</c:v>
                </c:pt>
              </c:strCache>
            </c:strRef>
          </c:cat>
          <c:val>
            <c:numRef>
              <c:f>'4月'!$E$300:$E$306</c:f>
              <c:numCache>
                <c:formatCode>0%</c:formatCode>
                <c:ptCount val="7"/>
                <c:pt idx="0">
                  <c:v>1</c:v>
                </c:pt>
                <c:pt idx="1">
                  <c:v>1</c:v>
                </c:pt>
                <c:pt idx="2">
                  <c:v>1</c:v>
                </c:pt>
                <c:pt idx="3">
                  <c:v>1</c:v>
                </c:pt>
                <c:pt idx="4">
                  <c:v>0.75</c:v>
                </c:pt>
                <c:pt idx="5">
                  <c:v>0.75</c:v>
                </c:pt>
                <c:pt idx="6">
                  <c:v>0.8</c:v>
                </c:pt>
              </c:numCache>
            </c:numRef>
          </c:val>
        </c:ser>
        <c:dLbls>
          <c:showLegendKey val="0"/>
          <c:showVal val="0"/>
          <c:showCatName val="0"/>
          <c:showSerName val="0"/>
          <c:showPercent val="0"/>
          <c:showBubbleSize val="0"/>
        </c:dLbls>
        <c:gapWidth val="150"/>
        <c:axId val="452795008"/>
        <c:axId val="452833664"/>
      </c:barChart>
      <c:catAx>
        <c:axId val="452795008"/>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52833664"/>
        <c:crosses val="autoZero"/>
        <c:auto val="1"/>
        <c:lblAlgn val="ctr"/>
        <c:lblOffset val="100"/>
        <c:noMultiLvlLbl val="0"/>
      </c:catAx>
      <c:valAx>
        <c:axId val="452833664"/>
        <c:scaling>
          <c:orientation val="minMax"/>
        </c:scaling>
        <c:delete val="0"/>
        <c:axPos val="l"/>
        <c:majorGridlines/>
        <c:numFmt formatCode="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5279500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774CB6-5CC4-4274-8044-0CBC8F0310E1}">
  <ds:schemaRefs/>
</ds:datastoreItem>
</file>

<file path=docProps/app.xml><?xml version="1.0" encoding="utf-8"?>
<Properties xmlns="http://schemas.openxmlformats.org/officeDocument/2006/extended-properties" xmlns:vt="http://schemas.openxmlformats.org/officeDocument/2006/docPropsVTypes">
  <Template>Normal</Template>
  <Pages>9</Pages>
  <Words>3068</Words>
  <Characters>3339</Characters>
  <Lines>25</Lines>
  <Paragraphs>7</Paragraphs>
  <TotalTime>13</TotalTime>
  <ScaleCrop>false</ScaleCrop>
  <LinksUpToDate>false</LinksUpToDate>
  <CharactersWithSpaces>3353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2020-09-09T03:40:00Z</dcterms:created>
  <dc:creator>admin</dc:creator>
  <cp:lastModifiedBy>丹丹</cp:lastModifiedBy>
  <dcterms:modified xsi:type="dcterms:W3CDTF">2023-04-26T01:01:09Z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3442EC92D80D49C889450603C10F9486</vt:lpwstr>
  </property>
</Properties>
</file>