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570" w:lineRule="exact"/>
        <w:rPr>
          <w:rFonts w:ascii="方正黑体_GBK" w:eastAsia="方正黑体_GBK"/>
          <w:snapToGrid w:val="0"/>
          <w:color w:val="000000"/>
          <w:kern w:val="0"/>
          <w:sz w:val="32"/>
          <w:szCs w:val="32"/>
        </w:rPr>
      </w:pPr>
      <w:r>
        <w:rPr>
          <w:rFonts w:ascii="方正黑体_GBK" w:eastAsia="方正黑体_GBK"/>
          <w:snapToGrid w:val="0"/>
          <w:color w:val="000000"/>
          <w:kern w:val="0"/>
          <w:sz w:val="32"/>
          <w:szCs w:val="32"/>
        </w:rPr>
        <w:t>附件2</w:t>
      </w:r>
    </w:p>
    <w:p>
      <w:pPr>
        <w:autoSpaceDE w:val="0"/>
        <w:autoSpaceDN w:val="0"/>
        <w:adjustRightInd w:val="0"/>
        <w:snapToGrid w:val="0"/>
        <w:spacing w:line="560" w:lineRule="exact"/>
        <w:rPr>
          <w:rFonts w:eastAsia="仿宋_GB2312"/>
          <w:snapToGrid w:val="0"/>
          <w:color w:val="000000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hint="eastAsia" w:ascii="方正小标宋_GBK" w:eastAsia="方正小标宋_GBK"/>
          <w:snapToGrid w:val="0"/>
          <w:color w:val="000000"/>
          <w:kern w:val="0"/>
          <w:sz w:val="44"/>
          <w:szCs w:val="44"/>
        </w:rPr>
      </w:pPr>
      <w:r>
        <w:rPr>
          <w:rFonts w:hint="eastAsia" w:ascii="方正小标宋_GBK" w:eastAsia="方正小标宋_GBK"/>
          <w:snapToGrid w:val="0"/>
          <w:color w:val="000000"/>
          <w:kern w:val="0"/>
          <w:sz w:val="44"/>
          <w:szCs w:val="44"/>
        </w:rPr>
        <w:t>常州市城市长效综合管理考评计分办法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黑体_GBK" w:eastAsia="方正黑体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黑体_GBK" w:hAnsi="黑体" w:eastAsia="方正黑体_GBK"/>
          <w:snapToGrid w:val="0"/>
          <w:color w:val="000000"/>
          <w:kern w:val="0"/>
          <w:sz w:val="32"/>
          <w:szCs w:val="32"/>
        </w:rPr>
        <w:t>一、季度计分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楷体_GBK" w:eastAsia="方正楷体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楷体_GBK" w:hAnsi="楷体" w:eastAsia="方正楷体_GBK"/>
          <w:snapToGrid w:val="0"/>
          <w:color w:val="000000"/>
          <w:kern w:val="0"/>
          <w:sz w:val="32"/>
          <w:szCs w:val="32"/>
        </w:rPr>
        <w:t>（一）各辖市、区和常州经开区季度计分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各辖市、区和常州经开区季度成绩＝公众服务评价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×20%+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监督考核评价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×80%-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季度扣分（舆情处置、考评纪律执行情况、案卷推诿等）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 xml:space="preserve">1. 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公众服务评价得分＝第三方测评成绩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第三方测评成绩＝满意率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×50+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满意度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×50%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 xml:space="preserve">2. 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监督考核评价得分＝市级综合评价得分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×40%+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专业部门评价得分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×40%+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区级综合评价得分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×20%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（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1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）市级综合评价得分＝日常巡查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×40%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＋现场考评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×40%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＋重点区域（问题）考评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×20%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日常巡查分数＝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100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－巡查未按时整改或未整改问题、辖市区自查未整改问题累计扣分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现场考评分数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=100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－一类镇（街道）网格考评问题累计扣分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/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一类镇（街道）数量－二类镇（街道）网格考评问题累计扣分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/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二类镇（街道）数量－辖市（区）部（事）件、区管网格考评问题（含未按时整改或未整改）累计扣分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重点区域（问题）考评分数＝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100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－重点区域（问题）累计扣分－重点区域（问题）考评未按时整改或未整改问题累计扣分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（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2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）专业部门评价得分＝绿化管理专项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×20%+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公园管理专项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×20%+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建筑渣土专项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×20%+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垃圾分类专项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×20%+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执法队伍管理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×20%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绿化管理专项分数＝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100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－绿化管理专项考评问题累计扣分－现场考评、日常巡查问题未按时整改或未整改问题累计扣分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公园管理专项分数＝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100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－公园管理专项考评问题累计扣分－现场考评、日常巡查问题未按时整改或未整改问题累计扣分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建筑渣土专项分数＝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100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－建筑渣土专项考评问题累计扣分－现场考评、日常巡查问题未按时整改或未整改问题累计扣分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垃圾分类专项分数＝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100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－垃圾分类专项考评问题累计扣分－现场考评、日常巡查问题未按时整改或未整改问题累计扣分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执法队伍管理分数＝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100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－执法队伍考核现场考评（限区级执法队伍）累计扣分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（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3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）</w:t>
      </w:r>
      <w:r>
        <w:rPr>
          <w:rFonts w:hint="eastAsia" w:ascii="方正仿宋_GBK" w:hAnsi="仿宋" w:eastAsia="方正仿宋_GBK"/>
          <w:bCs/>
          <w:snapToGrid w:val="0"/>
          <w:color w:val="000000"/>
          <w:kern w:val="0"/>
          <w:sz w:val="32"/>
          <w:szCs w:val="32"/>
        </w:rPr>
        <w:t>区级综合评价得分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＝（处置率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×40%+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按期处置率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×30%+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案卷准确率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×30%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）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×100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楷体_GBK" w:hAnsi="楷体" w:eastAsia="方正楷体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楷体_GBK" w:hAnsi="楷体" w:eastAsia="方正楷体_GBK"/>
          <w:snapToGrid w:val="0"/>
          <w:color w:val="000000"/>
          <w:kern w:val="0"/>
          <w:sz w:val="32"/>
          <w:szCs w:val="32"/>
        </w:rPr>
        <w:t>（二）镇（街道）考核季度计分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镇（街道）季度成绩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=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市级季度考核成绩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×50%+各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辖市、区和常州经开区考核排名成绩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×50%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镇（街道）市级季度考核成绩＝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100-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问题累计扣分（网格考评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+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专项考评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+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执法队伍考评及所有考评未按时整改或未整改问题）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各辖市、区和常州经开区考核排名成绩，按第一名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100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分，最后一名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90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分进行测算，分别计入所在地区各镇（街道）考核成绩。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楷体_GBK" w:hAnsi="楷体" w:eastAsia="方正楷体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楷体_GBK" w:hAnsi="楷体" w:eastAsia="方正楷体_GBK"/>
          <w:snapToGrid w:val="0"/>
          <w:color w:val="000000"/>
          <w:kern w:val="0"/>
          <w:sz w:val="32"/>
          <w:szCs w:val="32"/>
        </w:rPr>
        <w:t>（三）市职能部门和责任单位季度计分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季度成绩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=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日常巡查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×50%+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现场考评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×30%+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案卷处置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×20%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日常巡查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=100-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巡查未按时整改或未整改扣分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现场考评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=100-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（现场考评扣分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+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现场考评问题未按时整改或未整改扣分）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案卷处置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=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处置率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×50+</w:t>
      </w: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按期处置率</w:t>
      </w:r>
      <w:r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  <w:t>×50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黑体_GBK" w:eastAsia="方正黑体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黑体_GBK" w:hAnsi="黑体" w:eastAsia="方正黑体_GBK"/>
          <w:snapToGrid w:val="0"/>
          <w:color w:val="000000"/>
          <w:kern w:val="0"/>
          <w:sz w:val="32"/>
          <w:szCs w:val="32"/>
        </w:rPr>
        <w:t>二、年度计分</w:t>
      </w:r>
    </w:p>
    <w:p>
      <w:pPr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ascii="方正仿宋_GBK" w:eastAsia="方正仿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仿宋_GBK" w:hAnsi="仿宋" w:eastAsia="方正仿宋_GBK"/>
          <w:snapToGrid w:val="0"/>
          <w:color w:val="000000"/>
          <w:kern w:val="0"/>
          <w:sz w:val="32"/>
          <w:szCs w:val="32"/>
        </w:rPr>
        <w:t>年度分数＝各季度平均分数＋年度加（减）分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6515C49-C468-469F-B956-63AAA0F0BD4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F6F6BDE-5312-40DD-B11A-AB0268FC797A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3" w:fontKey="{6971E104-03B5-492F-A004-0AEA032B7EC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CF2F9834-CFFF-444E-ABE9-72EE052C4382}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5" w:fontKey="{5A40B0BE-329D-4B65-9E06-0F0811732CA5}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6" w:fontKey="{E2073962-B841-4CBC-89FB-B489657BA1E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3E6D2EE5-9F69-49A3-922D-5620B0E9C5B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5B4B0FD3-7D3C-4D11-BF82-CA791A83D5BD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NWQ2OTU1OGVjMGY1ODg1NzM3NDc2ZDYxMjhkZTIifQ=="/>
  </w:docVars>
  <w:rsids>
    <w:rsidRoot w:val="5A3F0E7A"/>
    <w:rsid w:val="5A3F0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1027</Words>
  <Characters>1124</Characters>
  <Lines>0</Lines>
  <Paragraphs>0</Paragraphs>
  <TotalTime>0</TotalTime>
  <ScaleCrop>false</ScaleCrop>
  <LinksUpToDate>false</LinksUpToDate>
  <CharactersWithSpaces>1126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2023-01-09T07:03:00Z</dcterms:created>
  <dc:creator>丹丹</dc:creator>
  <cp:lastModifiedBy>丹丹</cp:lastModifiedBy>
  <dcterms:modified xsi:type="dcterms:W3CDTF">2023-01-09T07:04:05Z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1E579B7AA6E24A0B8639C9F5C426BE83</vt:lpwstr>
  </property>
</Properties>
</file>