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Times New Roman" w:hAnsi="Times New Roman" w:eastAsia="方正黑体_GBK"/>
          <w:color w:val="000000"/>
          <w:sz w:val="32"/>
          <w:szCs w:val="32"/>
        </w:rPr>
      </w:pPr>
      <w:r>
        <w:rPr>
          <w:rFonts w:ascii="Times New Roman" w:hAnsi="Times New Roman" w:eastAsia="方正黑体_GBK"/>
          <w:color w:val="000000"/>
          <w:sz w:val="32"/>
          <w:szCs w:val="32"/>
        </w:rPr>
        <w:t>附件2</w:t>
      </w:r>
    </w:p>
    <w:p>
      <w:pPr>
        <w:overflowPunct w:val="0"/>
        <w:autoSpaceDE w:val="0"/>
        <w:autoSpaceDN w:val="0"/>
        <w:adjustRightInd w:val="0"/>
        <w:snapToGrid w:val="0"/>
        <w:spacing w:line="400" w:lineRule="exact"/>
        <w:jc w:val="center"/>
        <w:outlineLvl w:val="1"/>
        <w:rPr>
          <w:rFonts w:hint="eastAsia" w:ascii="方正小标宋_GBK" w:hAnsi="Times New Roman" w:eastAsia="方正小标宋_GBK"/>
          <w:color w:val="000000"/>
          <w:sz w:val="44"/>
          <w:szCs w:val="44"/>
        </w:rPr>
      </w:pPr>
    </w:p>
    <w:p>
      <w:pPr>
        <w:overflowPunct w:val="0"/>
        <w:autoSpaceDE w:val="0"/>
        <w:autoSpaceDN w:val="0"/>
        <w:adjustRightInd w:val="0"/>
        <w:snapToGrid w:val="0"/>
        <w:spacing w:line="570" w:lineRule="exact"/>
        <w:jc w:val="center"/>
        <w:outlineLvl w:val="1"/>
        <w:rPr>
          <w:rFonts w:hint="eastAsia" w:ascii="方正小标宋_GBK" w:hAnsi="Times New Roman" w:eastAsia="方正小标宋_GBK"/>
          <w:color w:val="000000"/>
          <w:sz w:val="44"/>
          <w:szCs w:val="44"/>
        </w:rPr>
      </w:pPr>
      <w:r>
        <w:rPr>
          <w:rFonts w:hint="eastAsia" w:ascii="方正小标宋_GBK" w:hAnsi="Times New Roman" w:eastAsia="方正小标宋_GBK"/>
          <w:color w:val="000000"/>
          <w:sz w:val="44"/>
          <w:szCs w:val="44"/>
        </w:rPr>
        <w:t>常州市“无废城市”建设任务清单</w:t>
      </w:r>
    </w:p>
    <w:p>
      <w:pPr>
        <w:overflowPunct w:val="0"/>
        <w:autoSpaceDE w:val="0"/>
        <w:autoSpaceDN w:val="0"/>
        <w:adjustRightInd w:val="0"/>
        <w:snapToGrid w:val="0"/>
        <w:spacing w:line="400" w:lineRule="exact"/>
        <w:jc w:val="center"/>
        <w:outlineLvl w:val="1"/>
        <w:rPr>
          <w:rFonts w:hint="eastAsia" w:ascii="方正小标宋_GBK" w:hAnsi="Times New Roman" w:eastAsia="方正小标宋_GBK"/>
          <w:color w:val="000000"/>
          <w:sz w:val="44"/>
          <w:szCs w:val="44"/>
        </w:rPr>
      </w:pPr>
    </w:p>
    <w:tbl>
      <w:tblPr>
        <w:tblStyle w:val="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21"/>
        <w:gridCol w:w="1310"/>
        <w:gridCol w:w="8451"/>
        <w:gridCol w:w="1040"/>
        <w:gridCol w:w="27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19" w:type="pct"/>
            <w:noWrap w:val="0"/>
            <w:vAlign w:val="center"/>
          </w:tcPr>
          <w:p>
            <w:pPr>
              <w:widowControl/>
              <w:spacing w:line="320" w:lineRule="exact"/>
              <w:ind w:left="-105" w:leftChars="-50" w:right="-105" w:rightChars="-50"/>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序号</w:t>
            </w:r>
          </w:p>
        </w:tc>
        <w:tc>
          <w:tcPr>
            <w:tcW w:w="462" w:type="pct"/>
            <w:noWrap w:val="0"/>
            <w:vAlign w:val="center"/>
          </w:tcPr>
          <w:p>
            <w:pPr>
              <w:widowControl/>
              <w:spacing w:line="32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任务</w:t>
            </w:r>
          </w:p>
        </w:tc>
        <w:tc>
          <w:tcPr>
            <w:tcW w:w="2981" w:type="pct"/>
            <w:noWrap w:val="0"/>
            <w:vAlign w:val="center"/>
          </w:tcPr>
          <w:p>
            <w:pPr>
              <w:widowControl/>
              <w:spacing w:line="320" w:lineRule="exact"/>
              <w:jc w:val="center"/>
              <w:rPr>
                <w:rFonts w:ascii="Times New Roman" w:hAnsi="Times New Roman" w:eastAsia="方正黑体_GBK"/>
                <w:color w:val="000000"/>
                <w:kern w:val="0"/>
                <w:szCs w:val="21"/>
              </w:rPr>
            </w:pPr>
            <w:bookmarkStart w:id="0" w:name="RANGE!C1"/>
            <w:bookmarkEnd w:id="0"/>
            <w:r>
              <w:rPr>
                <w:rFonts w:ascii="Times New Roman" w:hAnsi="Times New Roman" w:eastAsia="方正黑体_GBK"/>
                <w:color w:val="000000"/>
                <w:kern w:val="0"/>
                <w:szCs w:val="21"/>
              </w:rPr>
              <w:t>内容</w:t>
            </w:r>
          </w:p>
        </w:tc>
        <w:tc>
          <w:tcPr>
            <w:tcW w:w="367" w:type="pct"/>
            <w:noWrap w:val="0"/>
            <w:vAlign w:val="center"/>
          </w:tcPr>
          <w:p>
            <w:pPr>
              <w:widowControl/>
              <w:spacing w:line="320" w:lineRule="exact"/>
              <w:ind w:left="-105" w:leftChars="-50" w:right="-105" w:rightChars="-50"/>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完成时限</w:t>
            </w:r>
          </w:p>
        </w:tc>
        <w:tc>
          <w:tcPr>
            <w:tcW w:w="971" w:type="pct"/>
            <w:noWrap w:val="0"/>
            <w:vAlign w:val="center"/>
          </w:tcPr>
          <w:p>
            <w:pPr>
              <w:widowControl/>
              <w:spacing w:line="32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责任部门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一</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工业领域</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1</w:t>
            </w:r>
          </w:p>
        </w:tc>
        <w:tc>
          <w:tcPr>
            <w:tcW w:w="462" w:type="pct"/>
            <w:vMerge w:val="restart"/>
            <w:noWrap w:val="0"/>
            <w:vAlign w:val="center"/>
          </w:tcPr>
          <w:p>
            <w:pPr>
              <w:widowControl/>
              <w:spacing w:line="280" w:lineRule="exact"/>
              <w:jc w:val="center"/>
              <w:rPr>
                <w:rFonts w:hint="eastAsia" w:ascii="Times New Roman" w:hAnsi="宋体"/>
                <w:bCs/>
                <w:color w:val="000000"/>
                <w:kern w:val="0"/>
                <w:szCs w:val="21"/>
              </w:rPr>
            </w:pPr>
            <w:r>
              <w:rPr>
                <w:rFonts w:ascii="Times New Roman" w:hAnsi="宋体"/>
                <w:bCs/>
                <w:color w:val="000000"/>
                <w:kern w:val="0"/>
                <w:szCs w:val="21"/>
              </w:rPr>
              <w:t>传统产业</w:t>
            </w:r>
          </w:p>
          <w:p>
            <w:pPr>
              <w:widowControl/>
              <w:spacing w:line="280" w:lineRule="exact"/>
              <w:jc w:val="center"/>
              <w:rPr>
                <w:rFonts w:hint="eastAsia" w:ascii="Times New Roman" w:hAnsi="宋体"/>
                <w:bCs/>
                <w:color w:val="000000"/>
                <w:kern w:val="0"/>
                <w:szCs w:val="21"/>
              </w:rPr>
            </w:pPr>
            <w:r>
              <w:rPr>
                <w:rFonts w:ascii="Times New Roman" w:hAnsi="宋体"/>
                <w:bCs/>
                <w:color w:val="000000"/>
                <w:kern w:val="0"/>
                <w:szCs w:val="21"/>
              </w:rPr>
              <w:t>减废增效</w:t>
            </w:r>
          </w:p>
          <w:p>
            <w:pPr>
              <w:widowControl/>
              <w:spacing w:line="280" w:lineRule="exact"/>
              <w:jc w:val="center"/>
              <w:rPr>
                <w:rFonts w:ascii="Times New Roman" w:hAnsi="Times New Roman"/>
                <w:bCs/>
                <w:color w:val="000000"/>
                <w:kern w:val="0"/>
                <w:szCs w:val="21"/>
              </w:rPr>
            </w:pPr>
            <w:r>
              <w:rPr>
                <w:rFonts w:ascii="Times New Roman" w:hAnsi="宋体"/>
                <w:bCs/>
                <w:color w:val="000000"/>
                <w:kern w:val="0"/>
                <w:szCs w:val="21"/>
              </w:rPr>
              <w:t>绿色化转型</w:t>
            </w: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优化电镀产业结构与布局，完成</w:t>
            </w:r>
            <w:r>
              <w:rPr>
                <w:rFonts w:ascii="Times New Roman" w:hAnsi="Times New Roman"/>
                <w:color w:val="000000"/>
                <w:kern w:val="0"/>
                <w:szCs w:val="21"/>
              </w:rPr>
              <w:t>3</w:t>
            </w:r>
            <w:r>
              <w:rPr>
                <w:rFonts w:ascii="Times New Roman" w:hAnsi="宋体"/>
                <w:color w:val="000000"/>
                <w:kern w:val="0"/>
                <w:szCs w:val="21"/>
              </w:rPr>
              <w:t>个左右电镀表面处理中心建设。</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2024</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市生态环境局、市工信局、市发改委，以下均需各辖市</w:t>
            </w:r>
            <w:r>
              <w:rPr>
                <w:rFonts w:hint="eastAsia" w:ascii="Times New Roman" w:hAnsi="宋体"/>
                <w:color w:val="000000"/>
                <w:kern w:val="0"/>
                <w:szCs w:val="21"/>
              </w:rPr>
              <w:t>、</w:t>
            </w:r>
            <w:r>
              <w:rPr>
                <w:rFonts w:ascii="Times New Roman" w:hAnsi="宋体"/>
                <w:color w:val="000000"/>
                <w:kern w:val="0"/>
                <w:szCs w:val="21"/>
              </w:rPr>
              <w:t>区</w:t>
            </w:r>
            <w:r>
              <w:rPr>
                <w:rFonts w:hint="eastAsia" w:ascii="Times New Roman" w:hAnsi="宋体"/>
                <w:color w:val="000000"/>
                <w:kern w:val="0"/>
                <w:szCs w:val="21"/>
              </w:rPr>
              <w:t>和常州经开区</w:t>
            </w:r>
            <w:r>
              <w:rPr>
                <w:rFonts w:ascii="Times New Roman" w:hAnsi="宋体"/>
                <w:color w:val="000000"/>
                <w:kern w:val="0"/>
                <w:szCs w:val="21"/>
              </w:rPr>
              <w:t>落实，不再单列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2</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推动印染企业集聚，兼并重组或提升改造</w:t>
            </w:r>
            <w:r>
              <w:rPr>
                <w:rFonts w:ascii="Times New Roman" w:hAnsi="Times New Roman"/>
                <w:color w:val="000000"/>
                <w:kern w:val="0"/>
                <w:szCs w:val="21"/>
              </w:rPr>
              <w:t>100</w:t>
            </w:r>
            <w:r>
              <w:rPr>
                <w:rFonts w:ascii="Times New Roman" w:hAnsi="宋体"/>
                <w:color w:val="000000"/>
                <w:kern w:val="0"/>
                <w:szCs w:val="21"/>
              </w:rPr>
              <w:t>家左右印染企业，关停淘汰</w:t>
            </w:r>
            <w:r>
              <w:rPr>
                <w:rFonts w:ascii="Times New Roman" w:hAnsi="Times New Roman"/>
                <w:color w:val="000000"/>
                <w:kern w:val="0"/>
                <w:szCs w:val="21"/>
              </w:rPr>
              <w:t>15</w:t>
            </w:r>
            <w:r>
              <w:rPr>
                <w:rFonts w:ascii="Times New Roman" w:hAnsi="宋体"/>
                <w:color w:val="000000"/>
                <w:kern w:val="0"/>
                <w:szCs w:val="21"/>
              </w:rPr>
              <w:t>家左右。</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3</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优化铸造产业结构，分类整治</w:t>
            </w:r>
            <w:r>
              <w:rPr>
                <w:rFonts w:ascii="Times New Roman" w:hAnsi="Times New Roman"/>
                <w:color w:val="000000"/>
                <w:kern w:val="0"/>
                <w:szCs w:val="21"/>
              </w:rPr>
              <w:t>711</w:t>
            </w:r>
            <w:r>
              <w:rPr>
                <w:rFonts w:ascii="Times New Roman" w:hAnsi="宋体"/>
                <w:color w:val="000000"/>
                <w:kern w:val="0"/>
                <w:szCs w:val="21"/>
              </w:rPr>
              <w:t>家专业铸造企业和有铸造工段的企业，新上</w:t>
            </w:r>
            <w:r>
              <w:rPr>
                <w:rFonts w:ascii="Times New Roman" w:hAnsi="Times New Roman"/>
                <w:color w:val="000000"/>
                <w:kern w:val="0"/>
                <w:szCs w:val="21"/>
              </w:rPr>
              <w:t>2-5</w:t>
            </w:r>
            <w:r>
              <w:rPr>
                <w:rFonts w:ascii="Times New Roman" w:hAnsi="宋体"/>
                <w:color w:val="000000"/>
                <w:kern w:val="0"/>
                <w:szCs w:val="21"/>
              </w:rPr>
              <w:t>个高端铸造项目。</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4</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优化涂料产业结构与布局，建设</w:t>
            </w:r>
            <w:r>
              <w:rPr>
                <w:rFonts w:ascii="Times New Roman" w:hAnsi="Times New Roman"/>
                <w:color w:val="000000"/>
                <w:kern w:val="0"/>
                <w:szCs w:val="21"/>
              </w:rPr>
              <w:t>2</w:t>
            </w:r>
            <w:r>
              <w:rPr>
                <w:rFonts w:ascii="Times New Roman" w:hAnsi="宋体"/>
                <w:color w:val="000000"/>
                <w:kern w:val="0"/>
                <w:szCs w:val="21"/>
              </w:rPr>
              <w:t>个涂料企业集聚区，</w:t>
            </w:r>
            <w:r>
              <w:rPr>
                <w:rFonts w:ascii="Times New Roman" w:hAnsi="Times New Roman"/>
                <w:color w:val="000000"/>
                <w:kern w:val="0"/>
                <w:szCs w:val="21"/>
              </w:rPr>
              <w:t>92</w:t>
            </w:r>
            <w:r>
              <w:rPr>
                <w:rFonts w:ascii="Times New Roman" w:hAnsi="宋体"/>
                <w:color w:val="000000"/>
                <w:kern w:val="0"/>
                <w:szCs w:val="21"/>
              </w:rPr>
              <w:t>家涂料企业转型、规范化提升。</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2024</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5</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推进地板产业固废减量，整治提升</w:t>
            </w:r>
            <w:r>
              <w:rPr>
                <w:rFonts w:ascii="Times New Roman" w:hAnsi="Times New Roman"/>
                <w:color w:val="000000"/>
                <w:kern w:val="0"/>
                <w:szCs w:val="21"/>
              </w:rPr>
              <w:t>260</w:t>
            </w:r>
            <w:r>
              <w:rPr>
                <w:rFonts w:ascii="Times New Roman" w:hAnsi="宋体"/>
                <w:color w:val="000000"/>
                <w:kern w:val="0"/>
                <w:szCs w:val="21"/>
              </w:rPr>
              <w:t>家地板企业。</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6</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推进汽摩配产业固废减量，整治提升</w:t>
            </w:r>
            <w:r>
              <w:rPr>
                <w:rFonts w:ascii="Times New Roman" w:hAnsi="Times New Roman"/>
                <w:color w:val="000000"/>
                <w:kern w:val="0"/>
                <w:szCs w:val="21"/>
              </w:rPr>
              <w:t>1147</w:t>
            </w:r>
            <w:r>
              <w:rPr>
                <w:rFonts w:ascii="Times New Roman" w:hAnsi="宋体"/>
                <w:color w:val="000000"/>
                <w:kern w:val="0"/>
                <w:szCs w:val="21"/>
              </w:rPr>
              <w:t>家汽摩配企业。</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2024</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7</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推进玻璃钢产业固废减量，整治提升</w:t>
            </w:r>
            <w:r>
              <w:rPr>
                <w:rFonts w:ascii="Times New Roman" w:hAnsi="Times New Roman"/>
                <w:color w:val="000000"/>
                <w:kern w:val="0"/>
                <w:szCs w:val="21"/>
              </w:rPr>
              <w:t>110</w:t>
            </w:r>
            <w:r>
              <w:rPr>
                <w:rFonts w:ascii="Times New Roman" w:hAnsi="宋体"/>
                <w:color w:val="000000"/>
                <w:kern w:val="0"/>
                <w:szCs w:val="21"/>
              </w:rPr>
              <w:t>家玻璃钢企业。</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8</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推进干燥设备制造产业固废减量，整治提升</w:t>
            </w:r>
            <w:r>
              <w:rPr>
                <w:rFonts w:ascii="Times New Roman" w:hAnsi="Times New Roman"/>
                <w:color w:val="000000"/>
                <w:kern w:val="0"/>
                <w:szCs w:val="21"/>
              </w:rPr>
              <w:t>500</w:t>
            </w:r>
            <w:r>
              <w:rPr>
                <w:rFonts w:ascii="Times New Roman" w:hAnsi="宋体"/>
                <w:color w:val="000000"/>
                <w:kern w:val="0"/>
                <w:szCs w:val="21"/>
              </w:rPr>
              <w:t>家左右干燥设备制造企业。</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9</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推进灯具产业固废减量，整治提升</w:t>
            </w:r>
            <w:r>
              <w:rPr>
                <w:rFonts w:ascii="Times New Roman" w:hAnsi="Times New Roman"/>
                <w:color w:val="000000"/>
                <w:kern w:val="0"/>
                <w:szCs w:val="21"/>
              </w:rPr>
              <w:t>437</w:t>
            </w:r>
            <w:r>
              <w:rPr>
                <w:rFonts w:ascii="Times New Roman" w:hAnsi="宋体"/>
                <w:color w:val="000000"/>
                <w:kern w:val="0"/>
                <w:szCs w:val="21"/>
              </w:rPr>
              <w:t>家灯具企业。</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市工信局、市生态环境局按职责分工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19" w:type="pct"/>
            <w:noWrap w:val="0"/>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10</w:t>
            </w:r>
          </w:p>
        </w:tc>
        <w:tc>
          <w:tcPr>
            <w:tcW w:w="462" w:type="pct"/>
            <w:vMerge w:val="continue"/>
            <w:noWrap w:val="0"/>
            <w:vAlign w:val="center"/>
          </w:tcPr>
          <w:p>
            <w:pPr>
              <w:widowControl/>
              <w:spacing w:line="280" w:lineRule="exact"/>
              <w:jc w:val="center"/>
              <w:rPr>
                <w:rFonts w:ascii="Times New Roman" w:hAnsi="Times New Roman"/>
                <w:bCs/>
                <w:color w:val="000000"/>
                <w:kern w:val="0"/>
                <w:szCs w:val="21"/>
              </w:rPr>
            </w:pPr>
          </w:p>
        </w:tc>
        <w:tc>
          <w:tcPr>
            <w:tcW w:w="298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szCs w:val="21"/>
              </w:rPr>
              <w:t>依法实施强制性清洁生产审核，引导更多企业自觉自愿开展审核。</w:t>
            </w:r>
          </w:p>
        </w:tc>
        <w:tc>
          <w:tcPr>
            <w:tcW w:w="367" w:type="pct"/>
            <w:noWrap w:val="0"/>
            <w:vAlign w:val="center"/>
          </w:tcPr>
          <w:p>
            <w:pPr>
              <w:widowControl/>
              <w:spacing w:line="26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市生态环境局、市工信局按职责分工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11</w:t>
            </w:r>
          </w:p>
        </w:tc>
        <w:tc>
          <w:tcPr>
            <w:tcW w:w="462" w:type="pct"/>
            <w:vMerge w:val="restart"/>
            <w:noWrap w:val="0"/>
            <w:vAlign w:val="center"/>
          </w:tcPr>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布局</w:t>
            </w:r>
            <w:r>
              <w:rPr>
                <w:rFonts w:ascii="Times New Roman" w:hAnsi="Times New Roman"/>
                <w:bCs/>
                <w:color w:val="000000"/>
                <w:kern w:val="0"/>
                <w:szCs w:val="21"/>
              </w:rPr>
              <w:t>“</w:t>
            </w:r>
            <w:r>
              <w:rPr>
                <w:rFonts w:ascii="Times New Roman" w:hAnsi="宋体"/>
                <w:bCs/>
                <w:color w:val="000000"/>
                <w:kern w:val="0"/>
                <w:szCs w:val="21"/>
              </w:rPr>
              <w:t>无废产业</w:t>
            </w:r>
            <w:r>
              <w:rPr>
                <w:rFonts w:ascii="Times New Roman" w:hAnsi="Times New Roman"/>
                <w:bCs/>
                <w:color w:val="000000"/>
                <w:kern w:val="0"/>
                <w:szCs w:val="21"/>
              </w:rPr>
              <w:t>”</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培育壮大高端装备、绿色精品钢、新一代电子信息技术、新材料、生物医药及新型医疗器械等高附加值产废强度低的先进制造业集群。</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12</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围绕新能源汽车及汽车核心零部件、高端纺织服装、新型建筑材料等制造业产业集群，集成电路、碳复合材料等高成长性产业，积极发展节能环保、资源循环利用的上下游废物利用产业。</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市工信局、市发改委按职责分工按职责分工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13</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spacing w:val="-6"/>
                <w:kern w:val="0"/>
                <w:szCs w:val="21"/>
              </w:rPr>
            </w:pPr>
            <w:r>
              <w:rPr>
                <w:rFonts w:ascii="Times New Roman" w:hAnsi="宋体"/>
                <w:color w:val="000000"/>
                <w:spacing w:val="-6"/>
                <w:kern w:val="0"/>
                <w:szCs w:val="21"/>
              </w:rPr>
              <w:t>围绕打造</w:t>
            </w:r>
            <w:r>
              <w:rPr>
                <w:rFonts w:ascii="Times New Roman" w:hAnsi="Times New Roman"/>
                <w:color w:val="000000"/>
                <w:spacing w:val="-6"/>
                <w:kern w:val="0"/>
                <w:szCs w:val="21"/>
              </w:rPr>
              <w:t>“</w:t>
            </w:r>
            <w:r>
              <w:rPr>
                <w:rFonts w:ascii="Times New Roman" w:hAnsi="宋体"/>
                <w:color w:val="000000"/>
                <w:spacing w:val="-6"/>
                <w:kern w:val="0"/>
                <w:szCs w:val="21"/>
              </w:rPr>
              <w:t>东方碳谷</w:t>
            </w:r>
            <w:r>
              <w:rPr>
                <w:rFonts w:ascii="Times New Roman" w:hAnsi="Times New Roman"/>
                <w:color w:val="000000"/>
                <w:spacing w:val="-6"/>
                <w:kern w:val="0"/>
                <w:szCs w:val="21"/>
              </w:rPr>
              <w:t>”</w:t>
            </w:r>
            <w:r>
              <w:rPr>
                <w:rFonts w:ascii="Times New Roman" w:hAnsi="宋体"/>
                <w:color w:val="000000"/>
                <w:spacing w:val="-6"/>
                <w:kern w:val="0"/>
                <w:szCs w:val="21"/>
              </w:rPr>
              <w:t>产业标杆，加快完善碳纤维产业链，拓展碳纤维及复合材料的应用领域，鼓励引入先进的碳纤维复合材料回收利用企业及技术，形成碳纤维无废循环发展产业链。</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14</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spacing w:val="-6"/>
                <w:kern w:val="0"/>
                <w:szCs w:val="21"/>
              </w:rPr>
            </w:pPr>
            <w:r>
              <w:rPr>
                <w:rFonts w:ascii="Times New Roman" w:hAnsi="宋体"/>
                <w:color w:val="000000"/>
                <w:spacing w:val="-6"/>
                <w:kern w:val="0"/>
                <w:szCs w:val="21"/>
              </w:rPr>
              <w:t>推动建设钟楼区静脉产业园，强化建筑材料为产品目标的产业间共生关系，培育无废产业链。</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15</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围绕零碳经济生态圈</w:t>
            </w:r>
            <w:r>
              <w:rPr>
                <w:rFonts w:ascii="Times New Roman" w:hAnsi="Times New Roman"/>
                <w:color w:val="000000"/>
                <w:kern w:val="0"/>
                <w:szCs w:val="21"/>
              </w:rPr>
              <w:t>“</w:t>
            </w:r>
            <w:r>
              <w:rPr>
                <w:rFonts w:ascii="Times New Roman" w:hAnsi="宋体"/>
                <w:color w:val="000000"/>
                <w:kern w:val="0"/>
                <w:szCs w:val="21"/>
              </w:rPr>
              <w:t>常州模式</w:t>
            </w:r>
            <w:r>
              <w:rPr>
                <w:rFonts w:ascii="Times New Roman" w:hAnsi="Times New Roman"/>
                <w:color w:val="000000"/>
                <w:kern w:val="0"/>
                <w:szCs w:val="21"/>
              </w:rPr>
              <w:t>”</w:t>
            </w:r>
            <w:r>
              <w:rPr>
                <w:rFonts w:ascii="Times New Roman" w:hAnsi="宋体"/>
                <w:color w:val="000000"/>
                <w:kern w:val="0"/>
                <w:szCs w:val="21"/>
              </w:rPr>
              <w:t>，优化布局新能源产业、推动能源供给清洁化、产业发展绿色化、交通出行电动化、城市建设节能化，打造绿色低碳常州名片。</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16</w:t>
            </w:r>
          </w:p>
        </w:tc>
        <w:tc>
          <w:tcPr>
            <w:tcW w:w="462" w:type="pct"/>
            <w:vMerge w:val="restart"/>
            <w:noWrap w:val="0"/>
            <w:vAlign w:val="center"/>
          </w:tcPr>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优化能源</w:t>
            </w:r>
          </w:p>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结构</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充分利用钢铁、建材等工业生产过程中产生的余热、余压、余气资源，推进资源综合利用发电项目建设，提高能源利用效率，促进节能减排。</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市发改委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17</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加快分布式光伏发电应用，重点推进金坛区、天宁区、钟楼区、常州经开区整县（市、区）屋顶分布式光伏开发试点，助力实现碳达峰、碳中和。</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市发改委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18</w:t>
            </w:r>
          </w:p>
        </w:tc>
        <w:tc>
          <w:tcPr>
            <w:tcW w:w="462" w:type="pct"/>
            <w:vMerge w:val="restart"/>
            <w:noWrap w:val="0"/>
            <w:vAlign w:val="center"/>
          </w:tcPr>
          <w:p>
            <w:pPr>
              <w:widowControl/>
              <w:spacing w:line="300" w:lineRule="exact"/>
              <w:ind w:left="-105" w:leftChars="-50" w:right="-105" w:rightChars="-50"/>
              <w:jc w:val="center"/>
              <w:rPr>
                <w:rFonts w:hint="eastAsia" w:ascii="Times New Roman" w:hAnsi="宋体"/>
                <w:bCs/>
                <w:color w:val="000000"/>
                <w:kern w:val="0"/>
                <w:szCs w:val="21"/>
              </w:rPr>
            </w:pPr>
            <w:r>
              <w:rPr>
                <w:rFonts w:ascii="Times New Roman" w:hAnsi="宋体"/>
                <w:bCs/>
                <w:color w:val="000000"/>
                <w:kern w:val="0"/>
                <w:szCs w:val="21"/>
              </w:rPr>
              <w:t>提升工业园区</w:t>
            </w:r>
          </w:p>
          <w:p>
            <w:pPr>
              <w:widowControl/>
              <w:spacing w:line="300" w:lineRule="exact"/>
              <w:ind w:left="-105" w:leftChars="-50" w:right="-105" w:rightChars="-50"/>
              <w:jc w:val="center"/>
              <w:rPr>
                <w:rFonts w:ascii="Times New Roman" w:hAnsi="Times New Roman"/>
                <w:bCs/>
                <w:color w:val="000000"/>
                <w:kern w:val="0"/>
                <w:szCs w:val="21"/>
              </w:rPr>
            </w:pPr>
            <w:r>
              <w:rPr>
                <w:rFonts w:ascii="Times New Roman" w:hAnsi="宋体"/>
                <w:bCs/>
                <w:color w:val="000000"/>
                <w:kern w:val="0"/>
                <w:szCs w:val="21"/>
              </w:rPr>
              <w:t>绿色发展水平</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加快实现园区绿色低碳转型，积极争创省级绿色低碳循环发展示范区。</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市发改委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19</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推动溧阳经济开发区、金坛经济开发区、武进国家高新技术产业开发区等园区创建国家绿色园区。</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20</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推动生态工业园区建设。</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21</w:t>
            </w:r>
          </w:p>
        </w:tc>
        <w:tc>
          <w:tcPr>
            <w:tcW w:w="462" w:type="pct"/>
            <w:noWrap w:val="0"/>
            <w:vAlign w:val="center"/>
          </w:tcPr>
          <w:p>
            <w:pPr>
              <w:widowControl/>
              <w:spacing w:line="300" w:lineRule="exact"/>
              <w:ind w:left="-105" w:leftChars="-50" w:right="-105" w:rightChars="-50"/>
              <w:jc w:val="center"/>
              <w:rPr>
                <w:rFonts w:ascii="Times New Roman" w:hAnsi="Times New Roman"/>
                <w:bCs/>
                <w:color w:val="000000"/>
                <w:kern w:val="0"/>
                <w:szCs w:val="21"/>
              </w:rPr>
            </w:pPr>
            <w:r>
              <w:rPr>
                <w:rFonts w:ascii="Times New Roman" w:hAnsi="宋体"/>
                <w:bCs/>
                <w:color w:val="000000"/>
                <w:kern w:val="0"/>
                <w:szCs w:val="21"/>
              </w:rPr>
              <w:t>绿色工厂建设</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创建绿色工厂，</w:t>
            </w:r>
            <w:r>
              <w:rPr>
                <w:rFonts w:ascii="Times New Roman" w:hAnsi="Times New Roman"/>
                <w:color w:val="000000"/>
                <w:kern w:val="0"/>
                <w:szCs w:val="21"/>
              </w:rPr>
              <w:t>2025</w:t>
            </w:r>
            <w:r>
              <w:rPr>
                <w:rFonts w:ascii="Times New Roman" w:hAnsi="宋体"/>
                <w:color w:val="000000"/>
                <w:kern w:val="0"/>
                <w:szCs w:val="21"/>
              </w:rPr>
              <w:t>年累计培育</w:t>
            </w:r>
            <w:r>
              <w:rPr>
                <w:rFonts w:ascii="Times New Roman" w:hAnsi="Times New Roman"/>
                <w:color w:val="000000"/>
                <w:kern w:val="0"/>
                <w:szCs w:val="21"/>
              </w:rPr>
              <w:t>300</w:t>
            </w:r>
            <w:r>
              <w:rPr>
                <w:rFonts w:ascii="Times New Roman" w:hAnsi="宋体"/>
                <w:color w:val="000000"/>
                <w:kern w:val="0"/>
                <w:szCs w:val="21"/>
              </w:rPr>
              <w:t>个绿色工厂。</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22</w:t>
            </w:r>
          </w:p>
        </w:tc>
        <w:tc>
          <w:tcPr>
            <w:tcW w:w="462" w:type="pct"/>
            <w:noWrap w:val="0"/>
            <w:vAlign w:val="center"/>
          </w:tcPr>
          <w:p>
            <w:pPr>
              <w:widowControl/>
              <w:spacing w:line="300" w:lineRule="exact"/>
              <w:ind w:left="-105" w:leftChars="-50" w:right="-105" w:rightChars="-50"/>
              <w:jc w:val="center"/>
              <w:rPr>
                <w:rFonts w:ascii="Times New Roman" w:hAnsi="Times New Roman"/>
                <w:bCs/>
                <w:color w:val="000000"/>
                <w:kern w:val="0"/>
                <w:szCs w:val="21"/>
              </w:rPr>
            </w:pPr>
            <w:r>
              <w:rPr>
                <w:rFonts w:ascii="Times New Roman" w:hAnsi="宋体"/>
                <w:bCs/>
                <w:color w:val="000000"/>
                <w:kern w:val="0"/>
                <w:szCs w:val="21"/>
              </w:rPr>
              <w:t>绿色矿山建设</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推进绿色矿山建设，统筹推进绿色矿山建设、矿山地质环境治理与工矿废弃地复垦利用。</w:t>
            </w:r>
            <w:r>
              <w:rPr>
                <w:rFonts w:ascii="Times New Roman" w:hAnsi="Times New Roman"/>
                <w:color w:val="000000"/>
                <w:kern w:val="0"/>
                <w:szCs w:val="21"/>
              </w:rPr>
              <w:t>2025</w:t>
            </w:r>
            <w:r>
              <w:rPr>
                <w:rFonts w:ascii="Times New Roman" w:hAnsi="宋体"/>
                <w:color w:val="000000"/>
                <w:kern w:val="0"/>
                <w:szCs w:val="21"/>
              </w:rPr>
              <w:t>年，大型、中型、小型绿色矿山建成率分别达</w:t>
            </w:r>
            <w:r>
              <w:rPr>
                <w:rFonts w:ascii="Times New Roman" w:hAnsi="Times New Roman"/>
                <w:color w:val="000000"/>
                <w:kern w:val="0"/>
                <w:szCs w:val="21"/>
              </w:rPr>
              <w:t>90%</w:t>
            </w:r>
            <w:r>
              <w:rPr>
                <w:rFonts w:ascii="Times New Roman" w:hAnsi="宋体"/>
                <w:color w:val="000000"/>
                <w:kern w:val="0"/>
                <w:szCs w:val="21"/>
              </w:rPr>
              <w:t>、</w:t>
            </w:r>
            <w:r>
              <w:rPr>
                <w:rFonts w:ascii="Times New Roman" w:hAnsi="Times New Roman"/>
                <w:color w:val="000000"/>
                <w:kern w:val="0"/>
                <w:szCs w:val="21"/>
              </w:rPr>
              <w:t>90%</w:t>
            </w:r>
            <w:r>
              <w:rPr>
                <w:rFonts w:ascii="Times New Roman" w:hAnsi="宋体"/>
                <w:color w:val="000000"/>
                <w:kern w:val="0"/>
                <w:szCs w:val="21"/>
              </w:rPr>
              <w:t>、</w:t>
            </w:r>
            <w:r>
              <w:rPr>
                <w:rFonts w:ascii="Times New Roman" w:hAnsi="Times New Roman"/>
                <w:color w:val="000000"/>
                <w:kern w:val="0"/>
                <w:szCs w:val="21"/>
              </w:rPr>
              <w:t>50%</w:t>
            </w:r>
            <w:r>
              <w:rPr>
                <w:rFonts w:ascii="Times New Roman" w:hAnsi="宋体"/>
                <w:color w:val="000000"/>
                <w:kern w:val="0"/>
                <w:szCs w:val="21"/>
              </w:rPr>
              <w:t>。</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市资源规划局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23</w:t>
            </w:r>
          </w:p>
        </w:tc>
        <w:tc>
          <w:tcPr>
            <w:tcW w:w="462" w:type="pct"/>
            <w:noWrap w:val="0"/>
            <w:vAlign w:val="center"/>
          </w:tcPr>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申报绿色</w:t>
            </w:r>
          </w:p>
          <w:p>
            <w:pPr>
              <w:widowControl/>
              <w:spacing w:line="300" w:lineRule="exact"/>
              <w:ind w:left="-105" w:leftChars="-50" w:right="-105" w:rightChars="-50"/>
              <w:jc w:val="center"/>
              <w:rPr>
                <w:rFonts w:ascii="Times New Roman" w:hAnsi="Times New Roman"/>
                <w:bCs/>
                <w:color w:val="000000"/>
                <w:kern w:val="0"/>
                <w:szCs w:val="21"/>
              </w:rPr>
            </w:pPr>
            <w:r>
              <w:rPr>
                <w:rFonts w:ascii="Times New Roman" w:hAnsi="宋体"/>
                <w:bCs/>
                <w:color w:val="000000"/>
                <w:kern w:val="0"/>
                <w:szCs w:val="21"/>
              </w:rPr>
              <w:t>发展领军企业</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鼓励固废处置和资源化利用企业积极申报绿色发展领军企业，打造减废降碳协同增效示范。</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24</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健全工业</w:t>
            </w:r>
          </w:p>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固体废物</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收运体系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推动建设符合规范且满足需求的固体废物贮存场所，实行工业固废安全分类存放。</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参考生活垃圾收运体系，在新北等地探索一般工业固体废物收运体系建设。</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26</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开展一般工业固体废物统收统分统运工作，建成</w:t>
            </w:r>
            <w:r>
              <w:rPr>
                <w:rFonts w:ascii="Times New Roman" w:hAnsi="Times New Roman"/>
                <w:color w:val="000000"/>
                <w:kern w:val="0"/>
                <w:szCs w:val="21"/>
              </w:rPr>
              <w:t>7</w:t>
            </w:r>
            <w:r>
              <w:rPr>
                <w:rFonts w:ascii="Times New Roman" w:hAnsi="宋体"/>
                <w:color w:val="000000"/>
                <w:kern w:val="0"/>
                <w:szCs w:val="21"/>
              </w:rPr>
              <w:t>个一般工业固废收贮运一体化中心。</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27</w:t>
            </w:r>
          </w:p>
        </w:tc>
        <w:tc>
          <w:tcPr>
            <w:tcW w:w="462" w:type="pct"/>
            <w:vMerge w:val="restar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提升资源化利用与处置能力</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加强大宗工业固体废物利用产业与绿色建材、新型墙体材料、装配式建筑等产业耦合发展。</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市发改委、市工信局、市生态环境局、市住建局按职责分工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28</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推动光伏组件回收与资源化利用，促进粉煤灰全量使用，提高废钢、脱硫石膏使用比例。</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29</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在夹山、滨江经济开发区等区域围绕产业特点，统筹固废处置需求，推进固废资源循环和综合利用，促进固废综合利用产业发展。</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30</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因地制宜推进工业固体废物集中处置中心建设，稳步提升无害化处置能力。</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31</w:t>
            </w:r>
          </w:p>
        </w:tc>
        <w:tc>
          <w:tcPr>
            <w:tcW w:w="462" w:type="pct"/>
            <w:vMerge w:val="restart"/>
            <w:noWrap w:val="0"/>
            <w:vAlign w:val="center"/>
          </w:tcPr>
          <w:p>
            <w:pPr>
              <w:widowControl/>
              <w:spacing w:line="320" w:lineRule="exact"/>
              <w:jc w:val="center"/>
              <w:rPr>
                <w:rFonts w:hint="eastAsia" w:ascii="Times New Roman" w:hAnsi="宋体"/>
                <w:color w:val="000000"/>
                <w:kern w:val="0"/>
                <w:szCs w:val="21"/>
              </w:rPr>
            </w:pPr>
            <w:r>
              <w:rPr>
                <w:rFonts w:ascii="Times New Roman" w:hAnsi="宋体"/>
                <w:color w:val="000000"/>
                <w:kern w:val="0"/>
                <w:szCs w:val="21"/>
              </w:rPr>
              <w:t>健全污染</w:t>
            </w:r>
          </w:p>
          <w:p>
            <w:pPr>
              <w:widowControl/>
              <w:spacing w:line="320" w:lineRule="exact"/>
              <w:jc w:val="center"/>
              <w:rPr>
                <w:rFonts w:hint="eastAsia" w:ascii="Times New Roman" w:hAnsi="宋体"/>
                <w:color w:val="000000"/>
                <w:kern w:val="0"/>
                <w:szCs w:val="21"/>
              </w:rPr>
            </w:pPr>
            <w:r>
              <w:rPr>
                <w:rFonts w:ascii="Times New Roman" w:hAnsi="宋体"/>
                <w:color w:val="000000"/>
                <w:kern w:val="0"/>
                <w:szCs w:val="21"/>
              </w:rPr>
              <w:t>环境防治</w:t>
            </w:r>
          </w:p>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长效机制</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推动一般工业固体废物产生单位落实固体废物污染防治的主体责任，全面提升一般固废规范化管理水平。</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32</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建立工业固体废物管理台账制度，规范一般工业固体废物管理台账制定工作，鼓励企业填报电子台账。</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33</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推行一般工业污泥废物电子联单管理，加快工业固体废物和危险废物治理排污单位排污许可证核发，督促和指导企业全面落实固体废物排污许可事项和管理要求。</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二</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农业领域</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34</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提升农业绿色发展水平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强化测土配方，提升科学精准施肥水平。调整化肥使用结构，大力推广专用配方肥、缓控释肥、水溶性肥料等高效新型肥料。</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改进施肥方式，推广机械深施、侧身施肥、水肥一体化等技术，实行水肥耦合，建立一批化肥减量增效示范区。</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36</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提升农业绿色发展水平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完善市、县、镇三级病虫测报网络体系。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37</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开展农药减量增效专题培训及</w:t>
            </w:r>
            <w:r>
              <w:rPr>
                <w:rFonts w:ascii="Times New Roman" w:hAnsi="Times New Roman"/>
                <w:color w:val="000000"/>
                <w:kern w:val="0"/>
                <w:szCs w:val="21"/>
              </w:rPr>
              <w:t>“</w:t>
            </w:r>
            <w:r>
              <w:rPr>
                <w:rFonts w:ascii="Times New Roman" w:hAnsi="宋体"/>
                <w:color w:val="000000"/>
                <w:kern w:val="0"/>
                <w:szCs w:val="21"/>
              </w:rPr>
              <w:t>科学用药进万家行动</w:t>
            </w:r>
            <w:r>
              <w:rPr>
                <w:rFonts w:ascii="Times New Roman" w:hAnsi="Times New Roman"/>
                <w:color w:val="000000"/>
                <w:kern w:val="0"/>
                <w:szCs w:val="21"/>
              </w:rPr>
              <w:t>”</w:t>
            </w:r>
            <w:r>
              <w:rPr>
                <w:rFonts w:ascii="Times New Roman" w:hAnsi="宋体"/>
                <w:color w:val="000000"/>
                <w:kern w:val="0"/>
                <w:szCs w:val="21"/>
              </w:rPr>
              <w:t>，推行病虫害绿色防控与统防统治，高标准建设一批省（市、县）级绿色防控示范区（片、方）。</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38</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提高畜禽粪污资源化利用水平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鼓励结合高标准农田建设，配套建设田间粪肥贮液池、输送管网、喷灌等设施，解决粪肥还田</w:t>
            </w:r>
            <w:r>
              <w:rPr>
                <w:rFonts w:ascii="Times New Roman" w:hAnsi="Times New Roman"/>
                <w:color w:val="000000"/>
                <w:kern w:val="0"/>
                <w:szCs w:val="21"/>
              </w:rPr>
              <w:t>“</w:t>
            </w:r>
            <w:r>
              <w:rPr>
                <w:rFonts w:ascii="Times New Roman" w:hAnsi="宋体"/>
                <w:color w:val="000000"/>
                <w:kern w:val="0"/>
                <w:szCs w:val="21"/>
              </w:rPr>
              <w:t>最后一公里</w:t>
            </w:r>
            <w:r>
              <w:rPr>
                <w:rFonts w:ascii="Times New Roman" w:hAnsi="Times New Roman"/>
                <w:color w:val="000000"/>
                <w:kern w:val="0"/>
                <w:szCs w:val="21"/>
              </w:rPr>
              <w:t>”</w:t>
            </w:r>
            <w:r>
              <w:rPr>
                <w:rFonts w:ascii="Times New Roman" w:hAnsi="宋体"/>
                <w:color w:val="000000"/>
                <w:kern w:val="0"/>
                <w:szCs w:val="21"/>
              </w:rPr>
              <w:t>问题。</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39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支持已建养殖场按农地配套标准流转周边耕地实行规模种植，或与周边规模种植户建立粪肥消纳协作关系，构建完善畜禽养殖废弃物资源化利用长效机制。</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40</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优化完善病死畜禽无害化收集处理体系，建立</w:t>
            </w:r>
            <w:r>
              <w:rPr>
                <w:rFonts w:ascii="Times New Roman" w:hAnsi="Times New Roman"/>
                <w:color w:val="000000"/>
                <w:kern w:val="0"/>
                <w:szCs w:val="21"/>
              </w:rPr>
              <w:t>“</w:t>
            </w:r>
            <w:r>
              <w:rPr>
                <w:rFonts w:ascii="Times New Roman" w:hAnsi="宋体"/>
                <w:color w:val="000000"/>
                <w:kern w:val="0"/>
                <w:szCs w:val="21"/>
              </w:rPr>
              <w:t>统一收集、集中处理、保险联动</w:t>
            </w:r>
            <w:r>
              <w:rPr>
                <w:rFonts w:ascii="Times New Roman" w:hAnsi="Times New Roman"/>
                <w:color w:val="000000"/>
                <w:kern w:val="0"/>
                <w:szCs w:val="21"/>
              </w:rPr>
              <w:t>”</w:t>
            </w:r>
            <w:r>
              <w:rPr>
                <w:rFonts w:ascii="Times New Roman" w:hAnsi="宋体"/>
                <w:color w:val="000000"/>
                <w:kern w:val="0"/>
                <w:szCs w:val="21"/>
              </w:rPr>
              <w:t>的病死动物无害化处理机制。</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41</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加强秸秆</w:t>
            </w:r>
          </w:p>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收储运体系建设，提高秸秆综合</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利用水平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培育一批秸秆离田利用主体，到</w:t>
            </w:r>
            <w:r>
              <w:rPr>
                <w:rFonts w:ascii="Times New Roman" w:hAnsi="Times New Roman"/>
                <w:color w:val="000000"/>
                <w:kern w:val="0"/>
                <w:szCs w:val="21"/>
              </w:rPr>
              <w:t>2025</w:t>
            </w:r>
            <w:r>
              <w:rPr>
                <w:rFonts w:ascii="Times New Roman" w:hAnsi="宋体"/>
                <w:color w:val="000000"/>
                <w:kern w:val="0"/>
                <w:szCs w:val="21"/>
              </w:rPr>
              <w:t>年，全市水稻秸秆离田率大于</w:t>
            </w:r>
            <w:r>
              <w:rPr>
                <w:rFonts w:ascii="Times New Roman" w:hAnsi="Times New Roman"/>
                <w:color w:val="000000"/>
                <w:kern w:val="0"/>
                <w:szCs w:val="21"/>
              </w:rPr>
              <w:t>10%</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促进秸秆基料化和原料化，发展食用菌生产等秸秆基料，引导开发人造板材、包装材料等秸秆原料产品，提升秸秆综合利用附加值。</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43</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推进废旧农膜、农药包装废弃物回收处置</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建立健全农膜回收配套政策体系，到</w:t>
            </w:r>
            <w:r>
              <w:rPr>
                <w:rFonts w:ascii="Times New Roman" w:hAnsi="Times New Roman"/>
                <w:color w:val="000000"/>
                <w:kern w:val="0"/>
                <w:szCs w:val="21"/>
              </w:rPr>
              <w:t>2025</w:t>
            </w:r>
            <w:r>
              <w:rPr>
                <w:rFonts w:ascii="Times New Roman" w:hAnsi="宋体"/>
                <w:color w:val="000000"/>
                <w:kern w:val="0"/>
                <w:szCs w:val="21"/>
              </w:rPr>
              <w:t>年，全市废旧农膜回收率不小于</w:t>
            </w:r>
            <w:r>
              <w:rPr>
                <w:rFonts w:ascii="Times New Roman" w:hAnsi="Times New Roman"/>
                <w:color w:val="000000"/>
                <w:kern w:val="0"/>
                <w:szCs w:val="21"/>
              </w:rPr>
              <w:t>90%</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推动开展绿色农资经营示范点，建立健全农药包装废弃物回收、贮存、处置体系。</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探索农药生产者、经营者采取押金制、有偿回收等措施开展回收处置工作。到</w:t>
            </w:r>
            <w:r>
              <w:rPr>
                <w:rFonts w:ascii="Times New Roman" w:hAnsi="Times New Roman"/>
                <w:color w:val="000000"/>
                <w:kern w:val="0"/>
                <w:szCs w:val="21"/>
              </w:rPr>
              <w:t>2025</w:t>
            </w:r>
            <w:r>
              <w:rPr>
                <w:rFonts w:ascii="Times New Roman" w:hAnsi="宋体"/>
                <w:color w:val="000000"/>
                <w:kern w:val="0"/>
                <w:szCs w:val="21"/>
              </w:rPr>
              <w:t>年，全市农药包装废弃物回收覆盖率达</w:t>
            </w:r>
            <w:r>
              <w:rPr>
                <w:rFonts w:ascii="Times New Roman" w:hAnsi="Times New Roman"/>
                <w:color w:val="000000"/>
                <w:kern w:val="0"/>
                <w:szCs w:val="21"/>
              </w:rPr>
              <w:t>100%</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三</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生活领域</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46</w:t>
            </w:r>
          </w:p>
        </w:tc>
        <w:tc>
          <w:tcPr>
            <w:tcW w:w="462" w:type="pc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倡导绿色</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生活方式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积极引导公众践行简约适度、绿色低碳、文明健康的生活方式和消费模式。</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市发改委、市教育局、市机关事务局、市商务局、市文广旅局按职责分工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47</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倡导绿色</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生活方式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发展共享经济，鼓励二手商品交易市场发展，促进二手商品流通发展。</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市商务局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48</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推动公共机构无纸化办公，推行绿色商场，服务行业推广使用可循环利用物品，限制使用一次性用品。</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市机关事务局、市商务局按职责分工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49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以餐饮企业、酒店、机关事业单位和学校食堂为重点，创建绿色经营主体。</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市机关事务局、市教育局、市商务局、市文广旅局按职责分工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50</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建立机关食堂反食品浪费工作成效评估和通报制度，将反食品浪费纳入公共机构节约能源资源考核和节约型机关创建活动内容。</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宋体"/>
                <w:bCs/>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市发改委、市机关事务局按职责分工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51</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全面推进生活垃圾分类全覆盖</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构建城乡生活垃圾分类投放、分类收集、分类运输、分类处理体系。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加强生活垃圾分类投放行为的宣传和指导，规范垃圾分类投放方式，提升生活垃圾分类投放效果，确保有害垃圾单独投放，提高废玻璃、废塑料等低值可回收物、厨余垃圾的收集比例。</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53</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完善优化城乡生活垃圾收运模式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加快居民小区、单位、公共区域和农村的生活垃圾分类收集容器、箱房、桶站等设施设备建设和升级改造。</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有序推进新能源车和外形美观、密闭性好的车辆的广泛使用，完善有害垃圾暂存设施和运输能力。</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55</w:t>
            </w:r>
          </w:p>
        </w:tc>
        <w:tc>
          <w:tcPr>
            <w:tcW w:w="462" w:type="pct"/>
            <w:vMerge w:val="restar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提高生活垃圾处置利用能力</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推广城乡生活垃圾可回收物利用、焚烧发电、生物处理等资源化方式，到</w:t>
            </w:r>
            <w:r>
              <w:rPr>
                <w:rFonts w:ascii="Times New Roman" w:hAnsi="Times New Roman"/>
                <w:color w:val="000000"/>
                <w:kern w:val="0"/>
                <w:szCs w:val="21"/>
              </w:rPr>
              <w:t>2025</w:t>
            </w:r>
            <w:r>
              <w:rPr>
                <w:rFonts w:ascii="Times New Roman" w:hAnsi="宋体"/>
                <w:color w:val="000000"/>
                <w:kern w:val="0"/>
                <w:szCs w:val="21"/>
              </w:rPr>
              <w:t>年，城市生活垃圾回收利用率达</w:t>
            </w:r>
            <w:r>
              <w:rPr>
                <w:rFonts w:ascii="Times New Roman" w:hAnsi="Times New Roman"/>
                <w:color w:val="000000"/>
                <w:kern w:val="0"/>
                <w:szCs w:val="21"/>
              </w:rPr>
              <w:t>35%</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56</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推进水泥窑协同处置生活垃圾项目落地，金坛焚烧发电项目二期、夹山垃圾</w:t>
            </w:r>
            <w:r>
              <w:rPr>
                <w:rFonts w:hint="eastAsia" w:ascii="Times New Roman" w:hAnsi="宋体"/>
                <w:color w:val="000000"/>
                <w:kern w:val="0"/>
                <w:szCs w:val="21"/>
              </w:rPr>
              <w:t>焚</w:t>
            </w:r>
            <w:r>
              <w:rPr>
                <w:rFonts w:ascii="Times New Roman" w:hAnsi="宋体"/>
                <w:color w:val="000000"/>
                <w:kern w:val="0"/>
                <w:szCs w:val="21"/>
              </w:rPr>
              <w:t>烧发电一期项目实施。到</w:t>
            </w:r>
            <w:r>
              <w:rPr>
                <w:rFonts w:ascii="Times New Roman" w:hAnsi="Times New Roman"/>
                <w:color w:val="000000"/>
                <w:kern w:val="0"/>
                <w:szCs w:val="21"/>
              </w:rPr>
              <w:t>2025</w:t>
            </w:r>
            <w:r>
              <w:rPr>
                <w:rFonts w:ascii="Times New Roman" w:hAnsi="宋体"/>
                <w:color w:val="000000"/>
                <w:kern w:val="0"/>
                <w:szCs w:val="21"/>
              </w:rPr>
              <w:t>年，原生生活垃圾实现零填埋。</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2025</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57</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开展金坛区沈渎垃圾填埋场封场工程。</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2024</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58</w:t>
            </w:r>
          </w:p>
        </w:tc>
        <w:tc>
          <w:tcPr>
            <w:tcW w:w="462" w:type="pct"/>
            <w:vMerge w:val="continue"/>
            <w:noWrap w:val="0"/>
            <w:vAlign w:val="center"/>
          </w:tcPr>
          <w:p>
            <w:pPr>
              <w:widowControl/>
              <w:spacing w:line="320" w:lineRule="exact"/>
              <w:jc w:val="center"/>
              <w:rPr>
                <w:rFonts w:ascii="Times New Roman" w:hAnsi="Times New Roman"/>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开展溧阳市生活垃圾填埋场封场及生态修复。</w:t>
            </w:r>
          </w:p>
        </w:tc>
        <w:tc>
          <w:tcPr>
            <w:tcW w:w="367" w:type="pct"/>
            <w:noWrap w:val="0"/>
            <w:vAlign w:val="center"/>
          </w:tcPr>
          <w:p>
            <w:pPr>
              <w:widowControl/>
              <w:spacing w:line="320" w:lineRule="exact"/>
              <w:ind w:left="-50" w:right="-50"/>
              <w:jc w:val="center"/>
              <w:rPr>
                <w:rFonts w:ascii="Times New Roman" w:hAnsi="Times New Roman"/>
                <w:bCs/>
                <w:color w:val="000000"/>
                <w:kern w:val="0"/>
                <w:szCs w:val="21"/>
              </w:rPr>
            </w:pPr>
            <w:r>
              <w:rPr>
                <w:rFonts w:ascii="Times New Roman" w:hAnsi="Times New Roman"/>
                <w:bCs/>
                <w:color w:val="000000"/>
                <w:kern w:val="0"/>
                <w:szCs w:val="21"/>
              </w:rPr>
              <w:t>2022</w:t>
            </w:r>
            <w:r>
              <w:rPr>
                <w:rFonts w:ascii="Times New Roman" w:hAnsi="宋体"/>
                <w:bCs/>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59</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提高餐厨垃圾资源化利用水平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改进加工工艺和文明用餐等方式，减少餐厨废弃物的产生量。推动将餐厨废弃物的管理工作纳入餐饮企业等级评定范围。</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市城管局、市工商联合会按职责分工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60</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加强餐厨垃圾资源化利用，健全收集、运输、处置、资源化利用一体化运行的管理模式，完善餐厨废弃物收集、运输、处置台账制度和联单制度。</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61</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推进餐厨垃圾处置项目技术改造。</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62</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加强污泥全过程管控与资源化利用水平</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推进工业污水进入市政污水收集设施的评估与不合规企业的退出。</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63</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强化运输储存管理，全面落实市政污泥转移电子联单制度。</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拓宽污水处理厂污泥综合利用途径，构建以焚烧发电、焚烧灰渣建材化的多途径污泥处置模式。</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市住建局、市生态环境局、市城管局按职责分工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将污泥综合利用纳入静脉产业园建设，引进淤泥固化、干化、土壤化等先进技术和设备，协同推进餐厨污泥、河道淤泥与污水厂污泥资源化利用。</w:t>
            </w:r>
          </w:p>
        </w:tc>
        <w:tc>
          <w:tcPr>
            <w:tcW w:w="367" w:type="pct"/>
            <w:noWrap/>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市住建局、市水利局、市生态环境局、市城管局按职责分工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66</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完善绿化废弃物收运处理体系建设</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基本建成全市园林绿化废弃物处理利用治理体系。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33"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67</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统筹布局绿化废弃物收集、处置和资源化利用设施，鼓励各区域结合景区、大型公园等配置园林垃圾就地处理设施，就地进行粉碎、腐熟后再用于绿地裸露土地覆盖和肥料等用途。到</w:t>
            </w:r>
            <w:r>
              <w:rPr>
                <w:rFonts w:ascii="Times New Roman" w:hAnsi="Times New Roman"/>
                <w:color w:val="000000"/>
                <w:kern w:val="0"/>
                <w:szCs w:val="21"/>
              </w:rPr>
              <w:t>2025</w:t>
            </w:r>
            <w:r>
              <w:rPr>
                <w:rFonts w:ascii="Times New Roman" w:hAnsi="宋体"/>
                <w:color w:val="000000"/>
                <w:kern w:val="0"/>
                <w:szCs w:val="21"/>
              </w:rPr>
              <w:t>年，园林绿化废弃物综合利用率达</w:t>
            </w:r>
            <w:r>
              <w:rPr>
                <w:rFonts w:ascii="Times New Roman" w:hAnsi="Times New Roman"/>
                <w:color w:val="000000"/>
                <w:kern w:val="0"/>
                <w:szCs w:val="21"/>
              </w:rPr>
              <w:t>95%</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9"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68</w:t>
            </w:r>
          </w:p>
        </w:tc>
        <w:tc>
          <w:tcPr>
            <w:tcW w:w="462" w:type="pc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加强塑料</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污染治理</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落实国家有关禁止、限制部分塑料制品的生产、销售和使用的规定，推广使用易降解、能回收、可循环利用的替代产品，建立健全塑料制品生产、流通、使用、回收处置等管理制度，协同有序推进全市塑料污染治理。到</w:t>
            </w:r>
            <w:r>
              <w:rPr>
                <w:rFonts w:ascii="Times New Roman" w:hAnsi="Times New Roman"/>
                <w:color w:val="000000"/>
                <w:kern w:val="0"/>
                <w:szCs w:val="21"/>
              </w:rPr>
              <w:t>2025</w:t>
            </w:r>
            <w:r>
              <w:rPr>
                <w:rFonts w:ascii="Times New Roman" w:hAnsi="宋体"/>
                <w:color w:val="000000"/>
                <w:kern w:val="0"/>
                <w:szCs w:val="21"/>
              </w:rPr>
              <w:t>年，基本建立塑料污染治理长效机制。</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市发改委、市生态环境局、市商务局按职责分工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69</w:t>
            </w:r>
          </w:p>
        </w:tc>
        <w:tc>
          <w:tcPr>
            <w:tcW w:w="462" w:type="pc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推动使用快递绿色包装</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推进快递包装标准化、减量化、可循环、降低电商快件二次包装比例，减少使用不可降解塑料胶带，可循环快递包装实现规模化应用。</w:t>
            </w:r>
            <w:r>
              <w:rPr>
                <w:rFonts w:ascii="Times New Roman" w:hAnsi="Times New Roman"/>
                <w:color w:val="000000"/>
                <w:kern w:val="0"/>
                <w:szCs w:val="21"/>
              </w:rPr>
              <w:t>2025</w:t>
            </w:r>
            <w:r>
              <w:rPr>
                <w:rFonts w:ascii="Times New Roman" w:hAnsi="宋体"/>
                <w:color w:val="000000"/>
                <w:kern w:val="0"/>
                <w:szCs w:val="21"/>
              </w:rPr>
              <w:t>年，快递绿色包装使用比例大于</w:t>
            </w:r>
            <w:r>
              <w:rPr>
                <w:rFonts w:ascii="Times New Roman" w:hAnsi="Times New Roman"/>
                <w:color w:val="000000"/>
                <w:kern w:val="0"/>
                <w:szCs w:val="21"/>
              </w:rPr>
              <w:t>60%</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市邮政局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70</w:t>
            </w:r>
          </w:p>
        </w:tc>
        <w:tc>
          <w:tcPr>
            <w:tcW w:w="462" w:type="pct"/>
            <w:vMerge w:val="restart"/>
            <w:noWrap w:val="0"/>
            <w:vAlign w:val="center"/>
          </w:tcPr>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完善再生</w:t>
            </w:r>
          </w:p>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资源回收</w:t>
            </w:r>
          </w:p>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体系建设</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引导再生资源回收站规范经营，推动建设再生资源（可回收物）分拣中心。</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市商务局、市城管局、市供销社等按职责分工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71</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鼓励再生资源回收企业加强与属地政府合作，建立在线交易平台，完善线下回收网点，加大智能再生资源回收设备，实现线上线下有机结合。</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市商务局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72</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支持和培育专业化的分拣加工龙头企业，提高再生资源规范化回收利用水平。到</w:t>
            </w:r>
            <w:r>
              <w:rPr>
                <w:rFonts w:ascii="Times New Roman" w:hAnsi="Times New Roman"/>
                <w:color w:val="000000"/>
                <w:kern w:val="0"/>
                <w:szCs w:val="21"/>
              </w:rPr>
              <w:t>2025</w:t>
            </w:r>
            <w:r>
              <w:rPr>
                <w:rFonts w:ascii="Times New Roman" w:hAnsi="宋体"/>
                <w:color w:val="000000"/>
                <w:kern w:val="0"/>
                <w:szCs w:val="21"/>
              </w:rPr>
              <w:t>年，再生资源回收量增长率达</w:t>
            </w:r>
            <w:r>
              <w:rPr>
                <w:rFonts w:ascii="Times New Roman" w:hAnsi="Times New Roman"/>
                <w:color w:val="000000"/>
                <w:kern w:val="0"/>
                <w:szCs w:val="21"/>
              </w:rPr>
              <w:t>3%</w:t>
            </w:r>
            <w:r>
              <w:rPr>
                <w:rFonts w:ascii="Times New Roman" w:hAnsi="宋体"/>
                <w:color w:val="000000"/>
                <w:kern w:val="0"/>
                <w:szCs w:val="21"/>
              </w:rPr>
              <w:t>。</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市商务局、市城管局按职责分工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73</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推动再生资源回收利用体系与生活垃圾收运体系实现</w:t>
            </w:r>
            <w:r>
              <w:rPr>
                <w:rFonts w:ascii="Times New Roman" w:hAnsi="Times New Roman"/>
                <w:color w:val="000000"/>
                <w:kern w:val="0"/>
                <w:szCs w:val="21"/>
              </w:rPr>
              <w:t>“</w:t>
            </w:r>
            <w:r>
              <w:rPr>
                <w:rFonts w:ascii="Times New Roman" w:hAnsi="宋体"/>
                <w:color w:val="000000"/>
                <w:kern w:val="0"/>
                <w:szCs w:val="21"/>
              </w:rPr>
              <w:t>两网融合</w:t>
            </w:r>
            <w:r>
              <w:rPr>
                <w:rFonts w:ascii="Times New Roman" w:hAnsi="Times New Roman"/>
                <w:color w:val="000000"/>
                <w:kern w:val="0"/>
                <w:szCs w:val="21"/>
              </w:rPr>
              <w:t>”</w:t>
            </w:r>
            <w:r>
              <w:rPr>
                <w:rFonts w:ascii="Times New Roman" w:hAnsi="宋体"/>
                <w:color w:val="000000"/>
                <w:kern w:val="0"/>
                <w:szCs w:val="21"/>
              </w:rPr>
              <w:t>。</w:t>
            </w:r>
          </w:p>
        </w:tc>
        <w:tc>
          <w:tcPr>
            <w:tcW w:w="367" w:type="pct"/>
            <w:noWrap/>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市商务局、市城管局按职责分工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74</w:t>
            </w:r>
          </w:p>
        </w:tc>
        <w:tc>
          <w:tcPr>
            <w:tcW w:w="462" w:type="pct"/>
            <w:noWrap w:val="0"/>
            <w:vAlign w:val="center"/>
          </w:tcPr>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提高产品类废物资源化利用水平</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推进家电拆解示范项目、报废汽车拆解项目，推动废旧汽车拆解企业集约化发展。支持动力电池企业低碳发展需求，打造废旧电池回收与动力电池材料产品回收网络与再利用产业链。</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市商务局、市生态环境局、市供销社等按职责分工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宋体"/>
                <w:color w:val="000000"/>
                <w:kern w:val="0"/>
                <w:szCs w:val="21"/>
              </w:rPr>
              <w:t>四</w:t>
            </w:r>
          </w:p>
        </w:tc>
        <w:tc>
          <w:tcPr>
            <w:tcW w:w="3443" w:type="pct"/>
            <w:gridSpan w:val="2"/>
            <w:noWrap w:val="0"/>
            <w:vAlign w:val="center"/>
          </w:tcPr>
          <w:p>
            <w:pPr>
              <w:widowControl/>
              <w:spacing w:line="300" w:lineRule="exact"/>
              <w:jc w:val="center"/>
              <w:rPr>
                <w:rFonts w:ascii="Times New Roman" w:hAnsi="Times New Roman"/>
                <w:color w:val="000000"/>
                <w:kern w:val="0"/>
                <w:szCs w:val="21"/>
              </w:rPr>
            </w:pPr>
            <w:r>
              <w:rPr>
                <w:rFonts w:ascii="Times New Roman" w:hAnsi="宋体"/>
                <w:color w:val="000000"/>
                <w:kern w:val="0"/>
                <w:szCs w:val="21"/>
              </w:rPr>
              <w:t>建筑领域</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p>
        </w:tc>
        <w:tc>
          <w:tcPr>
            <w:tcW w:w="971" w:type="pct"/>
            <w:noWrap w:val="0"/>
            <w:vAlign w:val="center"/>
          </w:tcPr>
          <w:p>
            <w:pPr>
              <w:widowControl/>
              <w:spacing w:line="30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75</w:t>
            </w:r>
          </w:p>
        </w:tc>
        <w:tc>
          <w:tcPr>
            <w:tcW w:w="462" w:type="pct"/>
            <w:vMerge w:val="restart"/>
            <w:noWrap w:val="0"/>
            <w:vAlign w:val="center"/>
          </w:tcPr>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建筑垃圾</w:t>
            </w:r>
          </w:p>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源头减量</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推动施工单位编制施工现场建筑垃圾减量化专项方案，提出源头减量、分类管理、就地处置、排放控制的具体措施。</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76</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优先选用绿色建材，推广绿色施工，实行全装修交付，减少施工现场建筑垃圾的产生。</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77</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大力发展装配式建筑，积极推进装配化装修，鼓励商品住宅应用装配化装修技术。</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78</w:t>
            </w:r>
          </w:p>
        </w:tc>
        <w:tc>
          <w:tcPr>
            <w:tcW w:w="462" w:type="pct"/>
            <w:vMerge w:val="restart"/>
            <w:noWrap w:val="0"/>
            <w:vAlign w:val="center"/>
          </w:tcPr>
          <w:p>
            <w:pPr>
              <w:widowControl/>
              <w:spacing w:line="300" w:lineRule="exact"/>
              <w:jc w:val="center"/>
              <w:rPr>
                <w:rFonts w:hint="eastAsia" w:ascii="Times New Roman" w:hAnsi="宋体"/>
                <w:bCs/>
                <w:color w:val="000000"/>
                <w:kern w:val="0"/>
                <w:szCs w:val="21"/>
              </w:rPr>
            </w:pPr>
            <w:r>
              <w:rPr>
                <w:rFonts w:ascii="Times New Roman" w:hAnsi="宋体"/>
                <w:bCs/>
                <w:color w:val="000000"/>
                <w:kern w:val="0"/>
                <w:szCs w:val="21"/>
              </w:rPr>
              <w:t>建筑垃圾</w:t>
            </w:r>
          </w:p>
          <w:p>
            <w:pPr>
              <w:widowControl/>
              <w:spacing w:line="300" w:lineRule="exact"/>
              <w:jc w:val="center"/>
              <w:rPr>
                <w:rFonts w:ascii="Times New Roman" w:hAnsi="Times New Roman"/>
                <w:bCs/>
                <w:color w:val="000000"/>
                <w:kern w:val="0"/>
                <w:szCs w:val="21"/>
              </w:rPr>
            </w:pPr>
            <w:r>
              <w:rPr>
                <w:rFonts w:ascii="Times New Roman" w:hAnsi="宋体"/>
                <w:bCs/>
                <w:color w:val="000000"/>
                <w:kern w:val="0"/>
                <w:szCs w:val="21"/>
              </w:rPr>
              <w:t>综合利用</w:t>
            </w: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合理规划布局建筑垃圾收运设施、资源化利用设施及消纳设施。</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79</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鼓励建设（征收实施）单位采取直接回用、绿化回填、堆景造景、土地平整、修路筑基等方式进行建筑垃圾综合利用。</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80</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鼓励在市政道路、园林绿化等基础设施建设中以及政府投资建设的工程项目中优先使用建筑垃圾再生产品。</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81</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将符合标准的再生建材列入绿色建材目录和政府采购目录。</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市财政局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19" w:type="pct"/>
            <w:noWrap w:val="0"/>
            <w:vAlign w:val="center"/>
          </w:tcPr>
          <w:p>
            <w:pPr>
              <w:widowControl/>
              <w:spacing w:line="300" w:lineRule="exact"/>
              <w:jc w:val="center"/>
              <w:rPr>
                <w:rFonts w:ascii="Times New Roman" w:hAnsi="Times New Roman"/>
                <w:color w:val="000000"/>
                <w:kern w:val="0"/>
                <w:szCs w:val="21"/>
              </w:rPr>
            </w:pPr>
            <w:r>
              <w:rPr>
                <w:rFonts w:ascii="Times New Roman" w:hAnsi="Times New Roman"/>
                <w:color w:val="000000"/>
                <w:kern w:val="0"/>
                <w:szCs w:val="21"/>
              </w:rPr>
              <w:t>82</w:t>
            </w:r>
          </w:p>
        </w:tc>
        <w:tc>
          <w:tcPr>
            <w:tcW w:w="462" w:type="pct"/>
            <w:vMerge w:val="continue"/>
            <w:noWrap w:val="0"/>
            <w:vAlign w:val="center"/>
          </w:tcPr>
          <w:p>
            <w:pPr>
              <w:widowControl/>
              <w:spacing w:line="300" w:lineRule="exact"/>
              <w:jc w:val="center"/>
              <w:rPr>
                <w:rFonts w:ascii="Times New Roman" w:hAnsi="Times New Roman"/>
                <w:bCs/>
                <w:color w:val="000000"/>
                <w:kern w:val="0"/>
                <w:szCs w:val="21"/>
              </w:rPr>
            </w:pPr>
          </w:p>
        </w:tc>
        <w:tc>
          <w:tcPr>
            <w:tcW w:w="298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支持建设建筑垃圾高值化利用生产线，推动建筑垃圾生产骨料、砌块砖、装配式墙体等高值化产品。</w:t>
            </w:r>
          </w:p>
        </w:tc>
        <w:tc>
          <w:tcPr>
            <w:tcW w:w="367" w:type="pct"/>
            <w:noWrap w:val="0"/>
            <w:vAlign w:val="center"/>
          </w:tcPr>
          <w:p>
            <w:pPr>
              <w:widowControl/>
              <w:spacing w:line="30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00" w:lineRule="exact"/>
              <w:rPr>
                <w:rFonts w:ascii="Times New Roman" w:hAnsi="Times New Roman"/>
                <w:color w:val="000000"/>
                <w:kern w:val="0"/>
                <w:szCs w:val="21"/>
              </w:rPr>
            </w:pPr>
            <w:r>
              <w:rPr>
                <w:rFonts w:ascii="Times New Roman" w:hAnsi="宋体"/>
                <w:color w:val="000000"/>
                <w:kern w:val="0"/>
                <w:szCs w:val="21"/>
              </w:rPr>
              <w:t>市城管局、市住建局按职责分工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83</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建筑垃圾</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全过程管理制度体系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强化建筑垃圾堆场监管排查，建立建筑垃圾分类收集与存放管理制度，加强建筑垃圾排放管理。</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完善建筑垃圾运输企业名录管理制度，加强建筑垃圾运输管理。</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市城管局、市交通局按职责分工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推行联单制度，实施互联互通、实时监控和信息共享。</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市城管局、市住建局、市交通局按职责分工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五</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危险废物</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86</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源头减量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推动产业结构优化调整，从项目准入、淘汰落后、技改升级等途径，减少危险废物产生。</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市工信局、市发改委、市生态环境局按职责分工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87</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强化危险废物申报和台账管理。</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88</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推动清洁生产，依法开展强制性清洁生产审核。</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89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鼓励企业自愿开展清洁生产审核。</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90</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支持研发、推广减少工业危险废物产生量和降低工业危险废物危害性的生产工艺和设备。</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91</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健全危险</w:t>
            </w:r>
          </w:p>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废物集中</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收集体系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完善小微危险废物集中收集体系，加强小微危废收集贮存试点项目管理，健全收集网络，实现小微企业危废收集网络和类别两个全覆盖。</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市生态环境局、市教育局、市工信局按职责分工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以废活性炭为试点，开展工业园区危险废物集中收集贮存和</w:t>
            </w:r>
            <w:r>
              <w:rPr>
                <w:rFonts w:ascii="Times New Roman" w:hAnsi="Times New Roman"/>
                <w:color w:val="000000"/>
                <w:kern w:val="0"/>
                <w:szCs w:val="21"/>
              </w:rPr>
              <w:t>“</w:t>
            </w:r>
            <w:r>
              <w:rPr>
                <w:rFonts w:ascii="Times New Roman" w:hAnsi="宋体"/>
                <w:color w:val="000000"/>
                <w:kern w:val="0"/>
                <w:szCs w:val="21"/>
              </w:rPr>
              <w:t>点对点</w:t>
            </w:r>
            <w:r>
              <w:rPr>
                <w:rFonts w:ascii="Times New Roman" w:hAnsi="Times New Roman"/>
                <w:color w:val="000000"/>
                <w:kern w:val="0"/>
                <w:szCs w:val="21"/>
              </w:rPr>
              <w:t>”</w:t>
            </w:r>
            <w:r>
              <w:rPr>
                <w:rFonts w:ascii="Times New Roman" w:hAnsi="宋体"/>
                <w:color w:val="000000"/>
                <w:kern w:val="0"/>
                <w:szCs w:val="21"/>
              </w:rPr>
              <w:t>利用工作，总结经验并推广至其他危废品种。</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93</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推进生产者责任延伸，依托生产商的营销网络建立逆向回收体系，铅酸蓄电池生产企业、进口商按照规定通过自建回收体系或与社会回收体系合作等方式，建立规范的回收利用体系。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市发改委、市市场监管局按职责分工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建成一批区级有害垃圾暂存站，完善有害垃圾收集贮存体系。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95</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加强工业</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危险废物资源化利用和处置保障</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鼓励企业开展含铜危险废物、工业污泥资源化利用技术的研发与应用，着力解决含铜危险废物、工业污泥利用能力结构性短板。</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市生态环境局、市科技局按职责分工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96</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落实</w:t>
            </w:r>
            <w:r>
              <w:rPr>
                <w:rFonts w:ascii="Times New Roman" w:hAnsi="Times New Roman"/>
                <w:color w:val="000000"/>
                <w:kern w:val="0"/>
                <w:szCs w:val="21"/>
              </w:rPr>
              <w:t>“</w:t>
            </w:r>
            <w:r>
              <w:rPr>
                <w:rFonts w:ascii="Times New Roman" w:hAnsi="宋体"/>
                <w:color w:val="000000"/>
                <w:kern w:val="0"/>
                <w:szCs w:val="21"/>
              </w:rPr>
              <w:t>放管服</w:t>
            </w:r>
            <w:r>
              <w:rPr>
                <w:rFonts w:ascii="Times New Roman" w:hAnsi="Times New Roman"/>
                <w:color w:val="000000"/>
                <w:kern w:val="0"/>
                <w:szCs w:val="21"/>
              </w:rPr>
              <w:t>”</w:t>
            </w:r>
            <w:r>
              <w:rPr>
                <w:rFonts w:ascii="Times New Roman" w:hAnsi="宋体"/>
                <w:color w:val="000000"/>
                <w:kern w:val="0"/>
                <w:szCs w:val="21"/>
              </w:rPr>
              <w:t>改革要求，鼓励采取多元投资和市场化方式建设规模化危险废物利用设施。</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97</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水泥窑协同处置污泥类、焚烧飞灰、残渣类、污染土壤等性质稳定的固态半固态危险废物，支持生活垃圾焚烧飞灰、危险废物焚烧灰渣等次生废物的非填埋处置路径技术研发和项目推广，推动建设水泥窑协同处置生活垃圾焚烧飞灰项目。</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市生态环境局、市发改委、市城管局、市卫健委按职责分工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98</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医疗危险废物处置与应急处置协调机制</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加快提升医疗废弃物集中处理设施，推动建设医疗废物等离子体处置项目，</w:t>
            </w:r>
            <w:r>
              <w:rPr>
                <w:rFonts w:ascii="Times New Roman" w:hAnsi="Times New Roman"/>
                <w:color w:val="000000"/>
                <w:kern w:val="0"/>
                <w:szCs w:val="21"/>
              </w:rPr>
              <w:t>2023</w:t>
            </w:r>
            <w:r>
              <w:rPr>
                <w:rFonts w:ascii="Times New Roman" w:hAnsi="宋体"/>
                <w:color w:val="000000"/>
                <w:kern w:val="0"/>
                <w:szCs w:val="21"/>
              </w:rPr>
              <w:t>年底前，各辖市区均建成医疗废物收集转运处置体系。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2023</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市卫健委、市生态环境局、市发改委按职责分工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99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完善应急处置协调机制，统筹应急处置设施资源，做到医疗废物处置能力适度富余，能够满足疫情期间实际需求。</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市生态环境局、市卫健委、市交通局按职责分工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100</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数字监管与风险防控</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推进危险废弃物鉴定能力建设。</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101</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落实危险废物申报登记、转移联单、经营许可、应急预案备案等各项管理制度，并逐步推进小微企业纳入管理。</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依法加强道路运输安全管理，及时通过数字化手段掌握危险废物流向，提升危险废物风险防控水平。</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市生态环境局、市公安局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六</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常州特色</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103</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打造城乡</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有机废弃物协同处理耦合利用体系建设</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健全有机废弃物收储运体系。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市生态环境局、市科技局、市财政局、市住建局、市城管局、市水利局、市农业农村局按职责分工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强化有机废弃物处理利用科技支撑，探索农村有机易腐垃圾就地生态处理，探索开展农村沼气发电与市政污泥、藻泥协同干化，再焚烧发电的循环利用体系。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60"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105</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打造城乡</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有机废弃物协同处理耦合利用体系建设</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完善有机废弃物资源化利用技术规范和产品标准体系，健全有机废弃物处理利用联动合作机制。</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市科技局、市生态环境局、市住建局、市城管局、市水利局、市农业农村局按职责分工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8"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106</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建立财政资金引导、社会资本为主的多元化市场运作模式。</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市生态环境局、市科技局、市财政局、市住建局、市城管局、市水利局、市农业农村局按职责分工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2"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107</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创新工业行业固体废物治理模式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开展化工园区固体废物综合整治试点，做好关闭退出企业</w:t>
            </w:r>
            <w:r>
              <w:rPr>
                <w:rFonts w:ascii="Times New Roman" w:hAnsi="Times New Roman"/>
                <w:color w:val="000000"/>
                <w:kern w:val="0"/>
                <w:szCs w:val="21"/>
              </w:rPr>
              <w:t>“</w:t>
            </w:r>
            <w:r>
              <w:rPr>
                <w:rFonts w:ascii="Times New Roman" w:hAnsi="宋体"/>
                <w:color w:val="000000"/>
                <w:kern w:val="0"/>
                <w:szCs w:val="21"/>
              </w:rPr>
              <w:t>两断三清</w:t>
            </w:r>
            <w:r>
              <w:rPr>
                <w:rFonts w:ascii="Times New Roman" w:hAnsi="Times New Roman"/>
                <w:color w:val="000000"/>
                <w:kern w:val="0"/>
                <w:szCs w:val="21"/>
              </w:rPr>
              <w:t>”</w:t>
            </w:r>
            <w:r>
              <w:rPr>
                <w:rFonts w:ascii="Times New Roman" w:hAnsi="宋体"/>
                <w:color w:val="000000"/>
                <w:kern w:val="0"/>
                <w:szCs w:val="21"/>
              </w:rPr>
              <w:t>，落实各类废料、废物的规范化处理处置，有效管控风险。</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108</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推动滨江经济开发区等重点园区开展</w:t>
            </w:r>
            <w:r>
              <w:rPr>
                <w:rFonts w:ascii="Times New Roman" w:hAnsi="Times New Roman"/>
                <w:color w:val="000000"/>
                <w:kern w:val="0"/>
                <w:szCs w:val="21"/>
              </w:rPr>
              <w:t>“</w:t>
            </w:r>
            <w:r>
              <w:rPr>
                <w:rFonts w:ascii="Times New Roman" w:hAnsi="宋体"/>
                <w:color w:val="000000"/>
                <w:kern w:val="0"/>
                <w:szCs w:val="21"/>
              </w:rPr>
              <w:t>无废园区</w:t>
            </w:r>
            <w:r>
              <w:rPr>
                <w:rFonts w:ascii="Times New Roman" w:hAnsi="Times New Roman"/>
                <w:color w:val="000000"/>
                <w:kern w:val="0"/>
                <w:szCs w:val="21"/>
              </w:rPr>
              <w:t>”</w:t>
            </w:r>
            <w:r>
              <w:rPr>
                <w:rFonts w:ascii="Times New Roman" w:hAnsi="宋体"/>
                <w:color w:val="000000"/>
                <w:kern w:val="0"/>
                <w:szCs w:val="21"/>
              </w:rPr>
              <w:t>建设，编制</w:t>
            </w:r>
            <w:r>
              <w:rPr>
                <w:rFonts w:ascii="Times New Roman" w:hAnsi="Times New Roman"/>
                <w:color w:val="000000"/>
                <w:kern w:val="0"/>
                <w:szCs w:val="21"/>
              </w:rPr>
              <w:t>“</w:t>
            </w:r>
            <w:r>
              <w:rPr>
                <w:rFonts w:ascii="Times New Roman" w:hAnsi="宋体"/>
                <w:color w:val="000000"/>
                <w:kern w:val="0"/>
                <w:szCs w:val="21"/>
              </w:rPr>
              <w:t>无废园区</w:t>
            </w:r>
            <w:r>
              <w:rPr>
                <w:rFonts w:ascii="Times New Roman" w:hAnsi="Times New Roman"/>
                <w:color w:val="000000"/>
                <w:kern w:val="0"/>
                <w:szCs w:val="21"/>
              </w:rPr>
              <w:t>”</w:t>
            </w:r>
            <w:r>
              <w:rPr>
                <w:rFonts w:ascii="Times New Roman" w:hAnsi="宋体"/>
                <w:color w:val="000000"/>
                <w:kern w:val="0"/>
                <w:szCs w:val="21"/>
              </w:rPr>
              <w:t>建设方案。</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109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推动电镀、印染集聚区及配套污泥资源化利用工程建设，实现传统产业集聚、填补行业固、危废资源化利用空白。</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市生态环境局、市发改委、市工信局按职责分工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6"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110</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推动建设钟楼区静脉产业园、夹山静脉产业园区项目，引进补链企业和静脉企业，强化产业间的耦合共生关系。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市发改委、市工信局、市生态环境局按职责分工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0"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111</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推进小微企业危险废物处置第三方治理模式，打通固废处置渠道，解决中小微企业危废处置难、处置贵的</w:t>
            </w:r>
            <w:r>
              <w:rPr>
                <w:rFonts w:ascii="Times New Roman" w:hAnsi="Times New Roman"/>
                <w:color w:val="000000"/>
                <w:kern w:val="0"/>
                <w:szCs w:val="21"/>
              </w:rPr>
              <w:t>“</w:t>
            </w:r>
            <w:r>
              <w:rPr>
                <w:rFonts w:ascii="Times New Roman" w:hAnsi="宋体"/>
                <w:color w:val="000000"/>
                <w:kern w:val="0"/>
                <w:szCs w:val="21"/>
              </w:rPr>
              <w:t>老大难</w:t>
            </w:r>
            <w:r>
              <w:rPr>
                <w:rFonts w:ascii="Times New Roman" w:hAnsi="Times New Roman"/>
                <w:color w:val="000000"/>
                <w:kern w:val="0"/>
                <w:szCs w:val="21"/>
              </w:rPr>
              <w:t>”</w:t>
            </w:r>
            <w:r>
              <w:rPr>
                <w:rFonts w:ascii="Times New Roman" w:hAnsi="宋体"/>
                <w:color w:val="000000"/>
                <w:kern w:val="0"/>
                <w:szCs w:val="21"/>
              </w:rPr>
              <w:t>问题。</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112</w:t>
            </w:r>
          </w:p>
        </w:tc>
        <w:tc>
          <w:tcPr>
            <w:tcW w:w="462" w:type="pc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打造常州特色无废循环发展产业链</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打造</w:t>
            </w:r>
            <w:r>
              <w:rPr>
                <w:rFonts w:ascii="Times New Roman" w:hAnsi="Times New Roman"/>
                <w:color w:val="000000"/>
                <w:kern w:val="0"/>
                <w:szCs w:val="21"/>
              </w:rPr>
              <w:t>“</w:t>
            </w:r>
            <w:r>
              <w:rPr>
                <w:rFonts w:ascii="Times New Roman" w:hAnsi="宋体"/>
                <w:color w:val="000000"/>
                <w:kern w:val="0"/>
                <w:szCs w:val="21"/>
              </w:rPr>
              <w:t>锂都</w:t>
            </w:r>
            <w:r>
              <w:rPr>
                <w:rFonts w:ascii="Times New Roman" w:hAnsi="Times New Roman"/>
                <w:color w:val="000000"/>
                <w:kern w:val="0"/>
                <w:szCs w:val="21"/>
              </w:rPr>
              <w:t>”</w:t>
            </w:r>
            <w:r>
              <w:rPr>
                <w:rFonts w:ascii="Times New Roman" w:hAnsi="宋体"/>
                <w:color w:val="000000"/>
                <w:kern w:val="0"/>
                <w:szCs w:val="21"/>
              </w:rPr>
              <w:t>新能源无废循环发展产业链。围绕动力电池产业开展强链延链补链，打造</w:t>
            </w:r>
            <w:r>
              <w:rPr>
                <w:rFonts w:ascii="Times New Roman" w:hAnsi="Times New Roman"/>
                <w:color w:val="000000"/>
                <w:kern w:val="0"/>
                <w:szCs w:val="21"/>
              </w:rPr>
              <w:t>“</w:t>
            </w:r>
            <w:r>
              <w:rPr>
                <w:rFonts w:ascii="Times New Roman" w:hAnsi="宋体"/>
                <w:color w:val="000000"/>
                <w:kern w:val="0"/>
                <w:szCs w:val="21"/>
              </w:rPr>
              <w:t>正负极材料、隔膜材料、动力电池、新能源汽车、动力电池回收梯级利用、动力电池回收再生利用</w:t>
            </w:r>
            <w:r>
              <w:rPr>
                <w:rFonts w:ascii="Times New Roman" w:hAnsi="Times New Roman"/>
                <w:color w:val="000000"/>
                <w:kern w:val="0"/>
                <w:szCs w:val="21"/>
              </w:rPr>
              <w:t>”</w:t>
            </w:r>
            <w:r>
              <w:rPr>
                <w:rFonts w:ascii="Times New Roman" w:hAnsi="宋体"/>
                <w:color w:val="000000"/>
                <w:kern w:val="0"/>
                <w:szCs w:val="21"/>
              </w:rPr>
              <w:t>无废循环发展产业链。</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市发改委、市工信局、市商务局按职责分工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113</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打造绿色</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建造与建筑垃圾资源化利用动静脉耦合的无废产业链</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整合国家绿建区内绿色策划、设计、施工、运维的动脉产业链及建筑垃圾回收与利用静脉产业链，引领绿色建筑发展新模式。</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114</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推广结构保温一体化、装配化装修、绿色施工，鼓励使用再生建材适宜产品，不断健全绿色建造技术体系。</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大力推广绿色建材特别是再生建材在重点工程项目中的应用，建立绿色建材采信应用数据库，形成绿色建材推广应用模式。</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9"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116</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培育和引进全国领先的绿色建造产业龙头企业和建筑垃圾资源化利用技术和装备制造领先企业，打造建筑垃圾资源化利用技术研发与装备制造产业链，形成面向绿色建造的循环经济产业</w:t>
            </w:r>
            <w:r>
              <w:rPr>
                <w:rFonts w:ascii="Times New Roman" w:hAnsi="Times New Roman"/>
                <w:color w:val="000000"/>
                <w:kern w:val="0"/>
                <w:szCs w:val="21"/>
              </w:rPr>
              <w:t>“</w:t>
            </w:r>
            <w:r>
              <w:rPr>
                <w:rFonts w:ascii="Times New Roman" w:hAnsi="宋体"/>
                <w:color w:val="000000"/>
                <w:kern w:val="0"/>
                <w:szCs w:val="21"/>
              </w:rPr>
              <w:t>常州模式</w:t>
            </w:r>
            <w:r>
              <w:rPr>
                <w:rFonts w:ascii="Times New Roman" w:hAnsi="Times New Roman"/>
                <w:color w:val="000000"/>
                <w:kern w:val="0"/>
                <w:szCs w:val="21"/>
              </w:rPr>
              <w:t>”</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市工信局、市住建局、市城管局按职责分工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117</w:t>
            </w:r>
          </w:p>
        </w:tc>
        <w:tc>
          <w:tcPr>
            <w:tcW w:w="462" w:type="pct"/>
            <w:vMerge w:val="restart"/>
            <w:noWrap w:val="0"/>
            <w:vAlign w:val="center"/>
          </w:tcPr>
          <w:p>
            <w:pPr>
              <w:widowControl/>
              <w:spacing w:line="320" w:lineRule="exact"/>
              <w:jc w:val="center"/>
              <w:rPr>
                <w:rFonts w:hint="eastAsia" w:ascii="Times New Roman" w:hAnsi="宋体"/>
                <w:bCs/>
                <w:color w:val="000000"/>
                <w:kern w:val="0"/>
                <w:szCs w:val="21"/>
              </w:rPr>
            </w:pPr>
            <w:r>
              <w:rPr>
                <w:rFonts w:ascii="Times New Roman" w:hAnsi="宋体"/>
                <w:bCs/>
                <w:color w:val="000000"/>
                <w:kern w:val="0"/>
                <w:szCs w:val="21"/>
              </w:rPr>
              <w:t>打造多源</w:t>
            </w:r>
          </w:p>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固废减废降碳协同处置新模式</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统筹区域范围内固体废物利用处置布局，提升生活垃圾、餐厨垃圾、市政污泥、危险废物、医疗废物、建筑垃圾等多源废物处理处置及资源化利用能力，探索建设多源固废减废降碳协同处置中心，打造</w:t>
            </w:r>
            <w:r>
              <w:rPr>
                <w:rFonts w:ascii="Times New Roman" w:hAnsi="Times New Roman"/>
                <w:color w:val="000000"/>
                <w:kern w:val="0"/>
                <w:szCs w:val="21"/>
              </w:rPr>
              <w:t>“</w:t>
            </w:r>
            <w:r>
              <w:rPr>
                <w:rFonts w:ascii="Times New Roman" w:hAnsi="宋体"/>
                <w:color w:val="000000"/>
                <w:kern w:val="0"/>
                <w:szCs w:val="21"/>
              </w:rPr>
              <w:t>无废新城区</w:t>
            </w:r>
            <w:r>
              <w:rPr>
                <w:rFonts w:ascii="Times New Roman" w:hAnsi="Times New Roman"/>
                <w:color w:val="000000"/>
                <w:kern w:val="0"/>
                <w:szCs w:val="21"/>
              </w:rPr>
              <w:t>”</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118</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支持水泥窑协同处置单位完善基础设施建设，确保沼渣、焚烧飞灰、焚烧炉渣、污泥等得到无害化处置，实现热能、电能、生物质能的综合利用打造</w:t>
            </w:r>
            <w:r>
              <w:rPr>
                <w:rFonts w:ascii="Times New Roman" w:hAnsi="Times New Roman"/>
                <w:color w:val="000000"/>
                <w:kern w:val="0"/>
                <w:szCs w:val="21"/>
              </w:rPr>
              <w:t>“</w:t>
            </w:r>
            <w:r>
              <w:rPr>
                <w:rFonts w:ascii="Times New Roman" w:hAnsi="宋体"/>
                <w:color w:val="000000"/>
                <w:kern w:val="0"/>
                <w:szCs w:val="21"/>
              </w:rPr>
              <w:t>无废产业基地</w:t>
            </w:r>
            <w:r>
              <w:rPr>
                <w:rFonts w:ascii="Times New Roman" w:hAnsi="Times New Roman"/>
                <w:color w:val="000000"/>
                <w:kern w:val="0"/>
                <w:szCs w:val="21"/>
              </w:rPr>
              <w:t>”</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119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支持大型钢铁企业等工业固废产生大户，以一般工业固废和危险废物为重点，生活垃圾等其他固体废弃物一体化开展</w:t>
            </w:r>
            <w:r>
              <w:rPr>
                <w:rFonts w:ascii="Times New Roman" w:hAnsi="Times New Roman"/>
                <w:color w:val="000000"/>
                <w:kern w:val="0"/>
                <w:szCs w:val="21"/>
              </w:rPr>
              <w:t>“</w:t>
            </w:r>
            <w:r>
              <w:rPr>
                <w:rFonts w:ascii="Times New Roman" w:hAnsi="宋体"/>
                <w:color w:val="000000"/>
                <w:kern w:val="0"/>
                <w:szCs w:val="21"/>
              </w:rPr>
              <w:t>无废集团</w:t>
            </w:r>
            <w:r>
              <w:rPr>
                <w:rFonts w:ascii="Times New Roman" w:hAnsi="Times New Roman"/>
                <w:color w:val="000000"/>
                <w:kern w:val="0"/>
                <w:szCs w:val="21"/>
              </w:rPr>
              <w:t>”</w:t>
            </w:r>
            <w:r>
              <w:rPr>
                <w:rFonts w:ascii="Times New Roman" w:hAnsi="宋体"/>
                <w:color w:val="000000"/>
                <w:kern w:val="0"/>
                <w:szCs w:val="21"/>
              </w:rPr>
              <w:t>试点建设。</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市生态环境局、市住建局、市城管局按职责分工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七</w:t>
            </w:r>
          </w:p>
        </w:tc>
        <w:tc>
          <w:tcPr>
            <w:tcW w:w="3443" w:type="pct"/>
            <w:gridSpan w:val="2"/>
            <w:noWrap w:val="0"/>
            <w:vAlign w:val="center"/>
          </w:tcPr>
          <w:p>
            <w:pPr>
              <w:widowControl/>
              <w:spacing w:line="320" w:lineRule="exact"/>
              <w:jc w:val="center"/>
              <w:rPr>
                <w:rFonts w:ascii="Times New Roman" w:hAnsi="Times New Roman"/>
                <w:color w:val="000000"/>
                <w:kern w:val="0"/>
                <w:szCs w:val="21"/>
              </w:rPr>
            </w:pPr>
            <w:r>
              <w:rPr>
                <w:rFonts w:ascii="Times New Roman" w:hAnsi="宋体"/>
                <w:color w:val="000000"/>
                <w:kern w:val="0"/>
                <w:szCs w:val="21"/>
              </w:rPr>
              <w:t>保障能力</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p>
        </w:tc>
        <w:tc>
          <w:tcPr>
            <w:tcW w:w="971" w:type="pct"/>
            <w:noWrap w:val="0"/>
            <w:vAlign w:val="center"/>
          </w:tcPr>
          <w:p>
            <w:pPr>
              <w:widowControl/>
              <w:spacing w:line="320" w:lineRule="exact"/>
              <w:jc w:val="center"/>
              <w:rPr>
                <w:rFonts w:ascii="Times New Roman" w:hAnsi="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120</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制度体系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制定《常州市生活垃圾分类管理条例》。</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2022</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121</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制定《常州市建筑垃圾管理办法》。</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2022</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制定《常州市城市绿化废弃物管理暂行规范》。</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2022</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123</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制定《常州市农膜回收管理办法》。</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124</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制度体系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开展无废机关、无废商场、无废饭店、无废景区、无废社区等</w:t>
            </w:r>
            <w:r>
              <w:rPr>
                <w:rFonts w:ascii="Times New Roman" w:hAnsi="Times New Roman"/>
                <w:color w:val="000000"/>
                <w:kern w:val="0"/>
                <w:szCs w:val="21"/>
              </w:rPr>
              <w:t>“</w:t>
            </w:r>
            <w:r>
              <w:rPr>
                <w:rFonts w:ascii="Times New Roman" w:hAnsi="宋体"/>
                <w:color w:val="000000"/>
                <w:kern w:val="0"/>
                <w:szCs w:val="21"/>
              </w:rPr>
              <w:t>无废细胞</w:t>
            </w:r>
            <w:r>
              <w:rPr>
                <w:rFonts w:ascii="Times New Roman" w:hAnsi="Times New Roman"/>
                <w:color w:val="000000"/>
                <w:kern w:val="0"/>
                <w:szCs w:val="21"/>
              </w:rPr>
              <w:t>”</w:t>
            </w:r>
            <w:r>
              <w:rPr>
                <w:rFonts w:ascii="Times New Roman" w:hAnsi="宋体"/>
                <w:color w:val="000000"/>
                <w:kern w:val="0"/>
                <w:szCs w:val="21"/>
              </w:rPr>
              <w:t>建设，累计建成</w:t>
            </w:r>
            <w:r>
              <w:rPr>
                <w:rFonts w:ascii="Times New Roman" w:hAnsi="Times New Roman"/>
                <w:color w:val="000000"/>
                <w:kern w:val="0"/>
                <w:szCs w:val="21"/>
              </w:rPr>
              <w:t>100</w:t>
            </w:r>
            <w:r>
              <w:rPr>
                <w:rFonts w:ascii="Times New Roman" w:hAnsi="宋体"/>
                <w:color w:val="000000"/>
                <w:kern w:val="0"/>
                <w:szCs w:val="21"/>
              </w:rPr>
              <w:t>个</w:t>
            </w:r>
            <w:r>
              <w:rPr>
                <w:rFonts w:ascii="Times New Roman" w:hAnsi="Times New Roman"/>
                <w:color w:val="000000"/>
                <w:kern w:val="0"/>
                <w:szCs w:val="21"/>
              </w:rPr>
              <w:t>“</w:t>
            </w:r>
            <w:r>
              <w:rPr>
                <w:rFonts w:ascii="Times New Roman" w:hAnsi="宋体"/>
                <w:color w:val="000000"/>
                <w:kern w:val="0"/>
                <w:szCs w:val="21"/>
              </w:rPr>
              <w:t>无废细胞</w:t>
            </w:r>
            <w:r>
              <w:rPr>
                <w:rFonts w:ascii="Times New Roman" w:hAnsi="Times New Roman"/>
                <w:color w:val="000000"/>
                <w:kern w:val="0"/>
                <w:szCs w:val="21"/>
              </w:rPr>
              <w:t>”</w:t>
            </w:r>
            <w:r>
              <w:rPr>
                <w:rFonts w:ascii="Times New Roman" w:hAnsi="宋体"/>
                <w:color w:val="000000"/>
                <w:kern w:val="0"/>
                <w:szCs w:val="21"/>
              </w:rPr>
              <w:t>。</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市教育局、市城管局、市商务局、市农业农村局、市文广旅局等按职责分工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w:t>
            </w:r>
            <w:r>
              <w:rPr>
                <w:rFonts w:ascii="Times New Roman" w:hAnsi="Times New Roman"/>
                <w:color w:val="000000"/>
                <w:kern w:val="0"/>
                <w:szCs w:val="21"/>
              </w:rPr>
              <w:t>“</w:t>
            </w:r>
            <w:r>
              <w:rPr>
                <w:rFonts w:ascii="Times New Roman" w:hAnsi="宋体"/>
                <w:color w:val="000000"/>
                <w:kern w:val="0"/>
                <w:szCs w:val="21"/>
              </w:rPr>
              <w:t>无废细胞</w:t>
            </w:r>
            <w:r>
              <w:rPr>
                <w:rFonts w:ascii="Times New Roman" w:hAnsi="Times New Roman"/>
                <w:color w:val="000000"/>
                <w:kern w:val="0"/>
                <w:szCs w:val="21"/>
              </w:rPr>
              <w:t>”</w:t>
            </w:r>
            <w:r>
              <w:rPr>
                <w:rFonts w:ascii="Times New Roman" w:hAnsi="宋体"/>
                <w:color w:val="000000"/>
                <w:kern w:val="0"/>
                <w:szCs w:val="21"/>
              </w:rPr>
              <w:t>评价细则。</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市教育局、市城管局、市商务局、市农业农村局、市文广旅局等按职责分工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126</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技术体系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推广测土配方施肥、水肥一体化、侧深施肥、种肥同播，一膜两用、适时揭膜，建筑垃圾自动分拣等技术。</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市城管局、市农业农村局按职责分工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127</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加强秸秆饲料化、肥料化、燃料化等利用技术的示范和推广。</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128</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制定固体废物资源化、无害化技术标准和规范</w:t>
            </w:r>
            <w:r>
              <w:rPr>
                <w:rFonts w:ascii="Times New Roman" w:hAnsi="Times New Roman"/>
                <w:color w:val="000000"/>
                <w:kern w:val="0"/>
                <w:szCs w:val="21"/>
              </w:rPr>
              <w:t>5</w:t>
            </w:r>
            <w:r>
              <w:rPr>
                <w:rFonts w:ascii="Times New Roman" w:hAnsi="宋体"/>
                <w:color w:val="000000"/>
                <w:kern w:val="0"/>
                <w:szCs w:val="21"/>
              </w:rPr>
              <w:t>项。</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市科技局、市生态环境局、市住建局、市城管局、市商务局、市农业农村局按职责分工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129</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制定固体废物回收利用处置关键技术工艺、设备研究及成果研发</w:t>
            </w:r>
            <w:r>
              <w:rPr>
                <w:rFonts w:ascii="Times New Roman" w:hAnsi="Times New Roman"/>
                <w:color w:val="000000"/>
                <w:kern w:val="0"/>
                <w:szCs w:val="21"/>
              </w:rPr>
              <w:t>5</w:t>
            </w:r>
            <w:r>
              <w:rPr>
                <w:rFonts w:ascii="Times New Roman" w:hAnsi="宋体"/>
                <w:color w:val="000000"/>
                <w:kern w:val="0"/>
                <w:szCs w:val="21"/>
              </w:rPr>
              <w:t>项。</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130</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市场体系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统筹整合各级财政资金支持</w:t>
            </w:r>
            <w:r>
              <w:rPr>
                <w:rFonts w:ascii="Times New Roman" w:hAnsi="Times New Roman"/>
                <w:color w:val="000000"/>
                <w:kern w:val="0"/>
                <w:szCs w:val="21"/>
              </w:rPr>
              <w:t>“</w:t>
            </w:r>
            <w:r>
              <w:rPr>
                <w:rFonts w:ascii="Times New Roman" w:hAnsi="宋体"/>
                <w:color w:val="000000"/>
                <w:kern w:val="0"/>
                <w:szCs w:val="21"/>
              </w:rPr>
              <w:t>无废城市</w:t>
            </w:r>
            <w:r>
              <w:rPr>
                <w:rFonts w:ascii="Times New Roman" w:hAnsi="Times New Roman"/>
                <w:color w:val="000000"/>
                <w:kern w:val="0"/>
                <w:szCs w:val="21"/>
              </w:rPr>
              <w:t>”</w:t>
            </w:r>
            <w:r>
              <w:rPr>
                <w:rFonts w:ascii="Times New Roman" w:hAnsi="宋体"/>
                <w:color w:val="000000"/>
                <w:kern w:val="0"/>
                <w:szCs w:val="21"/>
              </w:rPr>
              <w:t>建设。</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市财政局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131</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探索采用特许经营、政府与社会资本合作（</w:t>
            </w:r>
            <w:r>
              <w:rPr>
                <w:rFonts w:ascii="Times New Roman" w:hAnsi="Times New Roman"/>
                <w:color w:val="000000"/>
                <w:kern w:val="0"/>
                <w:szCs w:val="21"/>
              </w:rPr>
              <w:t>PPP</w:t>
            </w:r>
            <w:r>
              <w:rPr>
                <w:rFonts w:ascii="Times New Roman" w:hAnsi="宋体"/>
                <w:color w:val="000000"/>
                <w:kern w:val="0"/>
                <w:szCs w:val="21"/>
              </w:rPr>
              <w:t>）、生态环境导向的开发模式（</w:t>
            </w:r>
            <w:r>
              <w:rPr>
                <w:rFonts w:ascii="Times New Roman" w:hAnsi="Times New Roman"/>
                <w:color w:val="000000"/>
                <w:kern w:val="0"/>
                <w:szCs w:val="21"/>
              </w:rPr>
              <w:t>EOD</w:t>
            </w:r>
            <w:r>
              <w:rPr>
                <w:rFonts w:ascii="Times New Roman" w:hAnsi="宋体"/>
                <w:color w:val="000000"/>
                <w:kern w:val="0"/>
                <w:szCs w:val="21"/>
              </w:rPr>
              <w:t>）等，引导社会资本加大投入。</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市财政局、市发改委、市工信局、市生态环境局、市城管局、市农业农村局按职责分工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132</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深化政银合作，鼓励支持</w:t>
            </w:r>
            <w:r>
              <w:rPr>
                <w:rFonts w:ascii="Times New Roman" w:hAnsi="Times New Roman"/>
                <w:color w:val="000000"/>
                <w:kern w:val="0"/>
                <w:szCs w:val="21"/>
              </w:rPr>
              <w:t>“</w:t>
            </w:r>
            <w:r>
              <w:rPr>
                <w:rFonts w:ascii="Times New Roman" w:hAnsi="宋体"/>
                <w:color w:val="000000"/>
                <w:kern w:val="0"/>
                <w:szCs w:val="21"/>
              </w:rPr>
              <w:t>无废城市</w:t>
            </w:r>
            <w:r>
              <w:rPr>
                <w:rFonts w:ascii="Times New Roman" w:hAnsi="Times New Roman"/>
                <w:color w:val="000000"/>
                <w:kern w:val="0"/>
                <w:szCs w:val="21"/>
              </w:rPr>
              <w:t>”</w:t>
            </w:r>
            <w:r>
              <w:rPr>
                <w:rFonts w:ascii="Times New Roman" w:hAnsi="宋体"/>
                <w:color w:val="000000"/>
                <w:kern w:val="0"/>
                <w:szCs w:val="21"/>
              </w:rPr>
              <w:t>建设项目申报纳入金融支持生态环保项目储备库。</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市财政局、市生态环境局、市金融局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133</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探索应用绿色信贷、绿色债券、绿色基金、绿色保险等绿色金融工具，拓宽</w:t>
            </w:r>
            <w:r>
              <w:rPr>
                <w:rFonts w:ascii="Times New Roman" w:hAnsi="Times New Roman"/>
                <w:color w:val="000000"/>
                <w:kern w:val="0"/>
                <w:szCs w:val="21"/>
              </w:rPr>
              <w:t>“</w:t>
            </w:r>
            <w:r>
              <w:rPr>
                <w:rFonts w:ascii="Times New Roman" w:hAnsi="宋体"/>
                <w:color w:val="000000"/>
                <w:kern w:val="0"/>
                <w:szCs w:val="21"/>
              </w:rPr>
              <w:t>无废城市</w:t>
            </w:r>
            <w:r>
              <w:rPr>
                <w:rFonts w:ascii="Times New Roman" w:hAnsi="Times New Roman"/>
                <w:color w:val="000000"/>
                <w:kern w:val="0"/>
                <w:szCs w:val="21"/>
              </w:rPr>
              <w:t>”</w:t>
            </w:r>
            <w:r>
              <w:rPr>
                <w:rFonts w:ascii="Times New Roman" w:hAnsi="宋体"/>
                <w:color w:val="000000"/>
                <w:kern w:val="0"/>
                <w:szCs w:val="21"/>
              </w:rPr>
              <w:t>建设资金来源渠道。</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市财政局、市税务局、市金融局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134</w:t>
            </w:r>
          </w:p>
        </w:tc>
        <w:tc>
          <w:tcPr>
            <w:tcW w:w="462" w:type="pct"/>
            <w:vMerge w:val="restart"/>
            <w:noWrap w:val="0"/>
            <w:vAlign w:val="center"/>
          </w:tcPr>
          <w:p>
            <w:pPr>
              <w:widowControl/>
              <w:spacing w:line="320" w:lineRule="exact"/>
              <w:jc w:val="center"/>
              <w:rPr>
                <w:rFonts w:ascii="Times New Roman" w:hAnsi="Times New Roman"/>
                <w:bCs/>
                <w:color w:val="000000"/>
                <w:kern w:val="0"/>
                <w:szCs w:val="21"/>
              </w:rPr>
            </w:pPr>
            <w:r>
              <w:rPr>
                <w:rFonts w:ascii="Times New Roman" w:hAnsi="宋体"/>
                <w:bCs/>
                <w:color w:val="000000"/>
                <w:kern w:val="0"/>
                <w:szCs w:val="21"/>
              </w:rPr>
              <w:t>监管体系</w:t>
            </w: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加强多部门联合执法，强化行政执法与刑事司法、检察公益诉讼的协调联动。</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市工信局、市公安局、市司法局、市生态环境局、市住建局、市城管局、市农业农村局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135</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推进</w:t>
            </w:r>
            <w:r>
              <w:rPr>
                <w:rFonts w:ascii="Times New Roman" w:hAnsi="Times New Roman"/>
                <w:color w:val="000000"/>
                <w:kern w:val="0"/>
                <w:szCs w:val="21"/>
              </w:rPr>
              <w:t>“</w:t>
            </w:r>
            <w:r>
              <w:rPr>
                <w:rFonts w:ascii="Times New Roman" w:hAnsi="宋体"/>
                <w:color w:val="000000"/>
                <w:kern w:val="0"/>
                <w:szCs w:val="21"/>
              </w:rPr>
              <w:t>互联网＋监管＋协调联动</w:t>
            </w:r>
            <w:r>
              <w:rPr>
                <w:rFonts w:ascii="Times New Roman" w:hAnsi="Times New Roman"/>
                <w:color w:val="000000"/>
                <w:kern w:val="0"/>
                <w:szCs w:val="21"/>
              </w:rPr>
              <w:t>”</w:t>
            </w:r>
            <w:r>
              <w:rPr>
                <w:rFonts w:ascii="Times New Roman" w:hAnsi="宋体"/>
                <w:color w:val="000000"/>
                <w:kern w:val="0"/>
                <w:szCs w:val="21"/>
              </w:rPr>
              <w:t>，建立线上监管与线下现场执法协作机制。</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宋体"/>
                <w:color w:val="000000"/>
                <w:kern w:val="0"/>
                <w:szCs w:val="21"/>
              </w:rPr>
              <w:t>持续开展</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市生态环境局、市住建局、市城管局、市农业农村局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9" w:type="pct"/>
            <w:noWrap w:val="0"/>
            <w:vAlign w:val="center"/>
          </w:tcPr>
          <w:p>
            <w:pPr>
              <w:widowControl/>
              <w:spacing w:line="320" w:lineRule="exact"/>
              <w:jc w:val="center"/>
              <w:rPr>
                <w:rFonts w:ascii="Times New Roman" w:hAnsi="Times New Roman"/>
                <w:color w:val="000000"/>
                <w:kern w:val="0"/>
                <w:szCs w:val="21"/>
              </w:rPr>
            </w:pPr>
            <w:r>
              <w:rPr>
                <w:rFonts w:ascii="Times New Roman" w:hAnsi="Times New Roman"/>
                <w:color w:val="000000"/>
                <w:kern w:val="0"/>
                <w:szCs w:val="21"/>
              </w:rPr>
              <w:t>136</w:t>
            </w:r>
          </w:p>
        </w:tc>
        <w:tc>
          <w:tcPr>
            <w:tcW w:w="462" w:type="pct"/>
            <w:vMerge w:val="continue"/>
            <w:noWrap w:val="0"/>
            <w:vAlign w:val="center"/>
          </w:tcPr>
          <w:p>
            <w:pPr>
              <w:widowControl/>
              <w:spacing w:line="320" w:lineRule="exact"/>
              <w:jc w:val="center"/>
              <w:rPr>
                <w:rFonts w:ascii="Times New Roman" w:hAnsi="Times New Roman"/>
                <w:bCs/>
                <w:color w:val="000000"/>
                <w:kern w:val="0"/>
                <w:szCs w:val="21"/>
              </w:rPr>
            </w:pPr>
          </w:p>
        </w:tc>
        <w:tc>
          <w:tcPr>
            <w:tcW w:w="298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优化提升环卫信息系统、建筑垃圾运输处置监管指挥平台、危险废物全生命周期系统、污泥处置平台、报废机动车回收信息系统、城市绿化废弃物信息化管理系统、城市综合管理服务平台一期（智慧城管）等信息化建设，实现各类固体废物信息化管理，固体废物管理与信息技术的无缝融合。</w:t>
            </w:r>
          </w:p>
        </w:tc>
        <w:tc>
          <w:tcPr>
            <w:tcW w:w="367" w:type="pct"/>
            <w:noWrap w:val="0"/>
            <w:vAlign w:val="center"/>
          </w:tcPr>
          <w:p>
            <w:pPr>
              <w:widowControl/>
              <w:spacing w:line="320" w:lineRule="exact"/>
              <w:ind w:left="-50" w:right="-50"/>
              <w:jc w:val="center"/>
              <w:rPr>
                <w:rFonts w:ascii="Times New Roman" w:hAnsi="Times New Roman"/>
                <w:color w:val="000000"/>
                <w:kern w:val="0"/>
                <w:szCs w:val="21"/>
              </w:rPr>
            </w:pPr>
            <w:r>
              <w:rPr>
                <w:rFonts w:ascii="Times New Roman" w:hAnsi="Times New Roman"/>
                <w:color w:val="000000"/>
                <w:kern w:val="0"/>
                <w:szCs w:val="21"/>
              </w:rPr>
              <w:t>2025</w:t>
            </w:r>
            <w:r>
              <w:rPr>
                <w:rFonts w:ascii="Times New Roman" w:hAnsi="宋体"/>
                <w:color w:val="000000"/>
                <w:kern w:val="0"/>
                <w:szCs w:val="21"/>
              </w:rPr>
              <w:t>年</w:t>
            </w:r>
          </w:p>
        </w:tc>
        <w:tc>
          <w:tcPr>
            <w:tcW w:w="971" w:type="pct"/>
            <w:noWrap w:val="0"/>
            <w:vAlign w:val="center"/>
          </w:tcPr>
          <w:p>
            <w:pPr>
              <w:widowControl/>
              <w:spacing w:line="320" w:lineRule="exact"/>
              <w:rPr>
                <w:rFonts w:ascii="Times New Roman" w:hAnsi="Times New Roman"/>
                <w:color w:val="000000"/>
                <w:kern w:val="0"/>
                <w:szCs w:val="21"/>
              </w:rPr>
            </w:pPr>
            <w:r>
              <w:rPr>
                <w:rFonts w:ascii="Times New Roman" w:hAnsi="宋体"/>
                <w:color w:val="000000"/>
                <w:kern w:val="0"/>
                <w:szCs w:val="21"/>
              </w:rPr>
              <w:t>市生态环境局、市住建局、市城管局、市农业农村局等</w:t>
            </w:r>
          </w:p>
        </w:tc>
      </w:tr>
    </w:tbl>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6122FF1-75B2-45C8-A3FA-6334EA2DCB90}"/>
  </w:font>
  <w:font w:name="方正黑体_GBK">
    <w:altName w:val="Arial Unicode MS"/>
    <w:panose1 w:val="03000509000000000000"/>
    <w:charset w:val="86"/>
    <w:family w:val="script"/>
    <w:pitch w:val="default"/>
    <w:sig w:usb0="00000000" w:usb1="00000000" w:usb2="00000010" w:usb3="00000000" w:csb0="00040000" w:csb1="00000000"/>
    <w:embedRegular r:id="rId2" w:fontKey="{85D82ABC-F8A2-4DF0-8C00-1649517342FF}"/>
  </w:font>
  <w:font w:name="方正小标宋_GBK">
    <w:panose1 w:val="02000000000000000000"/>
    <w:charset w:val="86"/>
    <w:family w:val="script"/>
    <w:pitch w:val="default"/>
    <w:sig w:usb0="A00002BF" w:usb1="38CF7CFA" w:usb2="00082016" w:usb3="00000000" w:csb0="00040001" w:csb1="00000000"/>
    <w:embedRegular r:id="rId3" w:fontKey="{82F65BED-7EAB-4A23-865A-AE94C8F4CAD7}"/>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6A0667F1"/>
    <w:rsid w:val="6A066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2022-12-27T08:33:00Z</dcterms:created>
  <dc:creator>丹丹</dc:creator>
  <cp:lastModifiedBy>丹丹</cp:lastModifiedBy>
  <dcterms:modified xsi:type="dcterms:W3CDTF">2022-12-27T08:33:58Z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F9796D3DE91046FD9FEDD44E1E403D69</vt:lpwstr>
  </property>
</Properties>
</file>