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附件1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常州市“无废城市”建设指标体系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</w:p>
    <w:tbl>
      <w:tblPr>
        <w:tblStyle w:val="4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5"/>
        <w:gridCol w:w="1154"/>
        <w:gridCol w:w="1440"/>
        <w:gridCol w:w="4034"/>
        <w:gridCol w:w="864"/>
        <w:gridCol w:w="721"/>
        <w:gridCol w:w="721"/>
        <w:gridCol w:w="1081"/>
        <w:gridCol w:w="1081"/>
        <w:gridCol w:w="236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一级指标</w:t>
            </w: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二级指标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三级指标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2020年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2025年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责任单位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工业源头减量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一般工业固体废物产生强度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吨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/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市生态环境局、市统计局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工业危险废物产生强度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吨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/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0.014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市生态环境局、市统计局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通过清洁生产审核评估工业企业占比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市发改委、市工信局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6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开展绿色工厂、绿色发展领军企业建设的企业占比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市工信局、市生态环境局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开展生态工业园区建设、循环化改造、绿色园区建设的工业园区占比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市发改委、市工信局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绿色矿山建成率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72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大型</w:t>
            </w:r>
          </w:p>
        </w:tc>
        <w:tc>
          <w:tcPr>
            <w:tcW w:w="72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08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大型</w:t>
            </w:r>
          </w:p>
        </w:tc>
        <w:tc>
          <w:tcPr>
            <w:tcW w:w="108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</w:t>
            </w:r>
          </w:p>
        </w:tc>
        <w:tc>
          <w:tcPr>
            <w:tcW w:w="236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市资源规划局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320" w:lineRule="exact"/>
              <w:ind w:left="0" w:firstLine="0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6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2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中型</w:t>
            </w:r>
          </w:p>
        </w:tc>
        <w:tc>
          <w:tcPr>
            <w:tcW w:w="72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8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中型</w:t>
            </w:r>
          </w:p>
        </w:tc>
        <w:tc>
          <w:tcPr>
            <w:tcW w:w="108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</w:t>
            </w:r>
          </w:p>
        </w:tc>
        <w:tc>
          <w:tcPr>
            <w:tcW w:w="236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320" w:lineRule="exact"/>
              <w:ind w:left="0" w:firstLine="0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6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2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小型</w:t>
            </w:r>
          </w:p>
        </w:tc>
        <w:tc>
          <w:tcPr>
            <w:tcW w:w="72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8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小型</w:t>
            </w:r>
          </w:p>
        </w:tc>
        <w:tc>
          <w:tcPr>
            <w:tcW w:w="1081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236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单位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GDP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二氧化碳排放量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</w:rPr>
              <w:t>kg/万元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满足上级考核要求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市发改委、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市生态环境局、市统计局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农业源头减量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绿色优质农产品比重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建筑业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绿色建筑占新建建筑的比例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市住建局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装配式建筑占新建建筑的比例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市住建局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生活领域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生活垃圾清运量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万吨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201.22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城市居民小区生活垃圾分类覆盖率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农村地区生活垃圾分类覆盖率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快递绿色包装使用比例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＞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市邮政管理局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资源化利用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工业固体废物资源化利用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一般工业固体废物综合利用率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97.9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≥98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市生态环境局、市工信局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工业危险废物综合利用率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cs="Times New Roman"/>
                <w:color w:val="000000"/>
                <w:sz w:val="21"/>
                <w:szCs w:val="21"/>
              </w:rPr>
              <w:t>正增长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石膏类废物综合利用率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94.3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pacing w:val="-8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pacing w:val="-8"/>
                <w:sz w:val="21"/>
                <w:szCs w:val="21"/>
              </w:rPr>
              <w:t>一般工业固体废物收贮运一体化中心建成数量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个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农业固体废物资源化利用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水稻秸秆离田率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＞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秸秆综合利用率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96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≥96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畜禽粪污综合利用率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≥95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农膜回收率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</w:t>
            </w:r>
          </w:p>
        </w:tc>
        <w:tc>
          <w:tcPr>
            <w:tcW w:w="2162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≥90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农药包装废弃物回收覆盖率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化学农药施用量亩均下降幅度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化学肥料施用量亩均下降幅度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资源化利用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建筑垃圾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资源化利用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建筑垃圾资源化利用率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工程渣土消纳场所规范设置率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暂无工程渣土消纳场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生活领域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资源化利用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生活垃圾回收利用率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13.11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园林绿化废弃物综合利用率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75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再生资源回收量增长率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医疗卫生机构可回收物回收率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市卫健委、市商务局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生活垃圾焚烧飞灰利用处置率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最终处置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危险废物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安全处置</w:t>
            </w:r>
          </w:p>
        </w:tc>
        <w:tc>
          <w:tcPr>
            <w:tcW w:w="4034" w:type="dxa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工业危险废物填埋处置量下降幅度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＞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364" w:type="dxa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医疗废物收集处置体系覆盖率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市卫健委、市生态环境局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医疗废物应急处置能力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建立了应急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方案，具备应急处置能力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完善应急处置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协调机制和统筹应急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处置设施资源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市生态环境局、市卫健委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社会源危险废物收集处置体系覆盖率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一般工业固体废物贮存处置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一般工业固体废物贮存处置量下降幅度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＞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38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工业污泥无害化处理率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农业固体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废物处置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病死畜禽集中无害化处理率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市农业农村局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40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最终处置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生活领域固体废物处置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生活垃圾焚烧处理能力占比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78.5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41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有害垃圾处置率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市城管局、市生态环境局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城镇污水污泥无害化处置率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市住建局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保障能力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制度体系建设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pacing w:val="-1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pacing w:val="-10"/>
                <w:sz w:val="21"/>
                <w:szCs w:val="21"/>
              </w:rPr>
              <w:t>建设地方性法规或政策性文件制定</w:t>
            </w:r>
            <w:r>
              <w:rPr>
                <w:rFonts w:cs="Times New Roman"/>
                <w:color w:val="000000"/>
                <w:spacing w:val="-1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逐步完善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相关部门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建设协调机制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建立协调机制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相关部门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建设成效纳入政绩考核情况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纳入政绩考核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市委组织部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46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开展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无废城市细胞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建设的单位数量（机关、企事业单位、饭店、商场、社区、村镇）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个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市教育局、市商务局、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</w:t>
            </w:r>
            <w:r>
              <w:rPr>
                <w:rFonts w:ascii="Times New Roman" w:cs="Times New Roman"/>
                <w:color w:val="000000"/>
                <w:spacing w:val="-12"/>
                <w:sz w:val="21"/>
                <w:szCs w:val="21"/>
              </w:rPr>
              <w:t>农业农村局、市文广旅局、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市机关事务局等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市场体系建设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建设相关项目投资总额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逐年提高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cs="Times New Roman"/>
                <w:color w:val="000000"/>
                <w:sz w:val="21"/>
                <w:szCs w:val="21"/>
              </w:rPr>
              <w:t>市金融局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纳入企业环境信用评价范围的固体废物相关企业数量占比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逐年提高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49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pacing w:val="-6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pacing w:val="-6"/>
                <w:sz w:val="21"/>
                <w:szCs w:val="21"/>
              </w:rPr>
              <w:t>危险废物经营单位环境污染责任保险覆盖率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绿色贷款余额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逐年提高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Times New Roman"/>
                <w:color w:val="000000"/>
                <w:szCs w:val="21"/>
              </w:rPr>
              <w:t>市金融局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51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建设相关项目绿色债券存量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逐年提高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Times New Roman"/>
                <w:color w:val="000000"/>
                <w:szCs w:val="21"/>
              </w:rPr>
              <w:t>市金融局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技术体系建设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主要参与制定固体废物资源化、无害化技术标准与规范数量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项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市发改委、市住建局、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pacing w:val="-12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pacing w:val="-12"/>
                <w:sz w:val="21"/>
                <w:szCs w:val="21"/>
              </w:rPr>
              <w:t>市城管局、市农业农村局、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市市场监管局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53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固体废物回收利用处置关键技术工艺、设备研发及成果转化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项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市科技局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54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保障能力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监管体系建设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固体废物管理信息化监管情况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提升信息化监管水平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hint="eastAsia" w:ascii="Times New Roman" w:cs="Times New Roman"/>
                <w:color w:val="000000"/>
                <w:spacing w:val="-12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pacing w:val="-12"/>
                <w:sz w:val="21"/>
                <w:szCs w:val="21"/>
              </w:rPr>
              <w:t>市生态环境局、市住建局、</w:t>
            </w:r>
          </w:p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市城管局、市商务局、市农业农村局等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55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纳入危险废物全生命周期监控系统的重点涉废企业视频联网率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危险废物规范化管理抽查合格率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95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＞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95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57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危险废物自建焚烧设施在线监控联网率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固体废物环境污染刑事案件立案率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涉固体废物信访、投诉、举报案件办结率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固体废物环境污染案件开展生态环境损害赔偿工作的覆盖率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逐步提高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1154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群众获得感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群众获得感</w:t>
            </w: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建设宣传教育培训普及率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各相关单位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62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政府、企事业单位、非政府环境组织、公众对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建设的参与程度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各相关单位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715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1"/>
                <w:szCs w:val="21"/>
              </w:rPr>
              <w:t>63</w:t>
            </w:r>
          </w:p>
        </w:tc>
        <w:tc>
          <w:tcPr>
            <w:tcW w:w="1154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3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公众对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“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无废城市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”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>建设成效的满意程度</w:t>
            </w:r>
            <w:r>
              <w:rPr>
                <w:rFonts w:cs="Times New Roman"/>
                <w:color w:val="000000"/>
                <w:sz w:val="21"/>
                <w:szCs w:val="21"/>
              </w:rPr>
              <w:t>★</w:t>
            </w:r>
          </w:p>
        </w:tc>
        <w:tc>
          <w:tcPr>
            <w:tcW w:w="8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62" w:type="dxa"/>
            <w:gridSpan w:val="2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</w:t>
            </w:r>
          </w:p>
        </w:tc>
        <w:tc>
          <w:tcPr>
            <w:tcW w:w="2364" w:type="dxa"/>
            <w:shd w:val="clear" w:color="auto" w:fill="FFFFFF"/>
            <w:noWrap w:val="0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>各相关单位</w:t>
            </w:r>
          </w:p>
        </w:tc>
      </w:tr>
    </w:tbl>
    <w:p>
      <w:pPr>
        <w:rPr>
          <w:rFonts w:hint="eastAsia" w:ascii="Times New Roman" w:hAnsi="Times New Roman"/>
          <w:color w:val="000000"/>
        </w:rPr>
      </w:pP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9197461-A1BE-4F92-8EB2-1C2384F54205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95133780-9367-4587-BC5B-65A3452981B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7494C78-615A-4C98-BE67-CBC8F5274AAB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FB3A83"/>
    <w:multiLevelType w:val="singleLevel"/>
    <w:tmpl w:val="F1FB3A8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69DE590E"/>
    <w:rsid w:val="69DE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宋体" w:hAnsi="宋体" w:cs="宋体"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2022-12-27T08:33:00Z</dcterms:created>
  <dc:creator>丹丹</dc:creator>
  <cp:lastModifiedBy>丹丹</cp:lastModifiedBy>
  <dcterms:modified xsi:type="dcterms:W3CDTF">2022-12-27T08:33:39Z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0B9D00010CE04BE2A29C3146D88761D8</vt:lpwstr>
  </property>
</Properties>
</file>