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黑体_GBK" w:hAnsi="Times New Roman" w:eastAsia="方正黑体_GBK"/>
          <w:color w:val="000000"/>
          <w:sz w:val="32"/>
          <w:szCs w:val="32"/>
        </w:rPr>
      </w:pPr>
      <w:r>
        <w:rPr>
          <w:rFonts w:hint="eastAsia" w:ascii="方正黑体_GBK" w:hAnsi="Times New Roman" w:eastAsia="方正黑体_GBK"/>
          <w:color w:val="000000"/>
          <w:sz w:val="32"/>
          <w:szCs w:val="32"/>
        </w:rPr>
        <w:t>附件</w:t>
      </w:r>
    </w:p>
    <w:p>
      <w:pPr>
        <w:spacing w:line="510" w:lineRule="exact"/>
        <w:jc w:val="center"/>
        <w:rPr>
          <w:rFonts w:hint="eastAsia" w:ascii="方正小标宋_GBK" w:hAnsi="Times New Roman" w:eastAsia="方正小标宋_GBK"/>
          <w:color w:val="000000"/>
          <w:sz w:val="44"/>
          <w:szCs w:val="44"/>
        </w:rPr>
      </w:pPr>
    </w:p>
    <w:p>
      <w:pPr>
        <w:spacing w:line="570" w:lineRule="exact"/>
        <w:jc w:val="center"/>
        <w:rPr>
          <w:rFonts w:hint="eastAsia" w:ascii="方正小标宋_GBK" w:hAnsi="Times New Roman" w:eastAsia="方正小标宋_GBK"/>
          <w:color w:val="000000"/>
          <w:sz w:val="44"/>
          <w:szCs w:val="44"/>
        </w:rPr>
      </w:pPr>
      <w:r>
        <w:rPr>
          <w:rFonts w:hint="eastAsia" w:ascii="方正小标宋_GBK" w:hAnsi="Times New Roman" w:eastAsia="方正小标宋_GBK"/>
          <w:color w:val="000000"/>
          <w:sz w:val="44"/>
          <w:szCs w:val="44"/>
        </w:rPr>
        <w:t>《常州市普惠托育服务三年行动方案（2023-2025年）》任务分解表</w:t>
      </w:r>
    </w:p>
    <w:p>
      <w:pPr>
        <w:spacing w:line="510" w:lineRule="exact"/>
        <w:jc w:val="center"/>
        <w:rPr>
          <w:rFonts w:hint="eastAsia" w:ascii="方正小标宋_GBK" w:hAnsi="Times New Roman" w:eastAsia="方正小标宋_GBK"/>
          <w:color w:val="000000"/>
          <w:sz w:val="44"/>
          <w:szCs w:val="44"/>
        </w:rPr>
      </w:pPr>
    </w:p>
    <w:tbl>
      <w:tblPr>
        <w:tblStyle w:val="3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567"/>
        <w:gridCol w:w="568"/>
        <w:gridCol w:w="568"/>
        <w:gridCol w:w="568"/>
        <w:gridCol w:w="569"/>
        <w:gridCol w:w="568"/>
        <w:gridCol w:w="568"/>
        <w:gridCol w:w="8"/>
        <w:gridCol w:w="561"/>
        <w:gridCol w:w="569"/>
        <w:gridCol w:w="568"/>
        <w:gridCol w:w="568"/>
        <w:gridCol w:w="568"/>
        <w:gridCol w:w="569"/>
        <w:gridCol w:w="568"/>
        <w:gridCol w:w="568"/>
        <w:gridCol w:w="568"/>
        <w:gridCol w:w="569"/>
        <w:gridCol w:w="568"/>
        <w:gridCol w:w="568"/>
        <w:gridCol w:w="568"/>
        <w:gridCol w:w="57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szCs w:val="21"/>
              </w:rPr>
              <w:t>年度</w:t>
            </w:r>
          </w:p>
        </w:tc>
        <w:tc>
          <w:tcPr>
            <w:tcW w:w="4146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szCs w:val="21"/>
              </w:rPr>
              <w:t>2023年</w:t>
            </w:r>
          </w:p>
        </w:tc>
        <w:tc>
          <w:tcPr>
            <w:tcW w:w="4129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szCs w:val="21"/>
              </w:rPr>
              <w:t>2024年</w:t>
            </w:r>
          </w:p>
        </w:tc>
        <w:tc>
          <w:tcPr>
            <w:tcW w:w="4141" w:type="dxa"/>
            <w:gridSpan w:val="7"/>
            <w:noWrap w:val="0"/>
            <w:vAlign w:val="center"/>
          </w:tcPr>
          <w:p>
            <w:pPr>
              <w:spacing w:line="320" w:lineRule="exact"/>
              <w:ind w:firstLine="600"/>
              <w:jc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szCs w:val="21"/>
              </w:rPr>
              <w:t>2025年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szCs w:val="21"/>
              </w:rPr>
              <w:t>指标内容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szCs w:val="21"/>
              </w:rPr>
              <w:t>溧阳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szCs w:val="21"/>
              </w:rPr>
              <w:t>金坛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szCs w:val="21"/>
              </w:rPr>
              <w:t>武进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szCs w:val="21"/>
              </w:rPr>
              <w:t>新北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szCs w:val="21"/>
              </w:rPr>
              <w:t>天宁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szCs w:val="21"/>
              </w:rPr>
              <w:t>钟楼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Times New Roman" w:hAnsi="Times New Roman" w:eastAsia="方正黑体_GBK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t>常州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方正黑体_GBK"/>
                <w:color w:val="000000"/>
                <w:spacing w:val="-8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spacing w:val="-8"/>
                <w:szCs w:val="21"/>
              </w:rPr>
              <w:t>经开</w:t>
            </w:r>
            <w:r>
              <w:rPr>
                <w:rFonts w:hint="eastAsia" w:ascii="Times New Roman" w:hAnsi="Times New Roman" w:eastAsia="方正黑体_GBK"/>
                <w:color w:val="000000"/>
                <w:spacing w:val="-8"/>
                <w:szCs w:val="21"/>
              </w:rPr>
              <w:t>区</w:t>
            </w:r>
          </w:p>
        </w:tc>
        <w:tc>
          <w:tcPr>
            <w:tcW w:w="591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szCs w:val="21"/>
              </w:rPr>
              <w:t>溧阳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szCs w:val="21"/>
              </w:rPr>
              <w:t>金坛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szCs w:val="21"/>
              </w:rPr>
              <w:t>武进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szCs w:val="21"/>
              </w:rPr>
              <w:t>新北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szCs w:val="21"/>
              </w:rPr>
              <w:t>天宁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szCs w:val="21"/>
              </w:rPr>
              <w:t>钟楼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Times New Roman" w:hAnsi="Times New Roman" w:eastAsia="方正黑体_GBK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t>常州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方正黑体_GBK"/>
                <w:color w:val="000000"/>
                <w:spacing w:val="-8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spacing w:val="-8"/>
                <w:szCs w:val="21"/>
              </w:rPr>
              <w:t>经开</w:t>
            </w:r>
            <w:r>
              <w:rPr>
                <w:rFonts w:hint="eastAsia" w:ascii="Times New Roman" w:hAnsi="Times New Roman" w:eastAsia="方正黑体_GBK"/>
                <w:color w:val="000000"/>
                <w:spacing w:val="-8"/>
                <w:szCs w:val="21"/>
              </w:rPr>
              <w:t>区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szCs w:val="21"/>
              </w:rPr>
              <w:t>溧阳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szCs w:val="21"/>
              </w:rPr>
              <w:t>金坛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szCs w:val="21"/>
              </w:rPr>
              <w:t>武进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szCs w:val="21"/>
              </w:rPr>
              <w:t>新北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szCs w:val="21"/>
              </w:rPr>
              <w:t>天宁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szCs w:val="21"/>
              </w:rPr>
              <w:t>钟楼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Times New Roman" w:hAnsi="Times New Roman" w:eastAsia="方正黑体_GBK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黑体_GBK"/>
                <w:color w:val="000000"/>
                <w:szCs w:val="21"/>
              </w:rPr>
              <w:t>常州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方正黑体_GBK"/>
                <w:color w:val="000000"/>
                <w:spacing w:val="-8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spacing w:val="-8"/>
                <w:szCs w:val="21"/>
              </w:rPr>
              <w:t>经开</w:t>
            </w:r>
            <w:r>
              <w:rPr>
                <w:rFonts w:hint="eastAsia" w:ascii="Times New Roman" w:hAnsi="Times New Roman" w:eastAsia="方正黑体_GBK"/>
                <w:color w:val="000000"/>
                <w:spacing w:val="-8"/>
                <w:szCs w:val="21"/>
              </w:rPr>
              <w:t>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新建、改扩建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普惠托育机构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新建、改扩建社区普惠托育服务设施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培育市级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普惠托育机构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创建省普惠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托育机构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创建省示范性托育机构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59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幼儿园新增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托班数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29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24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43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36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23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59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33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42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21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21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11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33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22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43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21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21</w:t>
            </w:r>
          </w:p>
        </w:tc>
        <w:tc>
          <w:tcPr>
            <w:tcW w:w="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每千人口拥有托位数</w:t>
            </w:r>
          </w:p>
        </w:tc>
        <w:tc>
          <w:tcPr>
            <w:tcW w:w="4146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4129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4.5</w:t>
            </w:r>
          </w:p>
        </w:tc>
        <w:tc>
          <w:tcPr>
            <w:tcW w:w="4141" w:type="dxa"/>
            <w:gridSpan w:val="7"/>
            <w:noWrap w:val="0"/>
            <w:vAlign w:val="center"/>
          </w:tcPr>
          <w:p>
            <w:pPr>
              <w:spacing w:line="320" w:lineRule="exact"/>
              <w:ind w:firstLine="56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4.8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418B555-A34B-42BF-B154-8C0614384A05}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2" w:fontKey="{02FAA5A4-3ABE-4012-BDDF-9EDB6C639960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EBEE42C9-1F16-4885-AA28-5C042EDAFB41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5NWQ2OTU1OGVjMGY1ODg1NzM3NDc2ZDYxMjhkZTIifQ=="/>
  </w:docVars>
  <w:rsids>
    <w:rsidRoot w:val="0083637E"/>
    <w:rsid w:val="00836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2022-12-26T02:20:00Z</dcterms:created>
  <dc:creator>丹丹</dc:creator>
  <cp:lastModifiedBy>丹丹</cp:lastModifiedBy>
  <dcterms:modified xsi:type="dcterms:W3CDTF">2022-12-26T02:21:19Z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A7CF4820CB9147D481183FE1DA0D1D7A</vt:lpwstr>
  </property>
</Properties>
</file>