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073" w:firstLineChars="243"/>
        <w:rPr>
          <w:rFonts w:asciiTheme="majorEastAsia" w:hAnsiTheme="majorEastAsia" w:eastAsiaTheme="majorEastAsia"/>
          <w:b/>
          <w:sz w:val="44"/>
          <w:szCs w:val="44"/>
        </w:rPr>
      </w:pPr>
      <w:r>
        <w:rPr>
          <w:rFonts w:hint="eastAsia" w:asciiTheme="majorEastAsia" w:hAnsiTheme="majorEastAsia" w:eastAsiaTheme="majorEastAsia"/>
          <w:b/>
          <w:sz w:val="44"/>
          <w:szCs w:val="44"/>
        </w:rPr>
        <w:t>一、</w:t>
      </w:r>
      <w:r>
        <w:rPr>
          <w:rFonts w:asciiTheme="majorEastAsia" w:hAnsiTheme="majorEastAsia" w:eastAsiaTheme="majorEastAsia"/>
          <w:b/>
          <w:sz w:val="44"/>
          <w:szCs w:val="44"/>
        </w:rPr>
        <w:t>常州市人民政府外事办公室</w:t>
      </w:r>
      <w:r>
        <w:rPr>
          <w:rFonts w:hint="eastAsia" w:asciiTheme="majorEastAsia" w:hAnsiTheme="majorEastAsia" w:eastAsiaTheme="majorEastAsia"/>
          <w:b/>
          <w:sz w:val="44"/>
          <w:szCs w:val="44"/>
        </w:rPr>
        <w:t>概况</w:t>
      </w:r>
    </w:p>
    <w:p>
      <w:pPr>
        <w:ind w:firstLine="640"/>
        <w:jc w:val="center"/>
        <w:rPr>
          <w:rFonts w:asciiTheme="majorEastAsia" w:hAnsiTheme="majorEastAsia" w:eastAsiaTheme="majorEastAsia"/>
          <w:szCs w:val="32"/>
        </w:rPr>
      </w:pP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常州市人民政府外事办公室，挂常州市人民政府港澳事务办公室牌子，为市政府工作部门。</w:t>
      </w:r>
    </w:p>
    <w:p>
      <w:pPr>
        <w:spacing w:line="570" w:lineRule="exact"/>
        <w:ind w:firstLine="643"/>
        <w:rPr>
          <w:rFonts w:asciiTheme="minorEastAsia" w:hAnsiTheme="minorEastAsia" w:eastAsiaTheme="minorEastAsia"/>
          <w:szCs w:val="32"/>
        </w:rPr>
      </w:pPr>
      <w:r>
        <w:rPr>
          <w:rFonts w:hint="eastAsia" w:asciiTheme="minorEastAsia" w:hAnsiTheme="minorEastAsia" w:eastAsiaTheme="minorEastAsia"/>
          <w:b/>
          <w:szCs w:val="32"/>
        </w:rPr>
        <w:t>常州市人民政府外事办公室主要职责</w:t>
      </w:r>
      <w:r>
        <w:rPr>
          <w:rFonts w:hint="eastAsia" w:asciiTheme="minorEastAsia" w:hAnsiTheme="minorEastAsia" w:eastAsiaTheme="minorEastAsia"/>
          <w:szCs w:val="32"/>
        </w:rPr>
        <w:t>：</w:t>
      </w:r>
    </w:p>
    <w:p>
      <w:pPr>
        <w:spacing w:line="570" w:lineRule="exact"/>
        <w:ind w:firstLine="640"/>
        <w:rPr>
          <w:rFonts w:asciiTheme="minorEastAsia" w:hAnsiTheme="minorEastAsia" w:eastAsiaTheme="minorEastAsia"/>
          <w:color w:val="000000"/>
          <w:kern w:val="0"/>
          <w:szCs w:val="32"/>
        </w:rPr>
      </w:pPr>
      <w:r>
        <w:rPr>
          <w:rFonts w:hint="eastAsia" w:asciiTheme="minorEastAsia" w:hAnsiTheme="minorEastAsia" w:eastAsiaTheme="minorEastAsia"/>
          <w:color w:val="000000"/>
          <w:kern w:val="0"/>
          <w:szCs w:val="32"/>
        </w:rPr>
        <w:t>（</w:t>
      </w:r>
      <w:r>
        <w:rPr>
          <w:rFonts w:asciiTheme="minorEastAsia" w:hAnsiTheme="minorEastAsia" w:eastAsiaTheme="minorEastAsia"/>
          <w:color w:val="000000"/>
          <w:kern w:val="0"/>
          <w:szCs w:val="32"/>
        </w:rPr>
        <w:t>一</w:t>
      </w:r>
      <w:r>
        <w:rPr>
          <w:rFonts w:hint="eastAsia" w:asciiTheme="minorEastAsia" w:hAnsiTheme="minorEastAsia" w:eastAsiaTheme="minorEastAsia"/>
          <w:color w:val="000000"/>
          <w:kern w:val="0"/>
          <w:szCs w:val="32"/>
        </w:rPr>
        <w:t>）</w:t>
      </w:r>
      <w:r>
        <w:rPr>
          <w:rFonts w:asciiTheme="minorEastAsia" w:hAnsiTheme="minorEastAsia" w:eastAsiaTheme="minorEastAsia"/>
          <w:color w:val="000000"/>
          <w:kern w:val="0"/>
          <w:szCs w:val="32"/>
        </w:rPr>
        <w:t>贯彻我国的对外方针政策、涉外法规</w:t>
      </w:r>
      <w:r>
        <w:rPr>
          <w:rFonts w:hint="eastAsia" w:asciiTheme="minorEastAsia" w:hAnsiTheme="minorEastAsia" w:eastAsiaTheme="minorEastAsia"/>
          <w:color w:val="000000"/>
          <w:kern w:val="0"/>
          <w:szCs w:val="32"/>
        </w:rPr>
        <w:t>，执行</w:t>
      </w:r>
      <w:r>
        <w:rPr>
          <w:rFonts w:asciiTheme="minorEastAsia" w:hAnsiTheme="minorEastAsia" w:eastAsiaTheme="minorEastAsia"/>
          <w:color w:val="000000"/>
          <w:kern w:val="0"/>
          <w:szCs w:val="32"/>
        </w:rPr>
        <w:t>省</w:t>
      </w:r>
      <w:r>
        <w:rPr>
          <w:rFonts w:hint="eastAsia" w:asciiTheme="minorEastAsia" w:hAnsiTheme="minorEastAsia" w:eastAsiaTheme="minorEastAsia"/>
          <w:color w:val="000000"/>
          <w:kern w:val="0"/>
          <w:szCs w:val="32"/>
        </w:rPr>
        <w:t>委、省政府和</w:t>
      </w:r>
      <w:r>
        <w:rPr>
          <w:rFonts w:asciiTheme="minorEastAsia" w:hAnsiTheme="minorEastAsia" w:eastAsiaTheme="minorEastAsia"/>
          <w:color w:val="000000"/>
          <w:kern w:val="0"/>
          <w:szCs w:val="32"/>
        </w:rPr>
        <w:t>市委、</w:t>
      </w:r>
      <w:r>
        <w:rPr>
          <w:rFonts w:hint="eastAsia" w:asciiTheme="minorEastAsia" w:hAnsiTheme="minorEastAsia" w:eastAsiaTheme="minorEastAsia"/>
          <w:color w:val="000000"/>
          <w:kern w:val="0"/>
          <w:szCs w:val="32"/>
        </w:rPr>
        <w:t>市</w:t>
      </w:r>
      <w:r>
        <w:rPr>
          <w:rFonts w:asciiTheme="minorEastAsia" w:hAnsiTheme="minorEastAsia" w:eastAsiaTheme="minorEastAsia"/>
          <w:color w:val="000000"/>
          <w:kern w:val="0"/>
          <w:szCs w:val="32"/>
        </w:rPr>
        <w:t>政府关于外事工作的指示、决定。</w:t>
      </w:r>
    </w:p>
    <w:p>
      <w:pPr>
        <w:spacing w:line="570" w:lineRule="exact"/>
        <w:ind w:firstLine="640"/>
        <w:rPr>
          <w:rFonts w:asciiTheme="minorEastAsia" w:hAnsiTheme="minorEastAsia" w:eastAsiaTheme="minorEastAsia"/>
          <w:color w:val="000000"/>
          <w:kern w:val="0"/>
          <w:szCs w:val="32"/>
        </w:rPr>
      </w:pPr>
      <w:r>
        <w:rPr>
          <w:rFonts w:hint="eastAsia" w:asciiTheme="minorEastAsia" w:hAnsiTheme="minorEastAsia" w:eastAsiaTheme="minorEastAsia"/>
          <w:color w:val="000000"/>
          <w:kern w:val="0"/>
          <w:szCs w:val="32"/>
        </w:rPr>
        <w:t>（二）负责拟订</w:t>
      </w:r>
      <w:r>
        <w:rPr>
          <w:rFonts w:asciiTheme="minorEastAsia" w:hAnsiTheme="minorEastAsia" w:eastAsiaTheme="minorEastAsia"/>
          <w:color w:val="000000"/>
          <w:kern w:val="0"/>
          <w:szCs w:val="32"/>
        </w:rPr>
        <w:t>本市外事工作规章制度</w:t>
      </w:r>
      <w:r>
        <w:rPr>
          <w:rFonts w:hint="eastAsia" w:asciiTheme="minorEastAsia" w:hAnsiTheme="minorEastAsia" w:eastAsiaTheme="minorEastAsia"/>
          <w:color w:val="000000"/>
          <w:kern w:val="0"/>
          <w:szCs w:val="32"/>
        </w:rPr>
        <w:t>、提出</w:t>
      </w:r>
      <w:r>
        <w:rPr>
          <w:rFonts w:asciiTheme="minorEastAsia" w:hAnsiTheme="minorEastAsia" w:eastAsiaTheme="minorEastAsia"/>
          <w:color w:val="000000"/>
          <w:kern w:val="0"/>
          <w:szCs w:val="32"/>
        </w:rPr>
        <w:t>工作规划</w:t>
      </w:r>
      <w:r>
        <w:rPr>
          <w:rFonts w:hint="eastAsia" w:asciiTheme="minorEastAsia" w:hAnsiTheme="minorEastAsia" w:eastAsiaTheme="minorEastAsia"/>
          <w:color w:val="000000"/>
          <w:kern w:val="0"/>
          <w:szCs w:val="32"/>
        </w:rPr>
        <w:t>建议；</w:t>
      </w:r>
      <w:r>
        <w:rPr>
          <w:rFonts w:asciiTheme="minorEastAsia" w:hAnsiTheme="minorEastAsia" w:eastAsiaTheme="minorEastAsia"/>
          <w:color w:val="000000"/>
          <w:kern w:val="0"/>
          <w:szCs w:val="32"/>
        </w:rPr>
        <w:t>协调本市重大外事工作、涉外活动；负责处理或协助处理本市重大涉外事务。</w:t>
      </w:r>
    </w:p>
    <w:p>
      <w:pPr>
        <w:spacing w:line="570" w:lineRule="exact"/>
        <w:ind w:firstLine="640"/>
        <w:rPr>
          <w:rFonts w:asciiTheme="minorEastAsia" w:hAnsiTheme="minorEastAsia" w:eastAsiaTheme="minorEastAsia"/>
          <w:color w:val="000000"/>
          <w:kern w:val="0"/>
          <w:szCs w:val="32"/>
        </w:rPr>
      </w:pPr>
      <w:r>
        <w:rPr>
          <w:rFonts w:hint="eastAsia" w:asciiTheme="minorEastAsia" w:hAnsiTheme="minorEastAsia" w:eastAsiaTheme="minorEastAsia"/>
          <w:color w:val="000000"/>
          <w:kern w:val="0"/>
          <w:szCs w:val="32"/>
        </w:rPr>
        <w:t>（三）</w:t>
      </w:r>
      <w:r>
        <w:rPr>
          <w:rFonts w:asciiTheme="minorEastAsia" w:hAnsiTheme="minorEastAsia" w:eastAsiaTheme="minorEastAsia"/>
          <w:color w:val="000000"/>
          <w:kern w:val="0"/>
          <w:szCs w:val="32"/>
        </w:rPr>
        <w:t>负责本地区的外事调研工作，为市委、市政府提供意见和建议；利用对外交往渠道，为本市的经济建设和社会发展服务。</w:t>
      </w:r>
    </w:p>
    <w:p>
      <w:pPr>
        <w:spacing w:line="570" w:lineRule="exact"/>
        <w:ind w:firstLine="640"/>
        <w:rPr>
          <w:rFonts w:asciiTheme="minorEastAsia" w:hAnsiTheme="minorEastAsia" w:eastAsiaTheme="minorEastAsia"/>
          <w:color w:val="000000"/>
          <w:kern w:val="0"/>
          <w:szCs w:val="32"/>
        </w:rPr>
      </w:pPr>
      <w:r>
        <w:rPr>
          <w:rFonts w:hint="eastAsia" w:asciiTheme="minorEastAsia" w:hAnsiTheme="minorEastAsia" w:eastAsiaTheme="minorEastAsia"/>
          <w:color w:val="000000"/>
          <w:kern w:val="0"/>
          <w:szCs w:val="32"/>
        </w:rPr>
        <w:t>（四）</w:t>
      </w:r>
      <w:r>
        <w:rPr>
          <w:rFonts w:asciiTheme="minorEastAsia" w:hAnsiTheme="minorEastAsia" w:eastAsiaTheme="minorEastAsia"/>
          <w:color w:val="000000"/>
          <w:kern w:val="0"/>
          <w:szCs w:val="32"/>
        </w:rPr>
        <w:t>负责组织接待来访的国宾</w:t>
      </w:r>
      <w:r>
        <w:rPr>
          <w:rFonts w:hint="eastAsia" w:asciiTheme="minorEastAsia" w:hAnsiTheme="minorEastAsia" w:eastAsiaTheme="minorEastAsia"/>
          <w:color w:val="000000"/>
          <w:kern w:val="0"/>
          <w:szCs w:val="32"/>
        </w:rPr>
        <w:t>、党宾</w:t>
      </w:r>
      <w:r>
        <w:rPr>
          <w:rFonts w:asciiTheme="minorEastAsia" w:hAnsiTheme="minorEastAsia" w:eastAsiaTheme="minorEastAsia"/>
          <w:color w:val="000000"/>
          <w:kern w:val="0"/>
          <w:szCs w:val="32"/>
        </w:rPr>
        <w:t>和其他重要外宾；负责接待、管理来本市进行公务活动的外国驻华外交人员</w:t>
      </w:r>
      <w:r>
        <w:rPr>
          <w:rFonts w:hint="eastAsia" w:asciiTheme="minorEastAsia" w:hAnsiTheme="minorEastAsia" w:eastAsiaTheme="minorEastAsia"/>
          <w:color w:val="000000"/>
          <w:kern w:val="0"/>
          <w:szCs w:val="32"/>
        </w:rPr>
        <w:t>；协助</w:t>
      </w:r>
      <w:r>
        <w:rPr>
          <w:rFonts w:asciiTheme="minorEastAsia" w:hAnsiTheme="minorEastAsia" w:eastAsiaTheme="minorEastAsia"/>
          <w:color w:val="000000"/>
          <w:kern w:val="0"/>
          <w:szCs w:val="32"/>
        </w:rPr>
        <w:t>市委、市政府对本市需要统筹协调的重要外事事项</w:t>
      </w:r>
      <w:r>
        <w:rPr>
          <w:rFonts w:hint="eastAsia" w:asciiTheme="minorEastAsia" w:hAnsiTheme="minorEastAsia" w:eastAsiaTheme="minorEastAsia"/>
          <w:color w:val="000000"/>
          <w:kern w:val="0"/>
          <w:szCs w:val="32"/>
        </w:rPr>
        <w:t>实施</w:t>
      </w:r>
      <w:r>
        <w:rPr>
          <w:rFonts w:asciiTheme="minorEastAsia" w:hAnsiTheme="minorEastAsia" w:eastAsiaTheme="minorEastAsia"/>
          <w:color w:val="000000"/>
          <w:kern w:val="0"/>
          <w:szCs w:val="32"/>
        </w:rPr>
        <w:t>综合归口管理；统筹安排市委、市人大、市政府和市政协领导人的外事活动；负责指导并会同有关部门做好外国人</w:t>
      </w:r>
      <w:r>
        <w:rPr>
          <w:rFonts w:hint="eastAsia" w:asciiTheme="minorEastAsia" w:hAnsiTheme="minorEastAsia" w:eastAsiaTheme="minorEastAsia"/>
          <w:color w:val="000000"/>
          <w:kern w:val="0"/>
          <w:szCs w:val="32"/>
        </w:rPr>
        <w:t>和</w:t>
      </w:r>
      <w:r>
        <w:rPr>
          <w:rFonts w:asciiTheme="minorEastAsia" w:hAnsiTheme="minorEastAsia" w:eastAsiaTheme="minorEastAsia"/>
          <w:color w:val="000000"/>
          <w:kern w:val="0"/>
          <w:szCs w:val="32"/>
        </w:rPr>
        <w:t>来</w:t>
      </w:r>
      <w:r>
        <w:rPr>
          <w:rFonts w:hint="eastAsia" w:asciiTheme="minorEastAsia" w:hAnsiTheme="minorEastAsia" w:eastAsiaTheme="minorEastAsia"/>
          <w:color w:val="000000"/>
          <w:kern w:val="0"/>
          <w:szCs w:val="32"/>
        </w:rPr>
        <w:t>本市采访</w:t>
      </w:r>
      <w:r>
        <w:rPr>
          <w:rFonts w:asciiTheme="minorEastAsia" w:hAnsiTheme="minorEastAsia" w:eastAsiaTheme="minorEastAsia"/>
          <w:color w:val="000000"/>
          <w:kern w:val="0"/>
          <w:szCs w:val="32"/>
        </w:rPr>
        <w:t>的</w:t>
      </w:r>
      <w:r>
        <w:rPr>
          <w:rFonts w:hint="eastAsia" w:asciiTheme="minorEastAsia" w:hAnsiTheme="minorEastAsia" w:eastAsiaTheme="minorEastAsia"/>
          <w:color w:val="000000"/>
          <w:kern w:val="0"/>
          <w:szCs w:val="32"/>
        </w:rPr>
        <w:t>外国记者的</w:t>
      </w:r>
      <w:r>
        <w:rPr>
          <w:rFonts w:asciiTheme="minorEastAsia" w:hAnsiTheme="minorEastAsia" w:eastAsiaTheme="minorEastAsia"/>
          <w:color w:val="000000"/>
          <w:kern w:val="0"/>
          <w:szCs w:val="32"/>
        </w:rPr>
        <w:t>接待工作。</w:t>
      </w:r>
    </w:p>
    <w:p>
      <w:pPr>
        <w:spacing w:line="570" w:lineRule="exact"/>
        <w:ind w:firstLine="640"/>
        <w:rPr>
          <w:rFonts w:asciiTheme="minorEastAsia" w:hAnsiTheme="minorEastAsia" w:eastAsiaTheme="minorEastAsia"/>
          <w:color w:val="000000"/>
          <w:kern w:val="0"/>
          <w:szCs w:val="32"/>
        </w:rPr>
      </w:pPr>
      <w:r>
        <w:rPr>
          <w:rFonts w:hint="eastAsia" w:asciiTheme="minorEastAsia" w:hAnsiTheme="minorEastAsia" w:eastAsiaTheme="minorEastAsia"/>
          <w:color w:val="000000"/>
          <w:kern w:val="0"/>
          <w:szCs w:val="32"/>
        </w:rPr>
        <w:t>（五）</w:t>
      </w:r>
      <w:r>
        <w:rPr>
          <w:rFonts w:asciiTheme="minorEastAsia" w:hAnsiTheme="minorEastAsia" w:eastAsiaTheme="minorEastAsia"/>
          <w:color w:val="000000"/>
          <w:kern w:val="0"/>
          <w:szCs w:val="32"/>
        </w:rPr>
        <w:t>审核本市各部门、各单位报请市委或市政府审批的外事文件；承办市委、市人大、市政府和市政协领导人出访和邀请外国人现职副部长级以上人员来访的报批事宜；承办或审核、报批本市县处级及其</w:t>
      </w:r>
      <w:r>
        <w:rPr>
          <w:rFonts w:hint="eastAsia" w:asciiTheme="minorEastAsia" w:hAnsiTheme="minorEastAsia" w:eastAsiaTheme="minorEastAsia"/>
          <w:color w:val="000000"/>
          <w:kern w:val="0"/>
          <w:szCs w:val="32"/>
        </w:rPr>
        <w:t>以下</w:t>
      </w:r>
      <w:r>
        <w:rPr>
          <w:rFonts w:asciiTheme="minorEastAsia" w:hAnsiTheme="minorEastAsia" w:eastAsiaTheme="minorEastAsia"/>
          <w:color w:val="000000"/>
          <w:kern w:val="0"/>
          <w:szCs w:val="32"/>
        </w:rPr>
        <w:t>人员因公出国（境）和邀请外国相应人员来访的有关事宜；代拟市政府出国任务批件；负责申办本市因公出国（境）人员的护照、签证手续</w:t>
      </w:r>
      <w:r>
        <w:rPr>
          <w:rFonts w:hint="eastAsia" w:asciiTheme="minorEastAsia" w:hAnsiTheme="minorEastAsia" w:eastAsiaTheme="minorEastAsia"/>
          <w:color w:val="000000"/>
          <w:kern w:val="0"/>
          <w:szCs w:val="32"/>
        </w:rPr>
        <w:t>，签发</w:t>
      </w:r>
      <w:r>
        <w:rPr>
          <w:rFonts w:asciiTheme="minorEastAsia" w:hAnsiTheme="minorEastAsia" w:eastAsiaTheme="minorEastAsia"/>
          <w:color w:val="000000"/>
          <w:kern w:val="0"/>
          <w:szCs w:val="32"/>
        </w:rPr>
        <w:t>应邀来访外国人的签证通知函</w:t>
      </w:r>
      <w:r>
        <w:rPr>
          <w:rFonts w:hint="eastAsia" w:asciiTheme="minorEastAsia" w:hAnsiTheme="minorEastAsia" w:eastAsiaTheme="minorEastAsia"/>
          <w:color w:val="000000"/>
          <w:kern w:val="0"/>
          <w:szCs w:val="32"/>
        </w:rPr>
        <w:t>以及其他</w:t>
      </w:r>
      <w:r>
        <w:rPr>
          <w:rFonts w:asciiTheme="minorEastAsia" w:hAnsiTheme="minorEastAsia" w:eastAsiaTheme="minorEastAsia"/>
          <w:color w:val="000000"/>
          <w:kern w:val="0"/>
          <w:szCs w:val="32"/>
        </w:rPr>
        <w:t>领事业务</w:t>
      </w:r>
      <w:r>
        <w:rPr>
          <w:rFonts w:hint="eastAsia" w:asciiTheme="minorEastAsia" w:hAnsiTheme="minorEastAsia" w:eastAsiaTheme="minorEastAsia"/>
          <w:color w:val="000000"/>
          <w:kern w:val="0"/>
          <w:szCs w:val="32"/>
        </w:rPr>
        <w:t>；负责亚太经济合作组织商务卡的申办和管理事务</w:t>
      </w:r>
      <w:r>
        <w:rPr>
          <w:rFonts w:asciiTheme="minorEastAsia" w:hAnsiTheme="minorEastAsia" w:eastAsiaTheme="minorEastAsia"/>
          <w:color w:val="000000"/>
          <w:kern w:val="0"/>
          <w:szCs w:val="32"/>
        </w:rPr>
        <w:t>。</w:t>
      </w:r>
    </w:p>
    <w:p>
      <w:pPr>
        <w:spacing w:line="570" w:lineRule="exact"/>
        <w:ind w:firstLine="640"/>
        <w:rPr>
          <w:rFonts w:asciiTheme="minorEastAsia" w:hAnsiTheme="minorEastAsia" w:eastAsiaTheme="minorEastAsia"/>
          <w:color w:val="000000"/>
          <w:kern w:val="0"/>
          <w:szCs w:val="32"/>
        </w:rPr>
      </w:pPr>
      <w:r>
        <w:rPr>
          <w:rFonts w:hint="eastAsia" w:asciiTheme="minorEastAsia" w:hAnsiTheme="minorEastAsia" w:eastAsiaTheme="minorEastAsia"/>
          <w:color w:val="000000"/>
          <w:kern w:val="0"/>
          <w:szCs w:val="32"/>
        </w:rPr>
        <w:t>（六）</w:t>
      </w:r>
      <w:r>
        <w:rPr>
          <w:rFonts w:asciiTheme="minorEastAsia" w:hAnsiTheme="minorEastAsia" w:eastAsiaTheme="minorEastAsia"/>
          <w:color w:val="000000"/>
          <w:kern w:val="0"/>
          <w:szCs w:val="32"/>
        </w:rPr>
        <w:t>负责因公出国（境）团组人员的管理，了解</w:t>
      </w:r>
      <w:r>
        <w:rPr>
          <w:rFonts w:hint="eastAsia" w:asciiTheme="minorEastAsia" w:hAnsiTheme="minorEastAsia" w:eastAsiaTheme="minorEastAsia"/>
          <w:color w:val="000000"/>
          <w:kern w:val="0"/>
          <w:szCs w:val="32"/>
        </w:rPr>
        <w:t>、</w:t>
      </w:r>
      <w:r>
        <w:rPr>
          <w:rFonts w:asciiTheme="minorEastAsia" w:hAnsiTheme="minorEastAsia" w:eastAsiaTheme="minorEastAsia"/>
          <w:color w:val="000000"/>
          <w:kern w:val="0"/>
          <w:szCs w:val="32"/>
        </w:rPr>
        <w:t>核查出国（境）团组、人员在国（境）外活动情况；牵头</w:t>
      </w:r>
      <w:r>
        <w:rPr>
          <w:rFonts w:hint="eastAsia" w:asciiTheme="minorEastAsia" w:hAnsiTheme="minorEastAsia" w:eastAsiaTheme="minorEastAsia"/>
          <w:color w:val="000000"/>
          <w:kern w:val="0"/>
          <w:szCs w:val="32"/>
        </w:rPr>
        <w:t>负责</w:t>
      </w:r>
      <w:r>
        <w:rPr>
          <w:rFonts w:asciiTheme="minorEastAsia" w:hAnsiTheme="minorEastAsia" w:eastAsiaTheme="minorEastAsia"/>
          <w:color w:val="000000"/>
          <w:kern w:val="0"/>
          <w:szCs w:val="32"/>
        </w:rPr>
        <w:t>严格制止用公款变相出国（境）旅游和不必要的公务出国（境）活动。</w:t>
      </w:r>
    </w:p>
    <w:p>
      <w:pPr>
        <w:spacing w:line="570" w:lineRule="exact"/>
        <w:ind w:firstLine="640"/>
        <w:rPr>
          <w:rFonts w:asciiTheme="minorEastAsia" w:hAnsiTheme="minorEastAsia" w:eastAsiaTheme="minorEastAsia"/>
          <w:color w:val="000000"/>
          <w:kern w:val="0"/>
          <w:szCs w:val="32"/>
        </w:rPr>
      </w:pPr>
      <w:r>
        <w:rPr>
          <w:rFonts w:hint="eastAsia" w:asciiTheme="minorEastAsia" w:hAnsiTheme="minorEastAsia" w:eastAsiaTheme="minorEastAsia"/>
          <w:color w:val="000000"/>
          <w:kern w:val="0"/>
          <w:szCs w:val="32"/>
        </w:rPr>
        <w:t>（七）</w:t>
      </w:r>
      <w:r>
        <w:rPr>
          <w:rFonts w:asciiTheme="minorEastAsia" w:hAnsiTheme="minorEastAsia" w:eastAsiaTheme="minorEastAsia"/>
          <w:color w:val="000000"/>
          <w:kern w:val="0"/>
          <w:szCs w:val="32"/>
        </w:rPr>
        <w:t>归口管理本</w:t>
      </w:r>
      <w:r>
        <w:rPr>
          <w:rFonts w:hint="eastAsia" w:asciiTheme="minorEastAsia" w:hAnsiTheme="minorEastAsia" w:eastAsiaTheme="minorEastAsia"/>
          <w:color w:val="000000"/>
          <w:kern w:val="0"/>
          <w:szCs w:val="32"/>
        </w:rPr>
        <w:t>市</w:t>
      </w:r>
      <w:r>
        <w:rPr>
          <w:rFonts w:asciiTheme="minorEastAsia" w:hAnsiTheme="minorEastAsia" w:eastAsiaTheme="minorEastAsia"/>
          <w:color w:val="000000"/>
          <w:kern w:val="0"/>
          <w:szCs w:val="32"/>
        </w:rPr>
        <w:t>友好城市工作，负责办理对外结好报批手续；制订、审核本市友好城市</w:t>
      </w:r>
      <w:r>
        <w:rPr>
          <w:rFonts w:hint="eastAsia" w:asciiTheme="minorEastAsia" w:hAnsiTheme="minorEastAsia" w:eastAsiaTheme="minorEastAsia"/>
          <w:color w:val="000000"/>
          <w:kern w:val="0"/>
          <w:szCs w:val="32"/>
        </w:rPr>
        <w:t>及与外国</w:t>
      </w:r>
      <w:r>
        <w:rPr>
          <w:rFonts w:asciiTheme="minorEastAsia" w:hAnsiTheme="minorEastAsia" w:eastAsiaTheme="minorEastAsia"/>
          <w:color w:val="000000"/>
          <w:kern w:val="0"/>
          <w:szCs w:val="32"/>
        </w:rPr>
        <w:t>地方友好交往的交流计划；</w:t>
      </w:r>
      <w:r>
        <w:rPr>
          <w:rFonts w:hint="eastAsia" w:asciiTheme="minorEastAsia" w:hAnsiTheme="minorEastAsia" w:eastAsiaTheme="minorEastAsia"/>
          <w:color w:val="000000"/>
          <w:kern w:val="0"/>
          <w:szCs w:val="32"/>
        </w:rPr>
        <w:t>指导</w:t>
      </w:r>
      <w:r>
        <w:rPr>
          <w:rFonts w:asciiTheme="minorEastAsia" w:hAnsiTheme="minorEastAsia" w:eastAsiaTheme="minorEastAsia"/>
          <w:color w:val="000000"/>
          <w:kern w:val="0"/>
          <w:szCs w:val="32"/>
        </w:rPr>
        <w:t>市人民对外友好协会</w:t>
      </w:r>
      <w:r>
        <w:rPr>
          <w:rFonts w:hint="eastAsia" w:asciiTheme="minorEastAsia" w:hAnsiTheme="minorEastAsia" w:eastAsiaTheme="minorEastAsia"/>
          <w:color w:val="000000"/>
          <w:kern w:val="0"/>
          <w:szCs w:val="32"/>
        </w:rPr>
        <w:t>的工作</w:t>
      </w:r>
      <w:r>
        <w:rPr>
          <w:rFonts w:asciiTheme="minorEastAsia" w:hAnsiTheme="minorEastAsia" w:eastAsiaTheme="minorEastAsia"/>
          <w:color w:val="000000"/>
          <w:kern w:val="0"/>
          <w:szCs w:val="32"/>
        </w:rPr>
        <w:t>；指导本市民间友好团体以及其他地方性团体对外友好交往活动；承办、报批本市各部门成立的主要从事对外交往活动的机构、团体有关事项。</w:t>
      </w:r>
    </w:p>
    <w:p>
      <w:pPr>
        <w:spacing w:line="570" w:lineRule="exact"/>
        <w:ind w:firstLine="640"/>
        <w:rPr>
          <w:rFonts w:asciiTheme="minorEastAsia" w:hAnsiTheme="minorEastAsia" w:eastAsiaTheme="minorEastAsia"/>
          <w:color w:val="000000"/>
          <w:kern w:val="0"/>
          <w:szCs w:val="32"/>
        </w:rPr>
      </w:pPr>
      <w:r>
        <w:rPr>
          <w:rFonts w:hint="eastAsia" w:asciiTheme="minorEastAsia" w:hAnsiTheme="minorEastAsia" w:eastAsiaTheme="minorEastAsia"/>
          <w:color w:val="000000"/>
          <w:kern w:val="0"/>
          <w:szCs w:val="32"/>
        </w:rPr>
        <w:t>（八）</w:t>
      </w:r>
      <w:r>
        <w:rPr>
          <w:rFonts w:asciiTheme="minorEastAsia" w:hAnsiTheme="minorEastAsia" w:eastAsiaTheme="minorEastAsia"/>
          <w:color w:val="000000"/>
          <w:kern w:val="0"/>
          <w:szCs w:val="32"/>
        </w:rPr>
        <w:t>承办本市与外国有关领事机构的业务联系和</w:t>
      </w:r>
      <w:r>
        <w:rPr>
          <w:rFonts w:hint="eastAsia" w:asciiTheme="minorEastAsia" w:hAnsiTheme="minorEastAsia" w:eastAsiaTheme="minorEastAsia"/>
          <w:color w:val="000000"/>
          <w:kern w:val="0"/>
          <w:szCs w:val="32"/>
        </w:rPr>
        <w:t>交涉</w:t>
      </w:r>
      <w:r>
        <w:rPr>
          <w:rFonts w:asciiTheme="minorEastAsia" w:hAnsiTheme="minorEastAsia" w:eastAsiaTheme="minorEastAsia"/>
          <w:color w:val="000000"/>
          <w:kern w:val="0"/>
          <w:szCs w:val="32"/>
        </w:rPr>
        <w:t>事宜</w:t>
      </w:r>
      <w:r>
        <w:rPr>
          <w:rFonts w:hint="eastAsia" w:asciiTheme="minorEastAsia" w:hAnsiTheme="minorEastAsia" w:eastAsiaTheme="minorEastAsia"/>
          <w:color w:val="000000"/>
          <w:kern w:val="0"/>
          <w:szCs w:val="32"/>
        </w:rPr>
        <w:t>；</w:t>
      </w:r>
      <w:r>
        <w:rPr>
          <w:rFonts w:asciiTheme="minorEastAsia" w:hAnsiTheme="minorEastAsia" w:eastAsiaTheme="minorEastAsia"/>
          <w:color w:val="000000"/>
          <w:kern w:val="0"/>
          <w:szCs w:val="32"/>
        </w:rPr>
        <w:t>归口管理本市各部门、单位与外国</w:t>
      </w:r>
      <w:r>
        <w:rPr>
          <w:rFonts w:hint="eastAsia" w:asciiTheme="minorEastAsia" w:hAnsiTheme="minorEastAsia" w:eastAsiaTheme="minorEastAsia"/>
          <w:color w:val="000000"/>
          <w:kern w:val="0"/>
          <w:szCs w:val="32"/>
        </w:rPr>
        <w:t>驻华使领馆的交往活动；</w:t>
      </w:r>
      <w:r>
        <w:rPr>
          <w:rFonts w:asciiTheme="minorEastAsia" w:hAnsiTheme="minorEastAsia" w:eastAsiaTheme="minorEastAsia"/>
          <w:color w:val="000000"/>
          <w:kern w:val="0"/>
          <w:szCs w:val="32"/>
        </w:rPr>
        <w:t>会同市有关部门指导管理本市口岸的外事业务</w:t>
      </w:r>
      <w:r>
        <w:rPr>
          <w:rFonts w:hint="eastAsia" w:asciiTheme="minorEastAsia" w:hAnsiTheme="minorEastAsia" w:eastAsiaTheme="minorEastAsia"/>
          <w:color w:val="000000"/>
          <w:kern w:val="0"/>
          <w:szCs w:val="32"/>
        </w:rPr>
        <w:t>、处理</w:t>
      </w:r>
      <w:r>
        <w:rPr>
          <w:rFonts w:asciiTheme="minorEastAsia" w:hAnsiTheme="minorEastAsia" w:eastAsiaTheme="minorEastAsia"/>
          <w:color w:val="000000"/>
          <w:kern w:val="0"/>
          <w:szCs w:val="32"/>
        </w:rPr>
        <w:t>涉外</w:t>
      </w:r>
      <w:r>
        <w:rPr>
          <w:rFonts w:hint="eastAsia" w:asciiTheme="minorEastAsia" w:hAnsiTheme="minorEastAsia" w:eastAsiaTheme="minorEastAsia"/>
          <w:color w:val="000000"/>
          <w:kern w:val="0"/>
          <w:szCs w:val="32"/>
        </w:rPr>
        <w:t>事务。</w:t>
      </w:r>
    </w:p>
    <w:p>
      <w:pPr>
        <w:spacing w:line="570" w:lineRule="exact"/>
        <w:ind w:firstLine="640"/>
        <w:rPr>
          <w:rFonts w:asciiTheme="minorEastAsia" w:hAnsiTheme="minorEastAsia" w:eastAsiaTheme="minorEastAsia"/>
          <w:color w:val="000000"/>
          <w:kern w:val="0"/>
          <w:szCs w:val="32"/>
        </w:rPr>
      </w:pPr>
      <w:r>
        <w:rPr>
          <w:rFonts w:hint="eastAsia" w:asciiTheme="minorEastAsia" w:hAnsiTheme="minorEastAsia" w:eastAsiaTheme="minorEastAsia"/>
          <w:color w:val="000000"/>
          <w:kern w:val="0"/>
          <w:szCs w:val="32"/>
        </w:rPr>
        <w:t>（九）</w:t>
      </w:r>
      <w:r>
        <w:rPr>
          <w:rFonts w:asciiTheme="minorEastAsia" w:hAnsiTheme="minorEastAsia" w:eastAsiaTheme="minorEastAsia"/>
          <w:color w:val="000000"/>
          <w:kern w:val="0"/>
          <w:szCs w:val="32"/>
        </w:rPr>
        <w:t>指导本市各部门、单位做好外国人管理工作；协调有关部门管理出国培训工作；</w:t>
      </w:r>
      <w:r>
        <w:rPr>
          <w:rFonts w:hint="eastAsia" w:asciiTheme="minorEastAsia" w:hAnsiTheme="minorEastAsia" w:eastAsiaTheme="minorEastAsia"/>
          <w:color w:val="000000"/>
          <w:kern w:val="0"/>
          <w:szCs w:val="32"/>
        </w:rPr>
        <w:t>协同</w:t>
      </w:r>
      <w:r>
        <w:rPr>
          <w:rFonts w:asciiTheme="minorEastAsia" w:hAnsiTheme="minorEastAsia" w:eastAsiaTheme="minorEastAsia"/>
          <w:color w:val="000000"/>
          <w:kern w:val="0"/>
          <w:szCs w:val="32"/>
        </w:rPr>
        <w:t>有关部门做好聘请外国文教专家</w:t>
      </w:r>
      <w:r>
        <w:rPr>
          <w:rFonts w:hint="eastAsia" w:asciiTheme="minorEastAsia" w:hAnsiTheme="minorEastAsia" w:eastAsiaTheme="minorEastAsia"/>
          <w:color w:val="000000"/>
          <w:kern w:val="0"/>
          <w:szCs w:val="32"/>
        </w:rPr>
        <w:t>的管理工作；</w:t>
      </w:r>
      <w:r>
        <w:rPr>
          <w:rFonts w:asciiTheme="minorEastAsia" w:hAnsiTheme="minorEastAsia" w:eastAsiaTheme="minorEastAsia"/>
          <w:color w:val="000000"/>
          <w:kern w:val="0"/>
          <w:szCs w:val="32"/>
        </w:rPr>
        <w:t>会同有关部门处理本市重要涉外事件；审核、报批授予外国人荣誉市民及</w:t>
      </w:r>
      <w:r>
        <w:rPr>
          <w:rFonts w:hint="eastAsia" w:asciiTheme="minorEastAsia" w:hAnsiTheme="minorEastAsia" w:eastAsiaTheme="minorEastAsia"/>
          <w:color w:val="000000"/>
          <w:kern w:val="0"/>
          <w:szCs w:val="32"/>
        </w:rPr>
        <w:t>其他</w:t>
      </w:r>
      <w:r>
        <w:rPr>
          <w:rFonts w:asciiTheme="minorEastAsia" w:hAnsiTheme="minorEastAsia" w:eastAsiaTheme="minorEastAsia"/>
          <w:color w:val="000000"/>
          <w:kern w:val="0"/>
          <w:szCs w:val="32"/>
        </w:rPr>
        <w:t>名誉职务和给予重要奖励等具体事项。</w:t>
      </w:r>
    </w:p>
    <w:p>
      <w:pPr>
        <w:spacing w:line="570" w:lineRule="exact"/>
        <w:ind w:firstLine="640"/>
        <w:rPr>
          <w:rFonts w:asciiTheme="minorEastAsia" w:hAnsiTheme="minorEastAsia" w:eastAsiaTheme="minorEastAsia"/>
          <w:color w:val="000000"/>
          <w:kern w:val="0"/>
          <w:szCs w:val="32"/>
        </w:rPr>
      </w:pPr>
      <w:r>
        <w:rPr>
          <w:rFonts w:hint="eastAsia" w:asciiTheme="minorEastAsia" w:hAnsiTheme="minorEastAsia" w:eastAsiaTheme="minorEastAsia"/>
          <w:color w:val="000000"/>
          <w:kern w:val="0"/>
          <w:szCs w:val="32"/>
        </w:rPr>
        <w:t>（十）贯彻执行国家对香港、澳门的政策规定；推动我市与港澳地区的经贸、科教、文体等领域的交流与合作；在授权范围内，负责邀请香港、澳门相应人员来访的有关事宜；承担申办</w:t>
      </w:r>
      <w:r>
        <w:rPr>
          <w:rFonts w:asciiTheme="minorEastAsia" w:hAnsiTheme="minorEastAsia" w:eastAsiaTheme="minorEastAsia"/>
          <w:color w:val="000000"/>
          <w:kern w:val="0"/>
          <w:szCs w:val="32"/>
        </w:rPr>
        <w:t>《因公往来香港、澳门特别行政区通行证》</w:t>
      </w:r>
      <w:r>
        <w:rPr>
          <w:rFonts w:hint="eastAsia" w:asciiTheme="minorEastAsia" w:hAnsiTheme="minorEastAsia" w:eastAsiaTheme="minorEastAsia"/>
          <w:color w:val="000000"/>
          <w:kern w:val="0"/>
          <w:szCs w:val="32"/>
        </w:rPr>
        <w:t>工作。</w:t>
      </w:r>
    </w:p>
    <w:p>
      <w:pPr>
        <w:spacing w:line="570" w:lineRule="exact"/>
        <w:ind w:firstLine="640"/>
        <w:rPr>
          <w:rFonts w:asciiTheme="minorEastAsia" w:hAnsiTheme="minorEastAsia" w:eastAsiaTheme="minorEastAsia"/>
          <w:color w:val="000000"/>
          <w:kern w:val="0"/>
          <w:szCs w:val="32"/>
        </w:rPr>
      </w:pPr>
      <w:r>
        <w:rPr>
          <w:rFonts w:hint="eastAsia" w:asciiTheme="minorEastAsia" w:hAnsiTheme="minorEastAsia" w:eastAsiaTheme="minorEastAsia"/>
          <w:color w:val="000000"/>
          <w:kern w:val="0"/>
          <w:szCs w:val="32"/>
        </w:rPr>
        <w:t>（</w:t>
      </w:r>
      <w:r>
        <w:rPr>
          <w:rFonts w:asciiTheme="minorEastAsia" w:hAnsiTheme="minorEastAsia" w:eastAsiaTheme="minorEastAsia"/>
          <w:color w:val="000000"/>
          <w:kern w:val="0"/>
          <w:szCs w:val="32"/>
        </w:rPr>
        <w:t>十一</w:t>
      </w:r>
      <w:r>
        <w:rPr>
          <w:rFonts w:hint="eastAsia" w:asciiTheme="minorEastAsia" w:hAnsiTheme="minorEastAsia" w:eastAsiaTheme="minorEastAsia"/>
          <w:color w:val="000000"/>
          <w:kern w:val="0"/>
          <w:szCs w:val="32"/>
        </w:rPr>
        <w:t>）配合、协助本市党</w:t>
      </w:r>
      <w:r>
        <w:rPr>
          <w:rFonts w:asciiTheme="minorEastAsia" w:hAnsiTheme="minorEastAsia" w:eastAsiaTheme="minorEastAsia"/>
          <w:color w:val="000000"/>
          <w:kern w:val="0"/>
          <w:szCs w:val="32"/>
        </w:rPr>
        <w:t>委宣传部门做好对外宣传和群众性外事教育工作；负责向本市各部门提供国际形势、对外政策、重大国际问题的宣传资料和中央、国务院的对外表态口径。</w:t>
      </w:r>
    </w:p>
    <w:p>
      <w:pPr>
        <w:spacing w:line="570" w:lineRule="exact"/>
        <w:ind w:firstLine="640"/>
        <w:rPr>
          <w:rFonts w:asciiTheme="minorEastAsia" w:hAnsiTheme="minorEastAsia" w:eastAsiaTheme="minorEastAsia"/>
          <w:color w:val="000000"/>
          <w:kern w:val="0"/>
          <w:szCs w:val="32"/>
        </w:rPr>
      </w:pPr>
      <w:r>
        <w:rPr>
          <w:rFonts w:hint="eastAsia" w:asciiTheme="minorEastAsia" w:hAnsiTheme="minorEastAsia" w:eastAsiaTheme="minorEastAsia"/>
          <w:color w:val="000000"/>
          <w:kern w:val="0"/>
          <w:szCs w:val="32"/>
        </w:rPr>
        <w:t>（</w:t>
      </w:r>
      <w:r>
        <w:rPr>
          <w:rFonts w:asciiTheme="minorEastAsia" w:hAnsiTheme="minorEastAsia" w:eastAsiaTheme="minorEastAsia"/>
          <w:color w:val="000000"/>
          <w:kern w:val="0"/>
          <w:szCs w:val="32"/>
        </w:rPr>
        <w:t>十二</w:t>
      </w:r>
      <w:r>
        <w:rPr>
          <w:rFonts w:hint="eastAsia" w:asciiTheme="minorEastAsia" w:hAnsiTheme="minorEastAsia" w:eastAsiaTheme="minorEastAsia"/>
          <w:color w:val="000000"/>
          <w:kern w:val="0"/>
          <w:szCs w:val="32"/>
        </w:rPr>
        <w:t>）</w:t>
      </w:r>
      <w:r>
        <w:rPr>
          <w:rFonts w:asciiTheme="minorEastAsia" w:hAnsiTheme="minorEastAsia" w:eastAsiaTheme="minorEastAsia"/>
          <w:color w:val="000000"/>
          <w:kern w:val="0"/>
          <w:szCs w:val="32"/>
        </w:rPr>
        <w:t>负责对本市外事干部、涉外人员进行对外政策和外事纪律的教育；组织外事干部对外政策业务培训；向有关部门提出违反外事纪律问题的处理意见、建议。</w:t>
      </w:r>
    </w:p>
    <w:p>
      <w:pPr>
        <w:spacing w:line="570" w:lineRule="exact"/>
        <w:ind w:firstLine="640"/>
        <w:rPr>
          <w:rFonts w:asciiTheme="minorEastAsia" w:hAnsiTheme="minorEastAsia" w:eastAsiaTheme="minorEastAsia"/>
          <w:color w:val="000000"/>
          <w:kern w:val="0"/>
          <w:szCs w:val="32"/>
        </w:rPr>
      </w:pPr>
      <w:r>
        <w:rPr>
          <w:rFonts w:hint="eastAsia" w:asciiTheme="minorEastAsia" w:hAnsiTheme="minorEastAsia" w:eastAsiaTheme="minorEastAsia"/>
          <w:color w:val="000000"/>
          <w:kern w:val="0"/>
          <w:szCs w:val="32"/>
        </w:rPr>
        <w:t>（</w:t>
      </w:r>
      <w:r>
        <w:rPr>
          <w:rFonts w:asciiTheme="minorEastAsia" w:hAnsiTheme="minorEastAsia" w:eastAsiaTheme="minorEastAsia"/>
          <w:color w:val="000000"/>
          <w:kern w:val="0"/>
          <w:szCs w:val="32"/>
        </w:rPr>
        <w:t>十三</w:t>
      </w:r>
      <w:r>
        <w:rPr>
          <w:rFonts w:hint="eastAsia" w:asciiTheme="minorEastAsia" w:hAnsiTheme="minorEastAsia" w:eastAsiaTheme="minorEastAsia"/>
          <w:color w:val="000000"/>
          <w:kern w:val="0"/>
          <w:szCs w:val="32"/>
        </w:rPr>
        <w:t>）</w:t>
      </w:r>
      <w:r>
        <w:rPr>
          <w:rFonts w:asciiTheme="minorEastAsia" w:hAnsiTheme="minorEastAsia" w:eastAsiaTheme="minorEastAsia"/>
          <w:color w:val="000000"/>
          <w:kern w:val="0"/>
          <w:szCs w:val="32"/>
        </w:rPr>
        <w:t>负责指导各辖市、区和市各部门、单位外事机构的业务工作；</w:t>
      </w:r>
      <w:r>
        <w:rPr>
          <w:rFonts w:hint="eastAsia" w:asciiTheme="minorEastAsia" w:hAnsiTheme="minorEastAsia" w:eastAsiaTheme="minorEastAsia"/>
          <w:color w:val="000000"/>
          <w:kern w:val="0"/>
          <w:szCs w:val="32"/>
        </w:rPr>
        <w:t>协调处理涉外管理工作；</w:t>
      </w:r>
      <w:r>
        <w:rPr>
          <w:rFonts w:asciiTheme="minorEastAsia" w:hAnsiTheme="minorEastAsia" w:eastAsiaTheme="minorEastAsia"/>
          <w:color w:val="000000"/>
          <w:kern w:val="0"/>
          <w:szCs w:val="32"/>
        </w:rPr>
        <w:t>会同有关部门</w:t>
      </w:r>
      <w:r>
        <w:rPr>
          <w:rFonts w:hint="eastAsia" w:asciiTheme="minorEastAsia" w:hAnsiTheme="minorEastAsia" w:eastAsiaTheme="minorEastAsia"/>
          <w:color w:val="000000"/>
          <w:kern w:val="0"/>
          <w:szCs w:val="32"/>
        </w:rPr>
        <w:t>做好全市涉外单位的有关管理工作。</w:t>
      </w:r>
    </w:p>
    <w:p>
      <w:pPr>
        <w:spacing w:line="570" w:lineRule="exact"/>
        <w:ind w:firstLine="640"/>
        <w:rPr>
          <w:rFonts w:asciiTheme="minorEastAsia" w:hAnsiTheme="minorEastAsia" w:eastAsiaTheme="minorEastAsia"/>
          <w:color w:val="000000"/>
          <w:kern w:val="0"/>
          <w:szCs w:val="32"/>
        </w:rPr>
      </w:pPr>
      <w:r>
        <w:rPr>
          <w:rFonts w:hint="eastAsia" w:asciiTheme="minorEastAsia" w:hAnsiTheme="minorEastAsia" w:eastAsiaTheme="minorEastAsia"/>
          <w:color w:val="000000"/>
          <w:kern w:val="0"/>
          <w:szCs w:val="32"/>
        </w:rPr>
        <w:t>（</w:t>
      </w:r>
      <w:r>
        <w:rPr>
          <w:rFonts w:asciiTheme="minorEastAsia" w:hAnsiTheme="minorEastAsia" w:eastAsiaTheme="minorEastAsia"/>
          <w:color w:val="000000"/>
          <w:kern w:val="0"/>
          <w:szCs w:val="32"/>
        </w:rPr>
        <w:t>十四</w:t>
      </w:r>
      <w:r>
        <w:rPr>
          <w:rFonts w:hint="eastAsia" w:asciiTheme="minorEastAsia" w:hAnsiTheme="minorEastAsia" w:eastAsiaTheme="minorEastAsia"/>
          <w:color w:val="000000"/>
          <w:kern w:val="0"/>
          <w:szCs w:val="32"/>
        </w:rPr>
        <w:t>）承办</w:t>
      </w:r>
      <w:r>
        <w:rPr>
          <w:rFonts w:asciiTheme="minorEastAsia" w:hAnsiTheme="minorEastAsia" w:eastAsiaTheme="minorEastAsia"/>
          <w:color w:val="000000"/>
          <w:kern w:val="0"/>
          <w:szCs w:val="32"/>
        </w:rPr>
        <w:t>市委</w:t>
      </w:r>
      <w:r>
        <w:rPr>
          <w:rFonts w:hint="eastAsia" w:asciiTheme="minorEastAsia" w:hAnsiTheme="minorEastAsia" w:eastAsiaTheme="minorEastAsia"/>
          <w:color w:val="000000"/>
          <w:kern w:val="0"/>
          <w:szCs w:val="32"/>
        </w:rPr>
        <w:t>、</w:t>
      </w:r>
      <w:r>
        <w:rPr>
          <w:rFonts w:asciiTheme="minorEastAsia" w:hAnsiTheme="minorEastAsia" w:eastAsiaTheme="minorEastAsia"/>
          <w:color w:val="000000"/>
          <w:kern w:val="0"/>
          <w:szCs w:val="32"/>
        </w:rPr>
        <w:t>市政府</w:t>
      </w:r>
      <w:r>
        <w:rPr>
          <w:rFonts w:hint="eastAsia" w:asciiTheme="minorEastAsia" w:hAnsiTheme="minorEastAsia" w:eastAsiaTheme="minorEastAsia"/>
          <w:color w:val="000000"/>
          <w:kern w:val="0"/>
          <w:szCs w:val="32"/>
        </w:rPr>
        <w:t>交办</w:t>
      </w:r>
      <w:r>
        <w:rPr>
          <w:rFonts w:asciiTheme="minorEastAsia" w:hAnsiTheme="minorEastAsia" w:eastAsiaTheme="minorEastAsia"/>
          <w:color w:val="000000"/>
          <w:kern w:val="0"/>
          <w:szCs w:val="32"/>
        </w:rPr>
        <w:t>的</w:t>
      </w:r>
      <w:r>
        <w:rPr>
          <w:rFonts w:hint="eastAsia" w:asciiTheme="minorEastAsia" w:hAnsiTheme="minorEastAsia" w:eastAsiaTheme="minorEastAsia"/>
          <w:color w:val="000000"/>
          <w:kern w:val="0"/>
          <w:szCs w:val="32"/>
        </w:rPr>
        <w:t>其它</w:t>
      </w:r>
      <w:r>
        <w:rPr>
          <w:rFonts w:asciiTheme="minorEastAsia" w:hAnsiTheme="minorEastAsia" w:eastAsiaTheme="minorEastAsia"/>
          <w:color w:val="000000"/>
          <w:kern w:val="0"/>
          <w:szCs w:val="32"/>
        </w:rPr>
        <w:t>事项。</w:t>
      </w:r>
    </w:p>
    <w:p>
      <w:pPr>
        <w:spacing w:line="570" w:lineRule="exact"/>
        <w:ind w:firstLine="643"/>
        <w:rPr>
          <w:rFonts w:asciiTheme="minorEastAsia" w:hAnsiTheme="minorEastAsia" w:eastAsiaTheme="minorEastAsia"/>
          <w:color w:val="000000"/>
          <w:kern w:val="0"/>
          <w:szCs w:val="32"/>
        </w:rPr>
      </w:pPr>
      <w:r>
        <w:rPr>
          <w:rFonts w:hint="eastAsia" w:asciiTheme="minorEastAsia" w:hAnsiTheme="minorEastAsia" w:eastAsiaTheme="minorEastAsia"/>
          <w:b/>
          <w:color w:val="000000"/>
          <w:kern w:val="0"/>
          <w:szCs w:val="32"/>
        </w:rPr>
        <w:t>2017年</w:t>
      </w:r>
      <w:r>
        <w:rPr>
          <w:rFonts w:hint="eastAsia" w:asciiTheme="minorEastAsia" w:hAnsiTheme="minorEastAsia" w:eastAsiaTheme="minorEastAsia"/>
          <w:b/>
          <w:szCs w:val="32"/>
        </w:rPr>
        <w:t>常州市人民政府外事办公室工作要点</w:t>
      </w:r>
      <w:r>
        <w:rPr>
          <w:rFonts w:hint="eastAsia" w:asciiTheme="minorEastAsia" w:hAnsiTheme="minorEastAsia" w:eastAsiaTheme="minorEastAsia"/>
          <w:szCs w:val="32"/>
        </w:rPr>
        <w:t>：</w:t>
      </w:r>
    </w:p>
    <w:p>
      <w:pPr>
        <w:adjustRightInd w:val="0"/>
        <w:snapToGrid w:val="0"/>
        <w:spacing w:line="570" w:lineRule="exact"/>
        <w:ind w:firstLine="640"/>
        <w:rPr>
          <w:rFonts w:ascii="宋体" w:hAnsi="宋体" w:eastAsia="宋体"/>
          <w:snapToGrid w:val="0"/>
          <w:kern w:val="0"/>
          <w:szCs w:val="32"/>
        </w:rPr>
      </w:pPr>
      <w:r>
        <w:rPr>
          <w:rFonts w:hint="eastAsia" w:ascii="宋体" w:hAnsi="宋体" w:eastAsia="宋体"/>
          <w:snapToGrid w:val="0"/>
          <w:kern w:val="0"/>
          <w:szCs w:val="32"/>
        </w:rPr>
        <w:t>2017年，市外办将以党的十八届六中全会精神为指导，牢牢把握“服务国家总体外交、服务地方经济社会发展”总方针，紧紧围绕市委、市政府重点工作部署，认真履行外事职责，大力整合外事资源，不断提升服务成效，推动我市全方位开放和“五个国际化”建设迈上新台阶，为建设“强富美高”新常州做出积极贡献。</w:t>
      </w:r>
    </w:p>
    <w:p>
      <w:pPr>
        <w:adjustRightInd w:val="0"/>
        <w:snapToGrid w:val="0"/>
        <w:spacing w:line="570" w:lineRule="exact"/>
        <w:ind w:firstLine="640"/>
        <w:rPr>
          <w:rFonts w:ascii="宋体" w:hAnsi="宋体" w:eastAsia="宋体"/>
          <w:snapToGrid w:val="0"/>
          <w:kern w:val="0"/>
          <w:szCs w:val="32"/>
        </w:rPr>
      </w:pPr>
      <w:r>
        <w:rPr>
          <w:rFonts w:hint="eastAsia" w:ascii="宋体" w:hAnsi="宋体" w:eastAsia="宋体"/>
          <w:snapToGrid w:val="0"/>
          <w:kern w:val="0"/>
          <w:szCs w:val="32"/>
        </w:rPr>
        <w:t>（一）把握重点，更好地服务发展大局</w:t>
      </w:r>
    </w:p>
    <w:p>
      <w:pPr>
        <w:adjustRightInd w:val="0"/>
        <w:snapToGrid w:val="0"/>
        <w:spacing w:line="570" w:lineRule="exact"/>
        <w:ind w:firstLine="640"/>
        <w:rPr>
          <w:rFonts w:ascii="宋体" w:hAnsi="宋体" w:eastAsia="宋体"/>
          <w:snapToGrid w:val="0"/>
          <w:kern w:val="0"/>
          <w:szCs w:val="32"/>
        </w:rPr>
      </w:pPr>
      <w:r>
        <w:rPr>
          <w:rFonts w:hint="eastAsia" w:ascii="宋体" w:hAnsi="宋体" w:eastAsia="宋体"/>
          <w:snapToGrid w:val="0"/>
          <w:kern w:val="0"/>
          <w:szCs w:val="32"/>
        </w:rPr>
        <w:t>一是服务好国家总体外交。牢牢把握国家发展战略机遇，进一步加强与外交部、中联部、全国友协、省外办等上级部门联系，借助外国驻华使领馆、国际友城、国际知名企业等资源，主动争取高级别外宾来访、高层次活动落户。二是服务好重大涉外活动。围绕全市境内外引资引智系列活动，提前谋划、主动介入，突出重点团组、重点任务，优化出国（境）手续办理。统筹利用国际友城、使领馆等外事资源，积极做好科技经贸洽谈会等我市重大活动的外宾邀请、翻译保障工作。精心策划对外推介，推动我市重点产业参与国际合作。三是服务好重点园区建设。主动邀请国外政府、企业和机构高层来常考察重点园区、重点企业，加强交流合作，助力转型升级。持续推进“苏澳合作园区”、“中以常州创新园”、“中德创新园区”等园区建设发展，建设对外合作示范园区。加强与相关国家使领馆、国际友城联系，共同举办重点园区专题推介会，提升园区国际知名度，吸引企业、科研机构入驻发展。</w:t>
      </w:r>
    </w:p>
    <w:p>
      <w:pPr>
        <w:adjustRightInd w:val="0"/>
        <w:snapToGrid w:val="0"/>
        <w:spacing w:line="570" w:lineRule="exact"/>
        <w:ind w:firstLine="640"/>
        <w:rPr>
          <w:rFonts w:ascii="宋体" w:hAnsi="宋体" w:eastAsia="宋体"/>
          <w:snapToGrid w:val="0"/>
          <w:kern w:val="0"/>
          <w:szCs w:val="32"/>
        </w:rPr>
      </w:pPr>
      <w:r>
        <w:rPr>
          <w:rFonts w:hint="eastAsia" w:ascii="宋体" w:hAnsi="宋体" w:eastAsia="宋体"/>
          <w:snapToGrid w:val="0"/>
          <w:kern w:val="0"/>
          <w:szCs w:val="32"/>
        </w:rPr>
        <w:t>（二）拓宽渠道，更好地推动务实合作</w:t>
      </w:r>
    </w:p>
    <w:p>
      <w:pPr>
        <w:adjustRightInd w:val="0"/>
        <w:snapToGrid w:val="0"/>
        <w:spacing w:line="570" w:lineRule="exact"/>
        <w:ind w:firstLine="640"/>
        <w:rPr>
          <w:rFonts w:ascii="宋体" w:hAnsi="宋体" w:eastAsia="宋体"/>
          <w:snapToGrid w:val="0"/>
          <w:kern w:val="0"/>
          <w:szCs w:val="32"/>
        </w:rPr>
      </w:pPr>
      <w:r>
        <w:rPr>
          <w:rFonts w:hint="eastAsia" w:ascii="宋体" w:hAnsi="宋体" w:eastAsia="宋体"/>
          <w:snapToGrid w:val="0"/>
          <w:kern w:val="0"/>
          <w:szCs w:val="32"/>
        </w:rPr>
        <w:t>一是深化友好城市交流与合作。围绕我市友城建设目标，突出重点，拓展1-2个市级友好城市。巩固和深化现有友城关系，全年计划组织20个市级友好团组出访，挖掘合作潜力，提升与友城在科技、经贸、教育等领域合作成效。指导帮助辖市（区）发展友城，提升辖市（区）友城质量。二是加强与一带一路国家交流合作。围绕“一带一路”</w:t>
      </w:r>
      <w:r>
        <w:rPr>
          <w:rFonts w:hint="eastAsia" w:ascii="宋体" w:hAnsi="宋体" w:eastAsia="宋体"/>
          <w:snapToGrid w:val="0"/>
          <w:kern w:val="0"/>
          <w:szCs w:val="32"/>
          <w:lang w:eastAsia="zh-CN"/>
        </w:rPr>
        <w:t>倡议</w:t>
      </w:r>
      <w:r>
        <w:rPr>
          <w:rFonts w:hint="eastAsia" w:ascii="宋体" w:hAnsi="宋体" w:eastAsia="宋体"/>
          <w:snapToGrid w:val="0"/>
          <w:kern w:val="0"/>
          <w:szCs w:val="32"/>
        </w:rPr>
        <w:t>，主动加强与沿线国家使领馆的对接，广泛邀请政府官员、外交机构官员、商会和企业代表等外宾来常访问，积极引荐跨国公司、行业协会、科研院所、创新机构等来常交流，启动“中以城市联盟”项目拓宽对以合作渠道，举办1—2场重点产业专题对接会，推动我市优势产业参与国际产能合作。三是推进港澳地区交流合作。围绕我省与澳门特区政府签署的备忘录，积极服务“苏澳合作园区”建设，做好政策争取和宣传推介等工作。推动苏澳两地青年公务人员交流、常州大学与澳门科技大学合作、澳门青年来常创业创新，推进我市与澳门多领域交流合作。加强与葡语系国家联系，利用“苏澳合作园区”平台促进项目招引。密切与港澳同胞联系，积极争取在常举办“第七届苏港澳青年精英论坛”等大型活动，提升与港澳地区交流合作质量。</w:t>
      </w:r>
    </w:p>
    <w:p>
      <w:pPr>
        <w:adjustRightInd w:val="0"/>
        <w:snapToGrid w:val="0"/>
        <w:spacing w:line="570" w:lineRule="exact"/>
        <w:ind w:firstLine="640"/>
        <w:rPr>
          <w:rFonts w:ascii="宋体" w:hAnsi="宋体" w:eastAsia="宋体"/>
          <w:snapToGrid w:val="0"/>
          <w:kern w:val="0"/>
          <w:szCs w:val="32"/>
        </w:rPr>
      </w:pPr>
      <w:r>
        <w:rPr>
          <w:rFonts w:hint="eastAsia" w:ascii="宋体" w:hAnsi="宋体" w:eastAsia="宋体"/>
          <w:snapToGrid w:val="0"/>
          <w:kern w:val="0"/>
          <w:szCs w:val="32"/>
        </w:rPr>
        <w:t>（三）深化交往，更好地开展公共外事</w:t>
      </w:r>
    </w:p>
    <w:p>
      <w:pPr>
        <w:adjustRightInd w:val="0"/>
        <w:snapToGrid w:val="0"/>
        <w:spacing w:line="570" w:lineRule="exact"/>
        <w:ind w:firstLine="640"/>
        <w:rPr>
          <w:rFonts w:ascii="宋体" w:hAnsi="宋体" w:eastAsia="宋体"/>
          <w:snapToGrid w:val="0"/>
          <w:kern w:val="0"/>
          <w:szCs w:val="32"/>
        </w:rPr>
      </w:pPr>
      <w:r>
        <w:rPr>
          <w:rFonts w:hint="eastAsia" w:ascii="宋体" w:hAnsi="宋体" w:eastAsia="宋体"/>
          <w:snapToGrid w:val="0"/>
          <w:kern w:val="0"/>
          <w:szCs w:val="32"/>
        </w:rPr>
        <w:t>一是深化多领域交往。积极拓展友好交往渠道，拓宽我市对外交流格局，加强与境外行业协会、社会团体等交流，推动我市教育、文化、卫生、旅游、青少年等领域对外交往。广泛开展具有地域特色的人文交流，促进民心相通，夯实对外交流合作基础。二是鼓励民间交流交往。发挥市友协民间外交主渠道作用，拓展与国外友好组织交往范围，深化民间对外交流。积极承办省友协与葡语国家城市联盟联合举办的“城市与企业”对接会等活动。充分利用友协理事对外交流资源多、渠道广的优势，充实民间友好力量，丰富民间外交活动。持续打造“双城记”市民友好交流活动品牌，提高民众参与度，进一步扩大公共外交影响。三是强化对外宣传推介。围绕我市“一城一中心一区”建设目标，结合我市重大涉外活动和建设亮点，加强与相关外国媒体的沟通联系，引导外媒对我市重点产业、重点园区发展建设情况宣传报道。进一步发挥荣誉市民作用，推选“常州海外形象推广大使”，在海外推广宣传常州，扩大我市国际影响。</w:t>
      </w:r>
    </w:p>
    <w:p>
      <w:pPr>
        <w:adjustRightInd w:val="0"/>
        <w:snapToGrid w:val="0"/>
        <w:spacing w:line="570" w:lineRule="exact"/>
        <w:ind w:firstLine="640"/>
        <w:rPr>
          <w:rFonts w:ascii="宋体" w:hAnsi="宋体" w:eastAsia="宋体"/>
          <w:snapToGrid w:val="0"/>
          <w:kern w:val="0"/>
          <w:szCs w:val="32"/>
        </w:rPr>
      </w:pPr>
      <w:r>
        <w:rPr>
          <w:rFonts w:hint="eastAsia" w:ascii="宋体" w:hAnsi="宋体" w:eastAsia="宋体"/>
          <w:snapToGrid w:val="0"/>
          <w:kern w:val="0"/>
          <w:szCs w:val="32"/>
        </w:rPr>
        <w:t>（四）加强统筹，更好地优化涉外管理</w:t>
      </w:r>
    </w:p>
    <w:p>
      <w:pPr>
        <w:adjustRightInd w:val="0"/>
        <w:snapToGrid w:val="0"/>
        <w:spacing w:line="570" w:lineRule="exact"/>
        <w:ind w:firstLine="640"/>
        <w:rPr>
          <w:rFonts w:ascii="宋体" w:hAnsi="宋体" w:eastAsia="宋体"/>
          <w:snapToGrid w:val="0"/>
          <w:kern w:val="0"/>
          <w:szCs w:val="32"/>
        </w:rPr>
      </w:pPr>
      <w:r>
        <w:rPr>
          <w:rFonts w:hint="eastAsia" w:ascii="宋体" w:hAnsi="宋体" w:eastAsia="宋体"/>
          <w:snapToGrid w:val="0"/>
          <w:kern w:val="0"/>
          <w:szCs w:val="32"/>
        </w:rPr>
        <w:t>一是加强因公出国（境）管理。坚持出访党政人员和经费总量控制，进一步细化因公出国（境）管理措施，进一步完善行前教育、出国提醒、访前和访后公示等制度，加强出访团组项目跟踪，提升出访成效。加大管理监督力度，对各辖市（区）、各部门开展出国（境）情况专项抽查。二是提升涉外管理水平。充分发挥我市各类涉外协调管理机制作用，巩固和加强我市涉外管理网络建设工作。建立常州市境外公民和机构安全保护工作联席会议制度，完善领事保护工作机制。开展“领保在行动”系列活动，加强日常教育，举办领保讲座，深入开展领保宣传工作，提升全市涉外管理水平。三是积极推进外事为民。认真做好APEC商务旅行卡、外国人来华邀请等办理工作，拓展因私签证代办、领事认证直通车等外事为民服务项目，增设政务服务中心签证服务点，为市民咨询和办理签证提供便利。邀请有关领馆来常举办旅游美食活动，开展“2017走进常州荣誉市民”，提高外事服务针对性和实效性。</w:t>
      </w:r>
    </w:p>
    <w:p>
      <w:pPr>
        <w:adjustRightInd w:val="0"/>
        <w:snapToGrid w:val="0"/>
        <w:spacing w:line="570" w:lineRule="exact"/>
        <w:ind w:firstLine="640"/>
        <w:rPr>
          <w:rFonts w:ascii="宋体" w:hAnsi="宋体" w:eastAsia="宋体"/>
          <w:snapToGrid w:val="0"/>
          <w:kern w:val="0"/>
          <w:szCs w:val="32"/>
        </w:rPr>
      </w:pPr>
      <w:r>
        <w:rPr>
          <w:rFonts w:hint="eastAsia" w:ascii="宋体" w:hAnsi="宋体" w:eastAsia="宋体"/>
          <w:snapToGrid w:val="0"/>
          <w:kern w:val="0"/>
          <w:szCs w:val="32"/>
        </w:rPr>
        <w:t>（五）改进作风，更好地提升机关效能</w:t>
      </w:r>
    </w:p>
    <w:p>
      <w:pPr>
        <w:spacing w:line="570" w:lineRule="exact"/>
        <w:ind w:firstLine="640"/>
        <w:rPr>
          <w:rFonts w:ascii="宋体" w:hAnsi="宋体" w:eastAsia="宋体"/>
          <w:snapToGrid w:val="0"/>
          <w:kern w:val="0"/>
          <w:szCs w:val="32"/>
        </w:rPr>
      </w:pPr>
      <w:r>
        <w:rPr>
          <w:rFonts w:hint="eastAsia" w:ascii="宋体" w:hAnsi="宋体" w:eastAsia="宋体"/>
          <w:snapToGrid w:val="0"/>
          <w:kern w:val="0"/>
          <w:szCs w:val="32"/>
        </w:rPr>
        <w:t>一是增强服务理念。切实增强外事为地方经济建设服务理念，优化外事服务，提高行政效能。全力打造服务品牌，继续推进“外事服务BRT”建设，创新“三进三送三提高”活动形式，为我市全方位开放提供优质服务。进一步强化机关作风建设，提高工作的积极性和主动性，切实形成为民务实的工作作风。二是提高业务能力。加强外事队伍教育培训，着力开展因公出国（境）管理、海外领事保护、涉外礼宾礼仪、外语翻译等方面培训，提高外事队伍业务素质。主动深入基层，加强对重点园区、重点企业、重点产业的走访调研，准确把握发展脉络和涉外需求，为深化我市对外交流合作提供支持保障。三是强化内部建设。持续加强党员干部队伍建设，进一步完善机关日常管理，巩固和扩大“两学一做”学习教育</w:t>
      </w:r>
      <w:bookmarkStart w:id="0" w:name="_GoBack"/>
      <w:bookmarkEnd w:id="0"/>
      <w:r>
        <w:rPr>
          <w:rFonts w:hint="eastAsia" w:ascii="宋体" w:hAnsi="宋体" w:eastAsia="宋体"/>
          <w:snapToGrid w:val="0"/>
          <w:kern w:val="0"/>
          <w:szCs w:val="32"/>
        </w:rPr>
        <w:t>成效。严格落实干部个人事项报告、因私出国（境）证照报备等各项管理规定，细化机关公务员平时考核办法，着力营造良好的机关工作氛围，促进外事服务能力和水平进一步提升。</w:t>
      </w:r>
    </w:p>
    <w:p>
      <w:pPr>
        <w:spacing w:line="570" w:lineRule="exact"/>
        <w:ind w:firstLine="640"/>
        <w:rPr>
          <w:rFonts w:asciiTheme="minorEastAsia" w:hAnsiTheme="minorEastAsia" w:eastAsiaTheme="minorEastAsia"/>
          <w:szCs w:val="32"/>
        </w:rPr>
      </w:pPr>
      <w:r>
        <w:rPr>
          <w:rFonts w:hint="eastAsia" w:asciiTheme="minorEastAsia" w:hAnsiTheme="minorEastAsia" w:eastAsiaTheme="minorEastAsia"/>
          <w:color w:val="000000"/>
          <w:kern w:val="0"/>
          <w:szCs w:val="32"/>
        </w:rPr>
        <w:t>常州市人民政府外事办公室现</w:t>
      </w:r>
      <w:r>
        <w:rPr>
          <w:rFonts w:asciiTheme="minorEastAsia" w:hAnsiTheme="minorEastAsia" w:eastAsiaTheme="minorEastAsia"/>
          <w:szCs w:val="32"/>
        </w:rPr>
        <w:t>设7个内设机构：</w:t>
      </w:r>
      <w:r>
        <w:rPr>
          <w:rFonts w:hint="eastAsia" w:asciiTheme="minorEastAsia" w:hAnsiTheme="minorEastAsia" w:eastAsiaTheme="minorEastAsia"/>
          <w:szCs w:val="32"/>
        </w:rPr>
        <w:t>秘书处（人事处）、出国来华处（行政服务处）、涉外管理处、亚洲地区处、欧洲与非洲地区处、美洲与大洋洲地区处、</w:t>
      </w:r>
      <w:r>
        <w:rPr>
          <w:rFonts w:asciiTheme="minorEastAsia" w:hAnsiTheme="minorEastAsia" w:eastAsiaTheme="minorEastAsia"/>
          <w:szCs w:val="32"/>
        </w:rPr>
        <w:t>港澳事务</w:t>
      </w:r>
      <w:r>
        <w:rPr>
          <w:rFonts w:hint="eastAsia" w:asciiTheme="minorEastAsia" w:hAnsiTheme="minorEastAsia" w:eastAsiaTheme="minorEastAsia"/>
          <w:szCs w:val="32"/>
        </w:rPr>
        <w:t>处（市人民对外友好协会办公室）。</w:t>
      </w:r>
    </w:p>
    <w:p>
      <w:pPr>
        <w:spacing w:line="570" w:lineRule="exact"/>
        <w:ind w:firstLine="640"/>
        <w:rPr>
          <w:rFonts w:asciiTheme="minorEastAsia" w:hAnsiTheme="minorEastAsia" w:eastAsiaTheme="minorEastAsia"/>
          <w:color w:val="000000"/>
          <w:kern w:val="0"/>
          <w:szCs w:val="32"/>
        </w:rPr>
      </w:pPr>
      <w:r>
        <w:rPr>
          <w:rFonts w:hint="eastAsia" w:asciiTheme="minorEastAsia" w:hAnsiTheme="minorEastAsia" w:eastAsiaTheme="minorEastAsia"/>
          <w:color w:val="000000"/>
          <w:kern w:val="0"/>
          <w:szCs w:val="32"/>
        </w:rPr>
        <w:t>常州市人民政府外事办公室</w:t>
      </w:r>
      <w:r>
        <w:rPr>
          <w:rFonts w:asciiTheme="minorEastAsia" w:hAnsiTheme="minorEastAsia" w:eastAsiaTheme="minorEastAsia"/>
          <w:szCs w:val="32"/>
        </w:rPr>
        <w:t>经费来源为财政拨款，</w:t>
      </w:r>
      <w:r>
        <w:rPr>
          <w:rFonts w:hint="eastAsia" w:asciiTheme="minorEastAsia" w:hAnsiTheme="minorEastAsia" w:eastAsiaTheme="minorEastAsia"/>
          <w:szCs w:val="32"/>
        </w:rPr>
        <w:t>是</w:t>
      </w:r>
      <w:r>
        <w:rPr>
          <w:rFonts w:asciiTheme="minorEastAsia" w:hAnsiTheme="minorEastAsia" w:eastAsiaTheme="minorEastAsia"/>
          <w:szCs w:val="32"/>
        </w:rPr>
        <w:t>一级预算单位，</w:t>
      </w:r>
      <w:r>
        <w:rPr>
          <w:rFonts w:hint="eastAsia" w:asciiTheme="minorEastAsia" w:hAnsiTheme="minorEastAsia" w:eastAsiaTheme="minorEastAsia"/>
          <w:szCs w:val="32"/>
        </w:rPr>
        <w:t>下属差额拨款事业单位常州市翻译中心的财政补助经费纳入部门预算管理。</w:t>
      </w:r>
      <w:r>
        <w:rPr>
          <w:rFonts w:hint="eastAsia" w:asciiTheme="minorEastAsia" w:hAnsiTheme="minorEastAsia" w:eastAsiaTheme="minorEastAsia"/>
          <w:color w:val="000000"/>
          <w:kern w:val="0"/>
          <w:szCs w:val="32"/>
        </w:rPr>
        <w:t>根据常州市2017年部门预算基本支出定额标准和部门工作任务及目标，常州市人民政府外事办公室2017年部门预算安排财政拨款一般公共预算收入881.19万元，安排支出881.19万元，其中用于人员开支和日常办公运行基本支出803.90万元，各类外事管理工作经常性项目支出77.29万元。</w:t>
      </w:r>
    </w:p>
    <w:p>
      <w:pPr>
        <w:ind w:firstLine="560"/>
        <w:rPr>
          <w:rFonts w:asciiTheme="minorEastAsia" w:hAnsiTheme="minorEastAsia" w:eastAsiaTheme="minorEastAsia"/>
          <w:color w:val="000000"/>
          <w:kern w:val="0"/>
          <w:sz w:val="28"/>
          <w:szCs w:val="28"/>
        </w:rPr>
      </w:pPr>
    </w:p>
    <w:p>
      <w:pPr>
        <w:ind w:firstLine="1749" w:firstLineChars="396"/>
        <w:rPr>
          <w:rFonts w:asciiTheme="minorEastAsia" w:hAnsiTheme="minorEastAsia" w:eastAsiaTheme="minorEastAsia"/>
          <w:color w:val="000000"/>
          <w:kern w:val="0"/>
          <w:sz w:val="28"/>
          <w:szCs w:val="28"/>
        </w:rPr>
      </w:pPr>
      <w:r>
        <w:rPr>
          <w:rFonts w:hint="eastAsia" w:asciiTheme="minorEastAsia" w:hAnsiTheme="minorEastAsia" w:eastAsiaTheme="minorEastAsia"/>
          <w:b/>
          <w:color w:val="000000"/>
          <w:kern w:val="0"/>
          <w:sz w:val="44"/>
          <w:szCs w:val="44"/>
        </w:rPr>
        <w:t>二、2017年度部门预算表</w:t>
      </w:r>
    </w:p>
    <w:p>
      <w:pPr>
        <w:ind w:firstLine="560"/>
        <w:rPr>
          <w:rFonts w:asciiTheme="minorEastAsia" w:hAnsiTheme="minorEastAsia" w:eastAsiaTheme="minorEastAsia"/>
          <w:color w:val="000000"/>
          <w:kern w:val="0"/>
          <w:sz w:val="28"/>
          <w:szCs w:val="28"/>
        </w:rPr>
      </w:pPr>
    </w:p>
    <w:p>
      <w:pPr>
        <w:ind w:firstLine="560"/>
        <w:rPr>
          <w:rFonts w:asciiTheme="minorEastAsia" w:hAnsiTheme="minorEastAsia" w:eastAsiaTheme="minorEastAsia"/>
          <w:color w:val="000000"/>
          <w:kern w:val="0"/>
          <w:sz w:val="28"/>
          <w:szCs w:val="28"/>
        </w:rPr>
      </w:pPr>
    </w:p>
    <w:p>
      <w:pPr>
        <w:widowControl/>
        <w:spacing w:line="500" w:lineRule="exact"/>
        <w:ind w:firstLine="0" w:firstLineChars="0"/>
        <w:jc w:val="center"/>
        <w:rPr>
          <w:rFonts w:ascii="方正小标宋简体" w:hAnsi="宋体" w:eastAsia="方正小标宋简体" w:cs="宋体"/>
          <w:kern w:val="0"/>
          <w:sz w:val="44"/>
          <w:szCs w:val="44"/>
        </w:rPr>
        <w:sectPr>
          <w:headerReference r:id="rId7" w:type="first"/>
          <w:footerReference r:id="rId10" w:type="first"/>
          <w:headerReference r:id="rId5" w:type="default"/>
          <w:footerReference r:id="rId8" w:type="default"/>
          <w:headerReference r:id="rId6" w:type="even"/>
          <w:footerReference r:id="rId9" w:type="even"/>
          <w:pgSz w:w="11906" w:h="16838"/>
          <w:pgMar w:top="1418" w:right="1134" w:bottom="1418" w:left="1701" w:header="709" w:footer="1361" w:gutter="0"/>
          <w:cols w:space="425" w:num="1"/>
          <w:docGrid w:linePitch="435" w:charSpace="0"/>
        </w:sectPr>
      </w:pPr>
    </w:p>
    <w:p>
      <w:pPr>
        <w:widowControl/>
        <w:spacing w:line="500" w:lineRule="exact"/>
        <w:ind w:firstLine="0" w:firstLineChars="0"/>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2017年度常州市人民政府外事办公室收支预算总表</w:t>
      </w:r>
    </w:p>
    <w:tbl>
      <w:tblPr>
        <w:tblStyle w:val="4"/>
        <w:tblW w:w="13918" w:type="dxa"/>
        <w:jc w:val="center"/>
        <w:tblLayout w:type="autofit"/>
        <w:tblCellMar>
          <w:top w:w="0" w:type="dxa"/>
          <w:left w:w="108" w:type="dxa"/>
          <w:bottom w:w="0" w:type="dxa"/>
          <w:right w:w="108" w:type="dxa"/>
        </w:tblCellMar>
      </w:tblPr>
      <w:tblGrid>
        <w:gridCol w:w="2811"/>
        <w:gridCol w:w="1752"/>
        <w:gridCol w:w="3385"/>
        <w:gridCol w:w="2262"/>
        <w:gridCol w:w="1914"/>
        <w:gridCol w:w="2094"/>
      </w:tblGrid>
      <w:tr>
        <w:tblPrEx>
          <w:tblCellMar>
            <w:top w:w="0" w:type="dxa"/>
            <w:left w:w="108" w:type="dxa"/>
            <w:bottom w:w="0" w:type="dxa"/>
            <w:right w:w="108" w:type="dxa"/>
          </w:tblCellMar>
        </w:tblPrEx>
        <w:trPr>
          <w:trHeight w:val="334" w:hRule="atLeast"/>
          <w:jc w:val="center"/>
        </w:trPr>
        <w:tc>
          <w:tcPr>
            <w:tcW w:w="2842" w:type="dxa"/>
            <w:tcBorders>
              <w:top w:val="nil"/>
              <w:left w:val="nil"/>
              <w:bottom w:val="single" w:color="auto" w:sz="6" w:space="0"/>
              <w:right w:val="nil"/>
            </w:tcBorders>
            <w:shd w:val="clear" w:color="auto" w:fill="auto"/>
            <w:noWrap/>
            <w:vAlign w:val="bottom"/>
          </w:tcPr>
          <w:p>
            <w:pPr>
              <w:widowControl/>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公开表一</w:t>
            </w:r>
          </w:p>
        </w:tc>
        <w:tc>
          <w:tcPr>
            <w:tcW w:w="1770" w:type="dxa"/>
            <w:tcBorders>
              <w:top w:val="nil"/>
              <w:left w:val="nil"/>
              <w:bottom w:val="single" w:color="auto" w:sz="6" w:space="0"/>
              <w:right w:val="nil"/>
            </w:tcBorders>
            <w:shd w:val="clear" w:color="auto" w:fill="auto"/>
            <w:noWrap/>
            <w:vAlign w:val="center"/>
          </w:tcPr>
          <w:p>
            <w:pPr>
              <w:widowControl/>
              <w:ind w:firstLine="0" w:firstLineChars="0"/>
              <w:jc w:val="left"/>
              <w:rPr>
                <w:rFonts w:ascii="宋体" w:hAnsi="宋体" w:eastAsia="宋体"/>
                <w:kern w:val="0"/>
                <w:sz w:val="21"/>
                <w:szCs w:val="21"/>
              </w:rPr>
            </w:pPr>
          </w:p>
        </w:tc>
        <w:tc>
          <w:tcPr>
            <w:tcW w:w="3423" w:type="dxa"/>
            <w:tcBorders>
              <w:top w:val="nil"/>
              <w:left w:val="nil"/>
              <w:bottom w:val="single" w:color="auto" w:sz="6" w:space="0"/>
              <w:right w:val="nil"/>
            </w:tcBorders>
            <w:shd w:val="clear" w:color="auto" w:fill="auto"/>
            <w:noWrap/>
            <w:vAlign w:val="center"/>
          </w:tcPr>
          <w:p>
            <w:pPr>
              <w:widowControl/>
              <w:ind w:firstLine="0" w:firstLineChars="0"/>
              <w:jc w:val="left"/>
              <w:rPr>
                <w:rFonts w:ascii="宋体" w:hAnsi="宋体" w:eastAsia="宋体"/>
                <w:kern w:val="0"/>
                <w:sz w:val="21"/>
                <w:szCs w:val="21"/>
              </w:rPr>
            </w:pPr>
          </w:p>
        </w:tc>
        <w:tc>
          <w:tcPr>
            <w:tcW w:w="1833" w:type="dxa"/>
            <w:tcBorders>
              <w:top w:val="nil"/>
              <w:left w:val="nil"/>
              <w:bottom w:val="single" w:color="auto" w:sz="6" w:space="0"/>
              <w:right w:val="nil"/>
            </w:tcBorders>
            <w:shd w:val="clear" w:color="auto" w:fill="auto"/>
            <w:noWrap/>
            <w:vAlign w:val="center"/>
          </w:tcPr>
          <w:p>
            <w:pPr>
              <w:widowControl/>
              <w:ind w:firstLine="0" w:firstLineChars="0"/>
              <w:jc w:val="left"/>
              <w:rPr>
                <w:rFonts w:ascii="宋体" w:hAnsi="宋体" w:eastAsia="宋体"/>
                <w:kern w:val="0"/>
                <w:sz w:val="21"/>
                <w:szCs w:val="21"/>
              </w:rPr>
            </w:pPr>
          </w:p>
        </w:tc>
        <w:tc>
          <w:tcPr>
            <w:tcW w:w="4050" w:type="dxa"/>
            <w:gridSpan w:val="2"/>
            <w:tcBorders>
              <w:top w:val="nil"/>
              <w:left w:val="nil"/>
              <w:bottom w:val="single" w:color="auto" w:sz="6" w:space="0"/>
              <w:right w:val="nil"/>
            </w:tcBorders>
            <w:shd w:val="clear" w:color="auto" w:fill="auto"/>
            <w:noWrap/>
            <w:vAlign w:val="center"/>
          </w:tcPr>
          <w:p>
            <w:pPr>
              <w:widowControl/>
              <w:ind w:firstLine="0" w:firstLineChars="0"/>
              <w:jc w:val="right"/>
              <w:rPr>
                <w:rFonts w:ascii="宋体" w:hAnsi="宋体" w:eastAsia="宋体"/>
                <w:kern w:val="0"/>
                <w:sz w:val="21"/>
                <w:szCs w:val="21"/>
              </w:rPr>
            </w:pPr>
            <w:r>
              <w:rPr>
                <w:rFonts w:hint="eastAsia" w:ascii="宋体" w:hAnsi="宋体" w:eastAsia="宋体"/>
                <w:kern w:val="0"/>
                <w:sz w:val="21"/>
                <w:szCs w:val="21"/>
              </w:rPr>
              <w:t>单位</w:t>
            </w:r>
            <w:r>
              <w:rPr>
                <w:rFonts w:ascii="宋体" w:hAnsi="宋体" w:eastAsia="宋体"/>
                <w:kern w:val="0"/>
                <w:sz w:val="21"/>
                <w:szCs w:val="21"/>
              </w:rPr>
              <w:t>:</w:t>
            </w:r>
            <w:r>
              <w:rPr>
                <w:rFonts w:hint="eastAsia" w:ascii="宋体" w:hAnsi="宋体" w:eastAsia="宋体"/>
                <w:kern w:val="0"/>
                <w:sz w:val="21"/>
                <w:szCs w:val="21"/>
              </w:rPr>
              <w:t>万元</w:t>
            </w:r>
          </w:p>
        </w:tc>
      </w:tr>
      <w:tr>
        <w:tblPrEx>
          <w:tblCellMar>
            <w:top w:w="0" w:type="dxa"/>
            <w:left w:w="108" w:type="dxa"/>
            <w:bottom w:w="0" w:type="dxa"/>
            <w:right w:w="108" w:type="dxa"/>
          </w:tblCellMar>
        </w:tblPrEx>
        <w:trPr>
          <w:trHeight w:val="329" w:hRule="exact"/>
          <w:jc w:val="center"/>
        </w:trPr>
        <w:tc>
          <w:tcPr>
            <w:tcW w:w="4612"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b/>
                <w:bCs/>
                <w:kern w:val="0"/>
                <w:sz w:val="21"/>
                <w:szCs w:val="21"/>
              </w:rPr>
            </w:pPr>
            <w:r>
              <w:rPr>
                <w:rFonts w:hint="eastAsia" w:ascii="宋体" w:hAnsi="宋体" w:eastAsia="宋体"/>
                <w:b/>
                <w:bCs/>
                <w:kern w:val="0"/>
                <w:sz w:val="21"/>
                <w:szCs w:val="21"/>
              </w:rPr>
              <w:t>收入预算</w:t>
            </w:r>
          </w:p>
        </w:tc>
        <w:tc>
          <w:tcPr>
            <w:tcW w:w="9306" w:type="dxa"/>
            <w:gridSpan w:val="4"/>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b/>
                <w:bCs/>
                <w:kern w:val="0"/>
                <w:sz w:val="21"/>
                <w:szCs w:val="21"/>
              </w:rPr>
            </w:pPr>
            <w:r>
              <w:rPr>
                <w:rFonts w:hint="eastAsia" w:ascii="宋体" w:hAnsi="宋体" w:eastAsia="宋体"/>
                <w:b/>
                <w:bCs/>
                <w:kern w:val="0"/>
                <w:sz w:val="21"/>
                <w:szCs w:val="21"/>
              </w:rPr>
              <w:t>支出预算</w:t>
            </w:r>
          </w:p>
        </w:tc>
      </w:tr>
      <w:tr>
        <w:tblPrEx>
          <w:tblCellMar>
            <w:top w:w="0" w:type="dxa"/>
            <w:left w:w="108" w:type="dxa"/>
            <w:bottom w:w="0" w:type="dxa"/>
            <w:right w:w="108" w:type="dxa"/>
          </w:tblCellMar>
        </w:tblPrEx>
        <w:trPr>
          <w:trHeight w:val="329" w:hRule="exact"/>
          <w:jc w:val="center"/>
        </w:trPr>
        <w:tc>
          <w:tcPr>
            <w:tcW w:w="2842"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b/>
                <w:bCs/>
                <w:kern w:val="0"/>
                <w:sz w:val="21"/>
                <w:szCs w:val="21"/>
              </w:rPr>
            </w:pPr>
            <w:r>
              <w:rPr>
                <w:rFonts w:hint="eastAsia" w:ascii="宋体" w:hAnsi="宋体" w:eastAsia="宋体"/>
                <w:b/>
                <w:bCs/>
                <w:kern w:val="0"/>
                <w:sz w:val="21"/>
                <w:szCs w:val="21"/>
              </w:rPr>
              <w:t>项目名称</w:t>
            </w:r>
          </w:p>
        </w:tc>
        <w:tc>
          <w:tcPr>
            <w:tcW w:w="1770"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b/>
                <w:bCs/>
                <w:kern w:val="0"/>
                <w:sz w:val="21"/>
                <w:szCs w:val="21"/>
              </w:rPr>
            </w:pPr>
            <w:r>
              <w:rPr>
                <w:rFonts w:hint="eastAsia" w:ascii="宋体" w:hAnsi="宋体" w:eastAsia="宋体"/>
                <w:b/>
                <w:bCs/>
                <w:kern w:val="0"/>
                <w:sz w:val="21"/>
                <w:szCs w:val="21"/>
              </w:rPr>
              <w:t>金额</w:t>
            </w:r>
          </w:p>
        </w:tc>
        <w:tc>
          <w:tcPr>
            <w:tcW w:w="5256"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b/>
                <w:bCs/>
                <w:kern w:val="0"/>
                <w:sz w:val="21"/>
                <w:szCs w:val="21"/>
              </w:rPr>
            </w:pPr>
            <w:r>
              <w:rPr>
                <w:rFonts w:hint="eastAsia" w:ascii="宋体" w:hAnsi="宋体" w:eastAsia="宋体"/>
                <w:b/>
                <w:bCs/>
                <w:kern w:val="0"/>
                <w:sz w:val="21"/>
                <w:szCs w:val="21"/>
              </w:rPr>
              <w:t>功能分类</w:t>
            </w:r>
          </w:p>
        </w:tc>
        <w:tc>
          <w:tcPr>
            <w:tcW w:w="4050"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b/>
                <w:bCs/>
                <w:kern w:val="0"/>
                <w:sz w:val="21"/>
                <w:szCs w:val="21"/>
              </w:rPr>
            </w:pPr>
            <w:r>
              <w:rPr>
                <w:rFonts w:hint="eastAsia" w:ascii="宋体" w:hAnsi="宋体" w:eastAsia="宋体"/>
                <w:b/>
                <w:bCs/>
                <w:kern w:val="0"/>
                <w:sz w:val="21"/>
                <w:szCs w:val="21"/>
              </w:rPr>
              <w:t>支出用途</w:t>
            </w:r>
          </w:p>
        </w:tc>
      </w:tr>
      <w:tr>
        <w:tblPrEx>
          <w:tblCellMar>
            <w:top w:w="0" w:type="dxa"/>
            <w:left w:w="108" w:type="dxa"/>
            <w:bottom w:w="0" w:type="dxa"/>
            <w:right w:w="108" w:type="dxa"/>
          </w:tblCellMar>
        </w:tblPrEx>
        <w:trPr>
          <w:trHeight w:val="329" w:hRule="exact"/>
          <w:jc w:val="center"/>
        </w:trPr>
        <w:tc>
          <w:tcPr>
            <w:tcW w:w="2842" w:type="dxa"/>
            <w:vMerge w:val="continue"/>
            <w:tcBorders>
              <w:top w:val="single" w:color="auto" w:sz="6" w:space="0"/>
              <w:left w:val="single" w:color="auto" w:sz="6" w:space="0"/>
              <w:bottom w:val="single" w:color="auto" w:sz="6" w:space="0"/>
              <w:right w:val="single" w:color="auto" w:sz="6" w:space="0"/>
            </w:tcBorders>
            <w:vAlign w:val="center"/>
          </w:tcPr>
          <w:p>
            <w:pPr>
              <w:widowControl/>
              <w:ind w:firstLine="0" w:firstLineChars="0"/>
              <w:jc w:val="left"/>
              <w:rPr>
                <w:rFonts w:ascii="宋体" w:hAnsi="宋体" w:eastAsia="宋体"/>
                <w:b/>
                <w:bCs/>
                <w:kern w:val="0"/>
                <w:sz w:val="21"/>
                <w:szCs w:val="21"/>
              </w:rPr>
            </w:pPr>
          </w:p>
        </w:tc>
        <w:tc>
          <w:tcPr>
            <w:tcW w:w="1770" w:type="dxa"/>
            <w:vMerge w:val="continue"/>
            <w:tcBorders>
              <w:top w:val="single" w:color="auto" w:sz="6" w:space="0"/>
              <w:left w:val="single" w:color="auto" w:sz="6" w:space="0"/>
              <w:bottom w:val="single" w:color="auto" w:sz="6" w:space="0"/>
              <w:right w:val="single" w:color="auto" w:sz="6" w:space="0"/>
            </w:tcBorders>
            <w:vAlign w:val="center"/>
          </w:tcPr>
          <w:p>
            <w:pPr>
              <w:widowControl/>
              <w:ind w:firstLine="0" w:firstLineChars="0"/>
              <w:jc w:val="left"/>
              <w:rPr>
                <w:rFonts w:ascii="宋体" w:hAnsi="宋体" w:eastAsia="宋体"/>
                <w:b/>
                <w:bCs/>
                <w:kern w:val="0"/>
                <w:sz w:val="21"/>
                <w:szCs w:val="21"/>
              </w:rPr>
            </w:pPr>
          </w:p>
        </w:tc>
        <w:tc>
          <w:tcPr>
            <w:tcW w:w="3423"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b/>
                <w:bCs/>
                <w:kern w:val="0"/>
                <w:sz w:val="21"/>
                <w:szCs w:val="21"/>
              </w:rPr>
            </w:pPr>
            <w:r>
              <w:rPr>
                <w:rFonts w:hint="eastAsia" w:ascii="宋体" w:hAnsi="宋体" w:eastAsia="宋体" w:cs="宋体"/>
                <w:b/>
                <w:bCs/>
                <w:kern w:val="0"/>
                <w:sz w:val="21"/>
                <w:szCs w:val="21"/>
              </w:rPr>
              <w:t>功能科目名称</w:t>
            </w:r>
          </w:p>
        </w:tc>
        <w:tc>
          <w:tcPr>
            <w:tcW w:w="1833"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b/>
                <w:bCs/>
                <w:kern w:val="0"/>
                <w:sz w:val="21"/>
                <w:szCs w:val="21"/>
              </w:rPr>
            </w:pPr>
            <w:r>
              <w:rPr>
                <w:rFonts w:hint="eastAsia" w:ascii="宋体" w:hAnsi="宋体" w:eastAsia="宋体" w:cs="宋体"/>
                <w:b/>
                <w:bCs/>
                <w:kern w:val="0"/>
                <w:sz w:val="21"/>
                <w:szCs w:val="21"/>
              </w:rPr>
              <w:t>金额</w:t>
            </w:r>
          </w:p>
        </w:tc>
        <w:tc>
          <w:tcPr>
            <w:tcW w:w="1934"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b/>
                <w:bCs/>
                <w:kern w:val="0"/>
                <w:sz w:val="21"/>
                <w:szCs w:val="21"/>
              </w:rPr>
            </w:pPr>
            <w:r>
              <w:rPr>
                <w:rFonts w:hint="eastAsia" w:ascii="宋体" w:hAnsi="宋体" w:eastAsia="宋体"/>
                <w:b/>
                <w:bCs/>
                <w:kern w:val="0"/>
                <w:sz w:val="21"/>
                <w:szCs w:val="21"/>
              </w:rPr>
              <w:t>项目名称</w:t>
            </w:r>
          </w:p>
        </w:tc>
        <w:tc>
          <w:tcPr>
            <w:tcW w:w="211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b/>
                <w:bCs/>
                <w:kern w:val="0"/>
                <w:sz w:val="21"/>
                <w:szCs w:val="21"/>
              </w:rPr>
            </w:pPr>
            <w:r>
              <w:rPr>
                <w:rFonts w:hint="eastAsia" w:ascii="宋体" w:hAnsi="宋体" w:eastAsia="宋体"/>
                <w:b/>
                <w:bCs/>
                <w:kern w:val="0"/>
                <w:sz w:val="21"/>
                <w:szCs w:val="21"/>
              </w:rPr>
              <w:t>金额</w:t>
            </w:r>
          </w:p>
        </w:tc>
      </w:tr>
      <w:tr>
        <w:tblPrEx>
          <w:tblCellMar>
            <w:top w:w="0" w:type="dxa"/>
            <w:left w:w="108" w:type="dxa"/>
            <w:bottom w:w="0" w:type="dxa"/>
            <w:right w:w="108" w:type="dxa"/>
          </w:tblCellMar>
        </w:tblPrEx>
        <w:trPr>
          <w:trHeight w:val="329" w:hRule="exac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一、财政拨款</w:t>
            </w:r>
          </w:p>
        </w:tc>
        <w:tc>
          <w:tcPr>
            <w:tcW w:w="177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right"/>
              <w:rPr>
                <w:rFonts w:ascii="宋体" w:hAnsi="宋体" w:eastAsia="宋体"/>
                <w:kern w:val="0"/>
                <w:sz w:val="21"/>
                <w:szCs w:val="21"/>
              </w:rPr>
            </w:pPr>
            <w:r>
              <w:rPr>
                <w:rFonts w:hint="eastAsia" w:ascii="宋体" w:hAnsi="宋体" w:eastAsia="宋体"/>
                <w:kern w:val="0"/>
                <w:sz w:val="21"/>
                <w:szCs w:val="21"/>
              </w:rPr>
              <w:t>881.19</w:t>
            </w: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一、一般公共服务支出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557.29</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一、基本支出</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right"/>
              <w:rPr>
                <w:rFonts w:ascii="宋体" w:hAnsi="宋体" w:eastAsia="宋体"/>
                <w:kern w:val="0"/>
                <w:sz w:val="21"/>
                <w:szCs w:val="21"/>
              </w:rPr>
            </w:pPr>
            <w:r>
              <w:rPr>
                <w:rFonts w:hint="eastAsia" w:ascii="宋体" w:hAnsi="宋体" w:eastAsia="宋体"/>
                <w:kern w:val="0"/>
                <w:sz w:val="21"/>
                <w:szCs w:val="21"/>
              </w:rPr>
              <w:t>803.90</w:t>
            </w:r>
            <w:r>
              <w:rPr>
                <w:rFonts w:ascii="宋体" w:hAnsi="宋体" w:eastAsia="宋体"/>
                <w:kern w:val="0"/>
                <w:sz w:val="21"/>
                <w:szCs w:val="21"/>
              </w:rPr>
              <w:t>　</w:t>
            </w:r>
          </w:p>
        </w:tc>
      </w:tr>
      <w:tr>
        <w:tblPrEx>
          <w:tblCellMar>
            <w:top w:w="0" w:type="dxa"/>
            <w:left w:w="108" w:type="dxa"/>
            <w:bottom w:w="0" w:type="dxa"/>
            <w:right w:w="108" w:type="dxa"/>
          </w:tblCellMar>
        </w:tblPrEx>
        <w:trPr>
          <w:trHeight w:val="329" w:hRule="exac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xml:space="preserve">      1. 一般公共预算</w:t>
            </w:r>
          </w:p>
        </w:tc>
        <w:tc>
          <w:tcPr>
            <w:tcW w:w="177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hint="eastAsia" w:ascii="宋体" w:hAnsi="宋体" w:eastAsia="宋体"/>
                <w:kern w:val="0"/>
                <w:sz w:val="21"/>
                <w:szCs w:val="21"/>
              </w:rPr>
              <w:t>881.19</w:t>
            </w: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二、外交支出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二、项目支出</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hint="eastAsia" w:ascii="宋体" w:hAnsi="宋体" w:eastAsia="宋体"/>
                <w:kern w:val="0"/>
                <w:sz w:val="21"/>
                <w:szCs w:val="21"/>
              </w:rPr>
              <w:t>77.29</w:t>
            </w:r>
            <w:r>
              <w:rPr>
                <w:rFonts w:ascii="宋体" w:hAnsi="宋体" w:eastAsia="宋体"/>
                <w:kern w:val="0"/>
                <w:sz w:val="21"/>
                <w:szCs w:val="21"/>
              </w:rPr>
              <w:t>　</w:t>
            </w:r>
          </w:p>
        </w:tc>
      </w:tr>
      <w:tr>
        <w:tblPrEx>
          <w:tblCellMar>
            <w:top w:w="0" w:type="dxa"/>
            <w:left w:w="108" w:type="dxa"/>
            <w:bottom w:w="0" w:type="dxa"/>
            <w:right w:w="108" w:type="dxa"/>
          </w:tblCellMar>
        </w:tblPrEx>
        <w:trPr>
          <w:trHeight w:val="329" w:hRule="exac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xml:space="preserve">      2. 政府性基金预算</w:t>
            </w:r>
          </w:p>
        </w:tc>
        <w:tc>
          <w:tcPr>
            <w:tcW w:w="1770"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220" w:lineRule="exact"/>
              <w:ind w:firstLine="0" w:firstLineChars="0"/>
              <w:jc w:val="center"/>
              <w:rPr>
                <w:rFonts w:ascii="宋体" w:hAnsi="宋体" w:eastAsia="宋体"/>
                <w:kern w:val="0"/>
                <w:sz w:val="21"/>
                <w:szCs w:val="21"/>
              </w:rPr>
            </w:pP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三、国防支出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r>
      <w:tr>
        <w:tblPrEx>
          <w:tblCellMar>
            <w:top w:w="0" w:type="dxa"/>
            <w:left w:w="108" w:type="dxa"/>
            <w:bottom w:w="0" w:type="dxa"/>
            <w:right w:w="108" w:type="dxa"/>
          </w:tblCellMar>
        </w:tblPrEx>
        <w:trPr>
          <w:trHeight w:val="329" w:hRule="exac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二、财政专户管理资金</w:t>
            </w:r>
          </w:p>
        </w:tc>
        <w:tc>
          <w:tcPr>
            <w:tcW w:w="1770"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220" w:lineRule="exact"/>
              <w:ind w:firstLine="0" w:firstLineChars="0"/>
              <w:jc w:val="center"/>
              <w:rPr>
                <w:rFonts w:ascii="宋体" w:hAnsi="宋体" w:eastAsia="宋体"/>
                <w:kern w:val="0"/>
                <w:sz w:val="21"/>
                <w:szCs w:val="21"/>
              </w:rPr>
            </w:pP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四、公共安全支出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r>
      <w:tr>
        <w:tblPrEx>
          <w:tblCellMar>
            <w:top w:w="0" w:type="dxa"/>
            <w:left w:w="108" w:type="dxa"/>
            <w:bottom w:w="0" w:type="dxa"/>
            <w:right w:w="108" w:type="dxa"/>
          </w:tblCellMar>
        </w:tblPrEx>
        <w:trPr>
          <w:trHeight w:val="329" w:hRule="exac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三、其他资金</w:t>
            </w:r>
          </w:p>
        </w:tc>
        <w:tc>
          <w:tcPr>
            <w:tcW w:w="1770"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220" w:lineRule="exact"/>
              <w:ind w:firstLine="0" w:firstLineChars="0"/>
              <w:jc w:val="center"/>
              <w:rPr>
                <w:rFonts w:ascii="宋体" w:hAnsi="宋体" w:eastAsia="宋体"/>
                <w:kern w:val="0"/>
                <w:sz w:val="21"/>
                <w:szCs w:val="21"/>
              </w:rPr>
            </w:pP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五、教育支出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r>
      <w:tr>
        <w:tblPrEx>
          <w:tblCellMar>
            <w:top w:w="0" w:type="dxa"/>
            <w:left w:w="108" w:type="dxa"/>
            <w:bottom w:w="0" w:type="dxa"/>
            <w:right w:w="108" w:type="dxa"/>
          </w:tblCellMar>
        </w:tblPrEx>
        <w:trPr>
          <w:trHeight w:val="329" w:hRule="exac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770"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220" w:lineRule="exact"/>
              <w:ind w:firstLine="0" w:firstLineChars="0"/>
              <w:jc w:val="center"/>
              <w:rPr>
                <w:rFonts w:ascii="宋体" w:hAnsi="宋体" w:eastAsia="宋体"/>
                <w:kern w:val="0"/>
                <w:sz w:val="21"/>
                <w:szCs w:val="21"/>
              </w:rPr>
            </w:pP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六、科学技术支出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r>
      <w:tr>
        <w:tblPrEx>
          <w:tblCellMar>
            <w:top w:w="0" w:type="dxa"/>
            <w:left w:w="108" w:type="dxa"/>
            <w:bottom w:w="0" w:type="dxa"/>
            <w:right w:w="108" w:type="dxa"/>
          </w:tblCellMar>
        </w:tblPrEx>
        <w:trPr>
          <w:trHeight w:val="329" w:hRule="exac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1770"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220" w:lineRule="exact"/>
              <w:ind w:firstLine="0" w:firstLineChars="0"/>
              <w:jc w:val="center"/>
              <w:rPr>
                <w:rFonts w:ascii="宋体" w:hAnsi="宋体" w:eastAsia="宋体"/>
                <w:kern w:val="0"/>
                <w:sz w:val="21"/>
                <w:szCs w:val="21"/>
              </w:rPr>
            </w:pP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七、文化体育与传媒支出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211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220" w:lineRule="exact"/>
              <w:ind w:firstLine="0" w:firstLineChars="0"/>
              <w:jc w:val="center"/>
              <w:rPr>
                <w:rFonts w:ascii="宋体" w:hAnsi="宋体" w:eastAsia="宋体"/>
                <w:kern w:val="0"/>
                <w:sz w:val="21"/>
                <w:szCs w:val="21"/>
              </w:rPr>
            </w:pPr>
            <w:r>
              <w:rPr>
                <w:rFonts w:ascii="宋体" w:hAnsi="宋体" w:eastAsia="宋体"/>
                <w:kern w:val="0"/>
                <w:sz w:val="21"/>
                <w:szCs w:val="21"/>
              </w:rPr>
              <w:t>　</w:t>
            </w:r>
          </w:p>
        </w:tc>
      </w:tr>
      <w:tr>
        <w:tblPrEx>
          <w:tblCellMar>
            <w:top w:w="0" w:type="dxa"/>
            <w:left w:w="108" w:type="dxa"/>
            <w:bottom w:w="0" w:type="dxa"/>
            <w:right w:w="108" w:type="dxa"/>
          </w:tblCellMar>
        </w:tblPrEx>
        <w:trPr>
          <w:trHeight w:val="329" w:hRule="exac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177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八、社会保障和就业支出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195.57</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211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220" w:lineRule="exact"/>
              <w:ind w:firstLine="0" w:firstLineChars="0"/>
              <w:jc w:val="center"/>
              <w:rPr>
                <w:rFonts w:ascii="宋体" w:hAnsi="宋体" w:eastAsia="宋体"/>
                <w:kern w:val="0"/>
                <w:sz w:val="21"/>
                <w:szCs w:val="21"/>
              </w:rPr>
            </w:pPr>
            <w:r>
              <w:rPr>
                <w:rFonts w:ascii="宋体" w:hAnsi="宋体" w:eastAsia="宋体"/>
                <w:kern w:val="0"/>
                <w:sz w:val="21"/>
                <w:szCs w:val="21"/>
              </w:rPr>
              <w:t>　</w:t>
            </w:r>
          </w:p>
        </w:tc>
      </w:tr>
      <w:tr>
        <w:tblPrEx>
          <w:tblCellMar>
            <w:top w:w="0" w:type="dxa"/>
            <w:left w:w="108" w:type="dxa"/>
            <w:bottom w:w="0" w:type="dxa"/>
            <w:right w:w="108" w:type="dxa"/>
          </w:tblCellMar>
        </w:tblPrEx>
        <w:trPr>
          <w:trHeight w:val="300" w:hRule="atLeas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177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九、医疗卫生与计划生育支出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26.23</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r>
      <w:tr>
        <w:tblPrEx>
          <w:tblCellMar>
            <w:top w:w="0" w:type="dxa"/>
            <w:left w:w="108" w:type="dxa"/>
            <w:bottom w:w="0" w:type="dxa"/>
            <w:right w:w="108" w:type="dxa"/>
          </w:tblCellMar>
        </w:tblPrEx>
        <w:trPr>
          <w:trHeight w:val="300" w:hRule="atLeas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177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十、节能环保支出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r>
      <w:tr>
        <w:tblPrEx>
          <w:tblCellMar>
            <w:top w:w="0" w:type="dxa"/>
            <w:left w:w="108" w:type="dxa"/>
            <w:bottom w:w="0" w:type="dxa"/>
            <w:right w:w="108" w:type="dxa"/>
          </w:tblCellMar>
        </w:tblPrEx>
        <w:trPr>
          <w:trHeight w:val="300" w:hRule="atLeas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177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十一、城乡社区支出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r>
      <w:tr>
        <w:tblPrEx>
          <w:tblCellMar>
            <w:top w:w="0" w:type="dxa"/>
            <w:left w:w="108" w:type="dxa"/>
            <w:bottom w:w="0" w:type="dxa"/>
            <w:right w:w="108" w:type="dxa"/>
          </w:tblCellMar>
        </w:tblPrEx>
        <w:trPr>
          <w:trHeight w:val="300" w:hRule="atLeas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177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十二、农林水支出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r>
      <w:tr>
        <w:tblPrEx>
          <w:tblCellMar>
            <w:top w:w="0" w:type="dxa"/>
            <w:left w:w="108" w:type="dxa"/>
            <w:bottom w:w="0" w:type="dxa"/>
            <w:right w:w="108" w:type="dxa"/>
          </w:tblCellMar>
        </w:tblPrEx>
        <w:trPr>
          <w:trHeight w:val="300" w:hRule="atLeas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177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十三、交通运输支出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r>
      <w:tr>
        <w:tblPrEx>
          <w:tblCellMar>
            <w:top w:w="0" w:type="dxa"/>
            <w:left w:w="108" w:type="dxa"/>
            <w:bottom w:w="0" w:type="dxa"/>
            <w:right w:w="108" w:type="dxa"/>
          </w:tblCellMar>
        </w:tblPrEx>
        <w:trPr>
          <w:trHeight w:val="300" w:hRule="atLeas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77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十四、资源勘探信息等支出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r>
      <w:tr>
        <w:tblPrEx>
          <w:tblCellMar>
            <w:top w:w="0" w:type="dxa"/>
            <w:left w:w="108" w:type="dxa"/>
            <w:bottom w:w="0" w:type="dxa"/>
            <w:right w:w="108" w:type="dxa"/>
          </w:tblCellMar>
        </w:tblPrEx>
        <w:trPr>
          <w:trHeight w:val="300" w:hRule="atLeas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177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十五、商业服务业等支出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r>
      <w:tr>
        <w:tblPrEx>
          <w:tblCellMar>
            <w:top w:w="0" w:type="dxa"/>
            <w:left w:w="108" w:type="dxa"/>
            <w:bottom w:w="0" w:type="dxa"/>
            <w:right w:w="108" w:type="dxa"/>
          </w:tblCellMar>
        </w:tblPrEx>
        <w:trPr>
          <w:trHeight w:val="300" w:hRule="atLeas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177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十六、金融支出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r>
      <w:tr>
        <w:tblPrEx>
          <w:tblCellMar>
            <w:top w:w="0" w:type="dxa"/>
            <w:left w:w="108" w:type="dxa"/>
            <w:bottom w:w="0" w:type="dxa"/>
            <w:right w:w="108" w:type="dxa"/>
          </w:tblCellMar>
        </w:tblPrEx>
        <w:trPr>
          <w:trHeight w:val="255" w:hRule="atLeas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177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十七、国土海洋气象等支出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r>
      <w:tr>
        <w:tblPrEx>
          <w:tblCellMar>
            <w:top w:w="0" w:type="dxa"/>
            <w:left w:w="108" w:type="dxa"/>
            <w:bottom w:w="0" w:type="dxa"/>
            <w:right w:w="108" w:type="dxa"/>
          </w:tblCellMar>
        </w:tblPrEx>
        <w:trPr>
          <w:trHeight w:val="242" w:hRule="atLeas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177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十八、住房保障支出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left="945" w:hanging="945" w:hangingChars="450"/>
              <w:jc w:val="left"/>
              <w:rPr>
                <w:rFonts w:ascii="宋体" w:hAnsi="宋体" w:eastAsia="宋体" w:cs="宋体"/>
                <w:kern w:val="0"/>
                <w:sz w:val="21"/>
                <w:szCs w:val="21"/>
              </w:rPr>
            </w:pPr>
            <w:r>
              <w:rPr>
                <w:rFonts w:hint="eastAsia" w:ascii="宋体" w:hAnsi="宋体" w:eastAsia="宋体" w:cs="宋体"/>
                <w:kern w:val="0"/>
                <w:sz w:val="21"/>
                <w:szCs w:val="21"/>
              </w:rPr>
              <w:t>　       102.10</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r>
      <w:tr>
        <w:tblPrEx>
          <w:tblCellMar>
            <w:top w:w="0" w:type="dxa"/>
            <w:left w:w="108" w:type="dxa"/>
            <w:bottom w:w="0" w:type="dxa"/>
            <w:right w:w="108" w:type="dxa"/>
          </w:tblCellMar>
        </w:tblPrEx>
        <w:trPr>
          <w:trHeight w:val="255" w:hRule="atLeas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177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十九、粮油物资储备支出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r>
      <w:tr>
        <w:tblPrEx>
          <w:tblCellMar>
            <w:top w:w="0" w:type="dxa"/>
            <w:left w:w="108" w:type="dxa"/>
            <w:bottom w:w="0" w:type="dxa"/>
            <w:right w:w="108" w:type="dxa"/>
          </w:tblCellMar>
        </w:tblPrEx>
        <w:trPr>
          <w:trHeight w:val="255" w:hRule="atLeas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77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c>
          <w:tcPr>
            <w:tcW w:w="342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二十、其他支出</w:t>
            </w:r>
          </w:p>
        </w:tc>
        <w:tc>
          <w:tcPr>
            <w:tcW w:w="183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934" w:type="dxa"/>
            <w:tcBorders>
              <w:top w:val="single" w:color="auto" w:sz="6" w:space="0"/>
              <w:left w:val="single" w:color="auto" w:sz="6" w:space="0"/>
              <w:bottom w:val="single" w:color="auto" w:sz="6" w:space="0"/>
              <w:right w:val="single" w:color="auto" w:sz="6" w:space="0"/>
            </w:tcBorders>
            <w:shd w:val="clear" w:color="auto" w:fill="auto"/>
            <w:noWrap/>
            <w:vAlign w:val="bottom"/>
          </w:tcPr>
          <w:p>
            <w:pPr>
              <w:widowControl/>
              <w:spacing w:line="220" w:lineRule="exact"/>
              <w:ind w:firstLine="0" w:firstLineChars="0"/>
              <w:jc w:val="left"/>
              <w:rPr>
                <w:rFonts w:ascii="宋体" w:hAnsi="宋体" w:eastAsia="宋体"/>
                <w:kern w:val="0"/>
                <w:sz w:val="21"/>
                <w:szCs w:val="21"/>
              </w:rPr>
            </w:pPr>
            <w:r>
              <w:rPr>
                <w:rFonts w:ascii="宋体" w:hAnsi="宋体" w:eastAsia="宋体"/>
                <w:kern w:val="0"/>
                <w:sz w:val="21"/>
                <w:szCs w:val="21"/>
              </w:rPr>
              <w:t>　</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ascii="宋体" w:hAnsi="宋体" w:eastAsia="宋体"/>
                <w:kern w:val="0"/>
                <w:sz w:val="21"/>
                <w:szCs w:val="21"/>
              </w:rPr>
              <w:t>　</w:t>
            </w:r>
          </w:p>
        </w:tc>
      </w:tr>
      <w:tr>
        <w:tblPrEx>
          <w:tblCellMar>
            <w:top w:w="0" w:type="dxa"/>
            <w:left w:w="108" w:type="dxa"/>
            <w:bottom w:w="0" w:type="dxa"/>
            <w:right w:w="108" w:type="dxa"/>
          </w:tblCellMar>
        </w:tblPrEx>
        <w:trPr>
          <w:trHeight w:val="255" w:hRule="atLeas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center"/>
              <w:rPr>
                <w:rFonts w:ascii="宋体" w:hAnsi="宋体" w:eastAsia="宋体" w:cs="宋体"/>
                <w:b/>
                <w:bCs/>
                <w:kern w:val="0"/>
                <w:sz w:val="21"/>
                <w:szCs w:val="21"/>
              </w:rPr>
            </w:pPr>
            <w:r>
              <w:rPr>
                <w:rFonts w:hint="eastAsia" w:ascii="宋体" w:hAnsi="宋体" w:eastAsia="宋体" w:cs="宋体"/>
                <w:b/>
                <w:bCs/>
                <w:kern w:val="0"/>
                <w:sz w:val="21"/>
                <w:szCs w:val="21"/>
              </w:rPr>
              <w:t>当年收入小计</w:t>
            </w:r>
          </w:p>
        </w:tc>
        <w:tc>
          <w:tcPr>
            <w:tcW w:w="177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hint="eastAsia" w:ascii="宋体" w:hAnsi="宋体" w:eastAsia="宋体"/>
                <w:kern w:val="0"/>
                <w:sz w:val="21"/>
                <w:szCs w:val="21"/>
              </w:rPr>
              <w:t>881.19</w:t>
            </w:r>
            <w:r>
              <w:rPr>
                <w:rFonts w:ascii="宋体" w:hAnsi="宋体" w:eastAsia="宋体"/>
                <w:kern w:val="0"/>
                <w:sz w:val="21"/>
                <w:szCs w:val="21"/>
              </w:rPr>
              <w:t>　</w:t>
            </w:r>
          </w:p>
        </w:tc>
        <w:tc>
          <w:tcPr>
            <w:tcW w:w="7190" w:type="dxa"/>
            <w:gridSpan w:val="3"/>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center"/>
              <w:rPr>
                <w:rFonts w:ascii="宋体" w:hAnsi="宋体" w:eastAsia="宋体" w:cs="宋体"/>
                <w:b/>
                <w:bCs/>
                <w:kern w:val="0"/>
                <w:sz w:val="21"/>
                <w:szCs w:val="21"/>
              </w:rPr>
            </w:pPr>
            <w:r>
              <w:rPr>
                <w:rFonts w:hint="eastAsia" w:ascii="宋体" w:hAnsi="宋体" w:eastAsia="宋体" w:cs="宋体"/>
                <w:b/>
                <w:bCs/>
                <w:kern w:val="0"/>
                <w:sz w:val="21"/>
                <w:szCs w:val="21"/>
              </w:rPr>
              <w:t>当年支出小计</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hint="eastAsia" w:ascii="宋体" w:hAnsi="宋体" w:eastAsia="宋体"/>
                <w:kern w:val="0"/>
                <w:sz w:val="21"/>
                <w:szCs w:val="21"/>
              </w:rPr>
              <w:t>881.19</w:t>
            </w:r>
            <w:r>
              <w:rPr>
                <w:rFonts w:ascii="宋体" w:hAnsi="宋体" w:eastAsia="宋体"/>
                <w:kern w:val="0"/>
                <w:sz w:val="21"/>
                <w:szCs w:val="21"/>
              </w:rPr>
              <w:t>　</w:t>
            </w:r>
          </w:p>
        </w:tc>
      </w:tr>
      <w:tr>
        <w:tblPrEx>
          <w:tblCellMar>
            <w:top w:w="0" w:type="dxa"/>
            <w:left w:w="108" w:type="dxa"/>
            <w:bottom w:w="0" w:type="dxa"/>
            <w:right w:w="108" w:type="dxa"/>
          </w:tblCellMar>
        </w:tblPrEx>
        <w:trPr>
          <w:trHeight w:val="255" w:hRule="atLeas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center"/>
              <w:rPr>
                <w:rFonts w:ascii="宋体" w:hAnsi="宋体" w:eastAsia="宋体" w:cs="宋体"/>
                <w:kern w:val="0"/>
                <w:sz w:val="21"/>
                <w:szCs w:val="21"/>
              </w:rPr>
            </w:pPr>
            <w:r>
              <w:rPr>
                <w:rFonts w:hint="eastAsia" w:ascii="宋体" w:hAnsi="宋体" w:eastAsia="宋体" w:cs="宋体"/>
                <w:kern w:val="0"/>
                <w:sz w:val="21"/>
                <w:szCs w:val="21"/>
              </w:rPr>
              <w:t>上年结余资金</w:t>
            </w:r>
          </w:p>
        </w:tc>
        <w:tc>
          <w:tcPr>
            <w:tcW w:w="1770"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220" w:lineRule="exact"/>
              <w:ind w:firstLine="0" w:firstLineChars="0"/>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7190" w:type="dxa"/>
            <w:gridSpan w:val="3"/>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center"/>
              <w:rPr>
                <w:rFonts w:ascii="宋体" w:hAnsi="宋体" w:eastAsia="宋体" w:cs="宋体"/>
                <w:kern w:val="0"/>
                <w:sz w:val="21"/>
                <w:szCs w:val="21"/>
              </w:rPr>
            </w:pPr>
            <w:r>
              <w:rPr>
                <w:rFonts w:hint="eastAsia" w:ascii="宋体" w:hAnsi="宋体" w:eastAsia="宋体" w:cs="宋体"/>
                <w:kern w:val="0"/>
                <w:sz w:val="21"/>
                <w:szCs w:val="21"/>
              </w:rPr>
              <w:t>结转下年资金</w:t>
            </w:r>
          </w:p>
        </w:tc>
        <w:tc>
          <w:tcPr>
            <w:tcW w:w="211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220" w:lineRule="exact"/>
              <w:ind w:firstLine="0" w:firstLineChars="0"/>
              <w:jc w:val="center"/>
              <w:rPr>
                <w:rFonts w:ascii="宋体" w:hAnsi="宋体" w:eastAsia="宋体"/>
                <w:kern w:val="0"/>
                <w:sz w:val="21"/>
                <w:szCs w:val="21"/>
              </w:rPr>
            </w:pPr>
            <w:r>
              <w:rPr>
                <w:rFonts w:ascii="宋体" w:hAnsi="宋体" w:eastAsia="宋体"/>
                <w:kern w:val="0"/>
                <w:sz w:val="21"/>
                <w:szCs w:val="21"/>
              </w:rPr>
              <w:t>　</w:t>
            </w:r>
          </w:p>
        </w:tc>
      </w:tr>
      <w:tr>
        <w:tblPrEx>
          <w:tblCellMar>
            <w:top w:w="0" w:type="dxa"/>
            <w:left w:w="108" w:type="dxa"/>
            <w:bottom w:w="0" w:type="dxa"/>
            <w:right w:w="108" w:type="dxa"/>
          </w:tblCellMar>
        </w:tblPrEx>
        <w:trPr>
          <w:trHeight w:val="255" w:hRule="atLeast"/>
          <w:jc w:val="center"/>
        </w:trPr>
        <w:tc>
          <w:tcPr>
            <w:tcW w:w="28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center"/>
              <w:rPr>
                <w:rFonts w:ascii="宋体" w:hAnsi="宋体" w:eastAsia="宋体" w:cs="宋体"/>
                <w:b/>
                <w:bCs/>
                <w:kern w:val="0"/>
                <w:sz w:val="21"/>
                <w:szCs w:val="21"/>
              </w:rPr>
            </w:pPr>
            <w:r>
              <w:rPr>
                <w:rFonts w:hint="eastAsia" w:ascii="宋体" w:hAnsi="宋体" w:eastAsia="宋体" w:cs="宋体"/>
                <w:b/>
                <w:bCs/>
                <w:kern w:val="0"/>
                <w:sz w:val="21"/>
                <w:szCs w:val="21"/>
              </w:rPr>
              <w:t>收入合计</w:t>
            </w:r>
          </w:p>
        </w:tc>
        <w:tc>
          <w:tcPr>
            <w:tcW w:w="177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cs="宋体"/>
                <w:kern w:val="0"/>
                <w:sz w:val="21"/>
                <w:szCs w:val="21"/>
              </w:rPr>
            </w:pPr>
            <w:r>
              <w:rPr>
                <w:rFonts w:hint="eastAsia" w:ascii="宋体" w:hAnsi="宋体" w:eastAsia="宋体" w:cs="宋体"/>
                <w:kern w:val="0"/>
                <w:sz w:val="21"/>
                <w:szCs w:val="21"/>
              </w:rPr>
              <w:t>881.19　</w:t>
            </w:r>
          </w:p>
        </w:tc>
        <w:tc>
          <w:tcPr>
            <w:tcW w:w="7190" w:type="dxa"/>
            <w:gridSpan w:val="3"/>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center"/>
              <w:rPr>
                <w:rFonts w:ascii="宋体" w:hAnsi="宋体" w:eastAsia="宋体" w:cs="宋体"/>
                <w:b/>
                <w:bCs/>
                <w:kern w:val="0"/>
                <w:sz w:val="21"/>
                <w:szCs w:val="21"/>
              </w:rPr>
            </w:pPr>
            <w:r>
              <w:rPr>
                <w:rFonts w:hint="eastAsia" w:ascii="宋体" w:hAnsi="宋体" w:eastAsia="宋体" w:cs="宋体"/>
                <w:b/>
                <w:bCs/>
                <w:kern w:val="0"/>
                <w:sz w:val="21"/>
                <w:szCs w:val="21"/>
              </w:rPr>
              <w:t>支出合计</w:t>
            </w:r>
          </w:p>
        </w:tc>
        <w:tc>
          <w:tcPr>
            <w:tcW w:w="2116"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220" w:lineRule="exact"/>
              <w:ind w:firstLine="0" w:firstLineChars="0"/>
              <w:jc w:val="right"/>
              <w:rPr>
                <w:rFonts w:ascii="宋体" w:hAnsi="宋体" w:eastAsia="宋体"/>
                <w:kern w:val="0"/>
                <w:sz w:val="21"/>
                <w:szCs w:val="21"/>
              </w:rPr>
            </w:pPr>
            <w:r>
              <w:rPr>
                <w:rFonts w:hint="eastAsia" w:ascii="宋体" w:hAnsi="宋体" w:eastAsia="宋体"/>
                <w:kern w:val="0"/>
                <w:sz w:val="21"/>
                <w:szCs w:val="21"/>
              </w:rPr>
              <w:t>881.19</w:t>
            </w:r>
            <w:r>
              <w:rPr>
                <w:rFonts w:ascii="宋体" w:hAnsi="宋体" w:eastAsia="宋体"/>
                <w:kern w:val="0"/>
                <w:sz w:val="21"/>
                <w:szCs w:val="21"/>
              </w:rPr>
              <w:t>　</w:t>
            </w:r>
          </w:p>
        </w:tc>
      </w:tr>
    </w:tbl>
    <w:p>
      <w:pPr>
        <w:widowControl/>
        <w:spacing w:line="560" w:lineRule="exact"/>
        <w:ind w:left="91" w:firstLine="0" w:firstLineChars="0"/>
        <w:jc w:val="center"/>
        <w:rPr>
          <w:rFonts w:ascii="方正小标宋简体" w:hAnsi="宋体" w:eastAsia="方正小标宋简体" w:cs="宋体"/>
          <w:kern w:val="0"/>
          <w:sz w:val="44"/>
          <w:szCs w:val="44"/>
        </w:rPr>
        <w:sectPr>
          <w:pgSz w:w="16838" w:h="11906" w:orient="landscape"/>
          <w:pgMar w:top="1134" w:right="1418" w:bottom="1701" w:left="1418" w:header="709" w:footer="1361" w:gutter="0"/>
          <w:cols w:space="425" w:num="1"/>
          <w:docGrid w:linePitch="435" w:charSpace="0"/>
        </w:sectPr>
      </w:pPr>
    </w:p>
    <w:p>
      <w:pPr>
        <w:widowControl/>
        <w:spacing w:line="560" w:lineRule="exact"/>
        <w:ind w:firstLine="0" w:firstLineChars="0"/>
        <w:rPr>
          <w:rFonts w:ascii="方正小标宋简体" w:hAnsi="宋体" w:eastAsia="方正小标宋简体" w:cs="宋体"/>
          <w:kern w:val="0"/>
          <w:sz w:val="44"/>
          <w:szCs w:val="44"/>
        </w:rPr>
      </w:pPr>
    </w:p>
    <w:p>
      <w:pPr>
        <w:widowControl/>
        <w:spacing w:line="560" w:lineRule="exact"/>
        <w:ind w:left="91" w:firstLine="0" w:firstLineChars="0"/>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2017年度常州市人民政府外事办公室       收入预算总表</w:t>
      </w:r>
    </w:p>
    <w:tbl>
      <w:tblPr>
        <w:tblStyle w:val="4"/>
        <w:tblW w:w="9176" w:type="dxa"/>
        <w:jc w:val="center"/>
        <w:tblLayout w:type="autofit"/>
        <w:tblCellMar>
          <w:top w:w="0" w:type="dxa"/>
          <w:left w:w="108" w:type="dxa"/>
          <w:bottom w:w="0" w:type="dxa"/>
          <w:right w:w="108" w:type="dxa"/>
        </w:tblCellMar>
      </w:tblPr>
      <w:tblGrid>
        <w:gridCol w:w="2846"/>
        <w:gridCol w:w="4123"/>
        <w:gridCol w:w="2207"/>
      </w:tblGrid>
      <w:tr>
        <w:tblPrEx>
          <w:tblCellMar>
            <w:top w:w="0" w:type="dxa"/>
            <w:left w:w="108" w:type="dxa"/>
            <w:bottom w:w="0" w:type="dxa"/>
            <w:right w:w="108" w:type="dxa"/>
          </w:tblCellMar>
        </w:tblPrEx>
        <w:trPr>
          <w:trHeight w:val="444" w:hRule="atLeast"/>
          <w:jc w:val="center"/>
        </w:trPr>
        <w:tc>
          <w:tcPr>
            <w:tcW w:w="2846" w:type="dxa"/>
            <w:tcBorders>
              <w:top w:val="nil"/>
              <w:left w:val="nil"/>
              <w:bottom w:val="single" w:color="auto" w:sz="6" w:space="0"/>
              <w:right w:val="nil"/>
            </w:tcBorders>
            <w:shd w:val="clear" w:color="auto" w:fill="auto"/>
            <w:noWrap/>
            <w:vAlign w:val="bottom"/>
          </w:tcPr>
          <w:p>
            <w:pPr>
              <w:widowControl/>
              <w:ind w:firstLine="0" w:firstLineChars="0"/>
              <w:jc w:val="left"/>
              <w:rPr>
                <w:rFonts w:ascii="宋体" w:hAnsi="宋体" w:eastAsia="宋体" w:cs="宋体"/>
                <w:kern w:val="0"/>
                <w:sz w:val="24"/>
                <w:szCs w:val="24"/>
              </w:rPr>
            </w:pPr>
            <w:r>
              <w:rPr>
                <w:rFonts w:hint="eastAsia" w:ascii="宋体" w:hAnsi="宋体" w:eastAsia="宋体" w:cs="宋体"/>
                <w:kern w:val="0"/>
                <w:sz w:val="24"/>
                <w:szCs w:val="24"/>
              </w:rPr>
              <w:t>公开表二</w:t>
            </w:r>
          </w:p>
        </w:tc>
        <w:tc>
          <w:tcPr>
            <w:tcW w:w="4123" w:type="dxa"/>
            <w:tcBorders>
              <w:top w:val="nil"/>
              <w:left w:val="nil"/>
              <w:bottom w:val="single" w:color="auto" w:sz="6" w:space="0"/>
              <w:right w:val="nil"/>
            </w:tcBorders>
            <w:shd w:val="clear" w:color="auto" w:fill="auto"/>
            <w:noWrap/>
            <w:vAlign w:val="center"/>
          </w:tcPr>
          <w:p>
            <w:pPr>
              <w:widowControl/>
              <w:ind w:firstLine="0" w:firstLineChars="0"/>
              <w:jc w:val="left"/>
              <w:rPr>
                <w:rFonts w:ascii="宋体" w:hAnsi="宋体" w:eastAsia="宋体" w:cs="宋体"/>
                <w:color w:val="000000"/>
                <w:kern w:val="0"/>
                <w:sz w:val="24"/>
                <w:szCs w:val="24"/>
              </w:rPr>
            </w:pPr>
          </w:p>
        </w:tc>
        <w:tc>
          <w:tcPr>
            <w:tcW w:w="2207" w:type="dxa"/>
            <w:tcBorders>
              <w:top w:val="nil"/>
              <w:left w:val="nil"/>
              <w:bottom w:val="single" w:color="auto" w:sz="6" w:space="0"/>
              <w:right w:val="nil"/>
            </w:tcBorders>
            <w:shd w:val="clear" w:color="auto" w:fill="auto"/>
            <w:noWrap/>
            <w:vAlign w:val="bottom"/>
          </w:tcPr>
          <w:p>
            <w:pPr>
              <w:widowControl/>
              <w:ind w:firstLine="0" w:firstLineChars="0"/>
              <w:jc w:val="right"/>
              <w:rPr>
                <w:rFonts w:ascii="宋体" w:hAnsi="宋体" w:eastAsia="宋体" w:cs="宋体"/>
                <w:color w:val="000000"/>
                <w:kern w:val="0"/>
                <w:sz w:val="24"/>
                <w:szCs w:val="24"/>
              </w:rPr>
            </w:pPr>
            <w:r>
              <w:rPr>
                <w:rFonts w:hint="eastAsia" w:ascii="宋体" w:hAnsi="宋体" w:eastAsia="宋体" w:cs="宋体"/>
                <w:color w:val="000000"/>
                <w:kern w:val="0"/>
                <w:sz w:val="24"/>
                <w:szCs w:val="24"/>
              </w:rPr>
              <w:t>单位：万元</w:t>
            </w:r>
          </w:p>
        </w:tc>
      </w:tr>
      <w:tr>
        <w:tblPrEx>
          <w:tblCellMar>
            <w:top w:w="0" w:type="dxa"/>
            <w:left w:w="108" w:type="dxa"/>
            <w:bottom w:w="0" w:type="dxa"/>
            <w:right w:w="108" w:type="dxa"/>
          </w:tblCellMar>
        </w:tblPrEx>
        <w:trPr>
          <w:trHeight w:val="699" w:hRule="atLeast"/>
          <w:jc w:val="center"/>
        </w:trPr>
        <w:tc>
          <w:tcPr>
            <w:tcW w:w="6969"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项目名称</w:t>
            </w:r>
          </w:p>
        </w:tc>
        <w:tc>
          <w:tcPr>
            <w:tcW w:w="220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金额</w:t>
            </w:r>
          </w:p>
        </w:tc>
      </w:tr>
      <w:tr>
        <w:tblPrEx>
          <w:tblCellMar>
            <w:top w:w="0" w:type="dxa"/>
            <w:left w:w="108" w:type="dxa"/>
            <w:bottom w:w="0" w:type="dxa"/>
            <w:right w:w="108" w:type="dxa"/>
          </w:tblCellMar>
        </w:tblPrEx>
        <w:trPr>
          <w:trHeight w:val="699" w:hRule="atLeast"/>
          <w:jc w:val="center"/>
        </w:trPr>
        <w:tc>
          <w:tcPr>
            <w:tcW w:w="6969"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收入总计</w:t>
            </w:r>
          </w:p>
        </w:tc>
        <w:tc>
          <w:tcPr>
            <w:tcW w:w="220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881.19</w:t>
            </w:r>
          </w:p>
        </w:tc>
      </w:tr>
      <w:tr>
        <w:tblPrEx>
          <w:tblCellMar>
            <w:top w:w="0" w:type="dxa"/>
            <w:left w:w="108" w:type="dxa"/>
            <w:bottom w:w="0" w:type="dxa"/>
            <w:right w:w="108" w:type="dxa"/>
          </w:tblCellMar>
        </w:tblPrEx>
        <w:trPr>
          <w:trHeight w:val="699" w:hRule="atLeast"/>
          <w:jc w:val="center"/>
        </w:trPr>
        <w:tc>
          <w:tcPr>
            <w:tcW w:w="2846" w:type="dxa"/>
            <w:vMerge w:val="restart"/>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rPr>
                <w:rFonts w:ascii="宋体" w:hAnsi="宋体" w:eastAsia="宋体" w:cs="宋体"/>
                <w:color w:val="000000"/>
                <w:kern w:val="0"/>
                <w:sz w:val="24"/>
                <w:szCs w:val="24"/>
              </w:rPr>
            </w:pPr>
            <w:r>
              <w:rPr>
                <w:rFonts w:hint="eastAsia" w:ascii="宋体" w:hAnsi="宋体" w:eastAsia="宋体" w:cs="宋体"/>
                <w:color w:val="000000"/>
                <w:kern w:val="0"/>
                <w:sz w:val="24"/>
                <w:szCs w:val="24"/>
              </w:rPr>
              <w:t>一般公共预算资金</w:t>
            </w:r>
          </w:p>
        </w:tc>
        <w:tc>
          <w:tcPr>
            <w:tcW w:w="4123"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小计</w:t>
            </w:r>
          </w:p>
        </w:tc>
        <w:tc>
          <w:tcPr>
            <w:tcW w:w="220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881.19</w:t>
            </w:r>
          </w:p>
        </w:tc>
      </w:tr>
      <w:tr>
        <w:tblPrEx>
          <w:tblCellMar>
            <w:top w:w="0" w:type="dxa"/>
            <w:left w:w="108" w:type="dxa"/>
            <w:bottom w:w="0" w:type="dxa"/>
            <w:right w:w="108" w:type="dxa"/>
          </w:tblCellMar>
        </w:tblPrEx>
        <w:trPr>
          <w:trHeight w:val="699" w:hRule="atLeast"/>
          <w:jc w:val="center"/>
        </w:trPr>
        <w:tc>
          <w:tcPr>
            <w:tcW w:w="2846" w:type="dxa"/>
            <w:vMerge w:val="continue"/>
            <w:tcBorders>
              <w:top w:val="single" w:color="auto" w:sz="6" w:space="0"/>
              <w:left w:val="single" w:color="auto" w:sz="6" w:space="0"/>
              <w:bottom w:val="single" w:color="auto" w:sz="6" w:space="0"/>
              <w:right w:val="single" w:color="auto" w:sz="6" w:space="0"/>
            </w:tcBorders>
            <w:vAlign w:val="center"/>
          </w:tcPr>
          <w:p>
            <w:pPr>
              <w:widowControl/>
              <w:ind w:firstLine="0" w:firstLineChars="0"/>
              <w:jc w:val="left"/>
              <w:rPr>
                <w:rFonts w:ascii="宋体" w:hAnsi="宋体" w:eastAsia="宋体" w:cs="宋体"/>
                <w:color w:val="000000"/>
                <w:kern w:val="0"/>
                <w:sz w:val="24"/>
                <w:szCs w:val="24"/>
              </w:rPr>
            </w:pPr>
          </w:p>
        </w:tc>
        <w:tc>
          <w:tcPr>
            <w:tcW w:w="4123"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公共财政拨款（补助）资金</w:t>
            </w:r>
          </w:p>
        </w:tc>
        <w:tc>
          <w:tcPr>
            <w:tcW w:w="220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881.19</w:t>
            </w:r>
          </w:p>
        </w:tc>
      </w:tr>
      <w:tr>
        <w:tblPrEx>
          <w:tblCellMar>
            <w:top w:w="0" w:type="dxa"/>
            <w:left w:w="108" w:type="dxa"/>
            <w:bottom w:w="0" w:type="dxa"/>
            <w:right w:w="108" w:type="dxa"/>
          </w:tblCellMar>
        </w:tblPrEx>
        <w:trPr>
          <w:trHeight w:val="699" w:hRule="atLeast"/>
          <w:jc w:val="center"/>
        </w:trPr>
        <w:tc>
          <w:tcPr>
            <w:tcW w:w="2846" w:type="dxa"/>
            <w:vMerge w:val="continue"/>
            <w:tcBorders>
              <w:top w:val="single" w:color="auto" w:sz="6" w:space="0"/>
              <w:left w:val="single" w:color="auto" w:sz="6" w:space="0"/>
              <w:bottom w:val="single" w:color="auto" w:sz="6" w:space="0"/>
              <w:right w:val="single" w:color="auto" w:sz="6" w:space="0"/>
            </w:tcBorders>
            <w:vAlign w:val="center"/>
          </w:tcPr>
          <w:p>
            <w:pPr>
              <w:widowControl/>
              <w:ind w:firstLine="0" w:firstLineChars="0"/>
              <w:jc w:val="left"/>
              <w:rPr>
                <w:rFonts w:ascii="宋体" w:hAnsi="宋体" w:eastAsia="宋体" w:cs="宋体"/>
                <w:color w:val="000000"/>
                <w:kern w:val="0"/>
                <w:sz w:val="24"/>
                <w:szCs w:val="24"/>
              </w:rPr>
            </w:pPr>
          </w:p>
        </w:tc>
        <w:tc>
          <w:tcPr>
            <w:tcW w:w="4123"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专项收入</w:t>
            </w:r>
          </w:p>
        </w:tc>
        <w:tc>
          <w:tcPr>
            <w:tcW w:w="220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699" w:hRule="atLeast"/>
          <w:jc w:val="center"/>
        </w:trPr>
        <w:tc>
          <w:tcPr>
            <w:tcW w:w="6969"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政府性基金</w:t>
            </w:r>
          </w:p>
        </w:tc>
        <w:tc>
          <w:tcPr>
            <w:tcW w:w="220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699" w:hRule="atLeast"/>
          <w:jc w:val="center"/>
        </w:trPr>
        <w:tc>
          <w:tcPr>
            <w:tcW w:w="6969"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财政专户管理资金</w:t>
            </w:r>
          </w:p>
        </w:tc>
        <w:tc>
          <w:tcPr>
            <w:tcW w:w="220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699" w:hRule="atLeast"/>
          <w:jc w:val="center"/>
        </w:trPr>
        <w:tc>
          <w:tcPr>
            <w:tcW w:w="2846" w:type="dxa"/>
            <w:vMerge w:val="restart"/>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rPr>
                <w:rFonts w:ascii="宋体" w:hAnsi="宋体" w:eastAsia="宋体" w:cs="宋体"/>
                <w:color w:val="000000"/>
                <w:kern w:val="0"/>
                <w:sz w:val="24"/>
                <w:szCs w:val="24"/>
              </w:rPr>
            </w:pPr>
            <w:r>
              <w:rPr>
                <w:rFonts w:hint="eastAsia" w:ascii="宋体" w:hAnsi="宋体" w:eastAsia="宋体" w:cs="宋体"/>
                <w:color w:val="000000"/>
                <w:kern w:val="0"/>
                <w:sz w:val="24"/>
                <w:szCs w:val="24"/>
              </w:rPr>
              <w:t>其他资金</w:t>
            </w:r>
          </w:p>
        </w:tc>
        <w:tc>
          <w:tcPr>
            <w:tcW w:w="4123"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小计</w:t>
            </w:r>
          </w:p>
        </w:tc>
        <w:tc>
          <w:tcPr>
            <w:tcW w:w="220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699" w:hRule="atLeast"/>
          <w:jc w:val="center"/>
        </w:trPr>
        <w:tc>
          <w:tcPr>
            <w:tcW w:w="2846" w:type="dxa"/>
            <w:vMerge w:val="continue"/>
            <w:tcBorders>
              <w:top w:val="single" w:color="auto" w:sz="6" w:space="0"/>
              <w:left w:val="single" w:color="auto" w:sz="6" w:space="0"/>
              <w:bottom w:val="single" w:color="auto" w:sz="6" w:space="0"/>
              <w:right w:val="single" w:color="auto" w:sz="6" w:space="0"/>
            </w:tcBorders>
            <w:vAlign w:val="center"/>
          </w:tcPr>
          <w:p>
            <w:pPr>
              <w:widowControl/>
              <w:ind w:firstLine="0" w:firstLineChars="0"/>
              <w:jc w:val="left"/>
              <w:rPr>
                <w:rFonts w:ascii="宋体" w:hAnsi="宋体" w:eastAsia="宋体" w:cs="宋体"/>
                <w:color w:val="000000"/>
                <w:kern w:val="0"/>
                <w:sz w:val="24"/>
                <w:szCs w:val="24"/>
              </w:rPr>
            </w:pPr>
          </w:p>
        </w:tc>
        <w:tc>
          <w:tcPr>
            <w:tcW w:w="4123"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经营收入</w:t>
            </w:r>
          </w:p>
        </w:tc>
        <w:tc>
          <w:tcPr>
            <w:tcW w:w="220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699" w:hRule="atLeast"/>
          <w:jc w:val="center"/>
        </w:trPr>
        <w:tc>
          <w:tcPr>
            <w:tcW w:w="2846" w:type="dxa"/>
            <w:vMerge w:val="continue"/>
            <w:tcBorders>
              <w:top w:val="single" w:color="auto" w:sz="6" w:space="0"/>
              <w:left w:val="single" w:color="auto" w:sz="6" w:space="0"/>
              <w:bottom w:val="single" w:color="auto" w:sz="6" w:space="0"/>
              <w:right w:val="single" w:color="auto" w:sz="6" w:space="0"/>
            </w:tcBorders>
            <w:vAlign w:val="center"/>
          </w:tcPr>
          <w:p>
            <w:pPr>
              <w:widowControl/>
              <w:ind w:firstLine="0" w:firstLineChars="0"/>
              <w:jc w:val="left"/>
              <w:rPr>
                <w:rFonts w:ascii="宋体" w:hAnsi="宋体" w:eastAsia="宋体" w:cs="宋体"/>
                <w:color w:val="000000"/>
                <w:kern w:val="0"/>
                <w:sz w:val="24"/>
                <w:szCs w:val="24"/>
              </w:rPr>
            </w:pPr>
          </w:p>
        </w:tc>
        <w:tc>
          <w:tcPr>
            <w:tcW w:w="4123"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省直拨资金</w:t>
            </w:r>
          </w:p>
        </w:tc>
        <w:tc>
          <w:tcPr>
            <w:tcW w:w="220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699" w:hRule="atLeast"/>
          <w:jc w:val="center"/>
        </w:trPr>
        <w:tc>
          <w:tcPr>
            <w:tcW w:w="2846" w:type="dxa"/>
            <w:vMerge w:val="continue"/>
            <w:tcBorders>
              <w:top w:val="single" w:color="auto" w:sz="6" w:space="0"/>
              <w:left w:val="single" w:color="auto" w:sz="6" w:space="0"/>
              <w:bottom w:val="single" w:color="auto" w:sz="6" w:space="0"/>
              <w:right w:val="single" w:color="auto" w:sz="6" w:space="0"/>
            </w:tcBorders>
            <w:vAlign w:val="center"/>
          </w:tcPr>
          <w:p>
            <w:pPr>
              <w:widowControl/>
              <w:ind w:firstLine="0" w:firstLineChars="0"/>
              <w:jc w:val="left"/>
              <w:rPr>
                <w:rFonts w:ascii="宋体" w:hAnsi="宋体" w:eastAsia="宋体" w:cs="宋体"/>
                <w:color w:val="000000"/>
                <w:kern w:val="0"/>
                <w:sz w:val="24"/>
                <w:szCs w:val="24"/>
              </w:rPr>
            </w:pPr>
          </w:p>
        </w:tc>
        <w:tc>
          <w:tcPr>
            <w:tcW w:w="4123"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其他</w:t>
            </w:r>
          </w:p>
        </w:tc>
        <w:tc>
          <w:tcPr>
            <w:tcW w:w="220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699" w:hRule="atLeast"/>
          <w:jc w:val="center"/>
        </w:trPr>
        <w:tc>
          <w:tcPr>
            <w:tcW w:w="6969"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上年结余</w:t>
            </w:r>
          </w:p>
        </w:tc>
        <w:tc>
          <w:tcPr>
            <w:tcW w:w="220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bl>
    <w:p>
      <w:pPr>
        <w:widowControl/>
        <w:spacing w:line="560" w:lineRule="exact"/>
        <w:ind w:firstLine="0" w:firstLineChars="0"/>
        <w:jc w:val="center"/>
        <w:rPr>
          <w:rFonts w:ascii="方正小标宋简体" w:hAnsi="宋体" w:eastAsia="方正小标宋简体" w:cs="宋体"/>
          <w:kern w:val="0"/>
          <w:sz w:val="44"/>
          <w:szCs w:val="44"/>
        </w:rPr>
      </w:pPr>
      <w:r>
        <w:br w:type="page"/>
      </w:r>
      <w:r>
        <w:rPr>
          <w:rFonts w:hint="eastAsia" w:ascii="方正小标宋简体" w:hAnsi="宋体" w:eastAsia="方正小标宋简体" w:cs="宋体"/>
          <w:kern w:val="0"/>
          <w:sz w:val="44"/>
          <w:szCs w:val="44"/>
        </w:rPr>
        <w:t>2017年度常州市人民政府外事办公室       支出预算总表</w:t>
      </w:r>
    </w:p>
    <w:p>
      <w:pPr>
        <w:widowControl/>
        <w:spacing w:line="560" w:lineRule="exact"/>
        <w:ind w:left="88" w:firstLine="0" w:firstLineChars="0"/>
        <w:jc w:val="left"/>
        <w:rPr>
          <w:rFonts w:ascii="方正小标宋简体" w:hAnsi="宋体" w:eastAsia="方正小标宋简体" w:cs="宋体"/>
          <w:kern w:val="0"/>
          <w:sz w:val="44"/>
          <w:szCs w:val="44"/>
        </w:rPr>
      </w:pPr>
    </w:p>
    <w:tbl>
      <w:tblPr>
        <w:tblStyle w:val="4"/>
        <w:tblW w:w="8868" w:type="dxa"/>
        <w:jc w:val="center"/>
        <w:tblLayout w:type="autofit"/>
        <w:tblCellMar>
          <w:top w:w="0" w:type="dxa"/>
          <w:left w:w="108" w:type="dxa"/>
          <w:bottom w:w="0" w:type="dxa"/>
          <w:right w:w="108" w:type="dxa"/>
        </w:tblCellMar>
      </w:tblPr>
      <w:tblGrid>
        <w:gridCol w:w="3308"/>
        <w:gridCol w:w="2807"/>
        <w:gridCol w:w="2753"/>
      </w:tblGrid>
      <w:tr>
        <w:tblPrEx>
          <w:tblCellMar>
            <w:top w:w="0" w:type="dxa"/>
            <w:left w:w="108" w:type="dxa"/>
            <w:bottom w:w="0" w:type="dxa"/>
            <w:right w:w="108" w:type="dxa"/>
          </w:tblCellMar>
        </w:tblPrEx>
        <w:trPr>
          <w:trHeight w:val="447" w:hRule="atLeast"/>
          <w:jc w:val="center"/>
        </w:trPr>
        <w:tc>
          <w:tcPr>
            <w:tcW w:w="3308" w:type="dxa"/>
            <w:tcBorders>
              <w:top w:val="nil"/>
              <w:left w:val="nil"/>
              <w:bottom w:val="single" w:color="auto" w:sz="6" w:space="0"/>
              <w:right w:val="nil"/>
            </w:tcBorders>
            <w:shd w:val="clear" w:color="auto" w:fill="auto"/>
            <w:noWrap/>
            <w:vAlign w:val="center"/>
          </w:tcPr>
          <w:p>
            <w:pPr>
              <w:widowControl/>
              <w:ind w:firstLine="0" w:firstLineChars="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公开表三</w:t>
            </w:r>
          </w:p>
        </w:tc>
        <w:tc>
          <w:tcPr>
            <w:tcW w:w="2807" w:type="dxa"/>
            <w:tcBorders>
              <w:top w:val="nil"/>
              <w:left w:val="nil"/>
              <w:bottom w:val="single" w:color="auto" w:sz="6" w:space="0"/>
              <w:right w:val="nil"/>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p>
        </w:tc>
        <w:tc>
          <w:tcPr>
            <w:tcW w:w="2753" w:type="dxa"/>
            <w:tcBorders>
              <w:top w:val="nil"/>
              <w:left w:val="nil"/>
              <w:bottom w:val="single" w:color="auto" w:sz="6" w:space="0"/>
              <w:right w:val="nil"/>
            </w:tcBorders>
            <w:shd w:val="clear" w:color="auto" w:fill="auto"/>
            <w:noWrap/>
            <w:vAlign w:val="center"/>
          </w:tcPr>
          <w:p>
            <w:pPr>
              <w:widowControl/>
              <w:ind w:firstLine="0" w:firstLineChars="0"/>
              <w:jc w:val="righ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单位：万元</w:t>
            </w:r>
          </w:p>
        </w:tc>
      </w:tr>
      <w:tr>
        <w:tblPrEx>
          <w:tblCellMar>
            <w:top w:w="0" w:type="dxa"/>
            <w:left w:w="108" w:type="dxa"/>
            <w:bottom w:w="0" w:type="dxa"/>
            <w:right w:w="108" w:type="dxa"/>
          </w:tblCellMar>
        </w:tblPrEx>
        <w:trPr>
          <w:trHeight w:val="786" w:hRule="atLeast"/>
          <w:jc w:val="center"/>
        </w:trPr>
        <w:tc>
          <w:tcPr>
            <w:tcW w:w="3308"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color w:val="000000"/>
                <w:kern w:val="0"/>
                <w:sz w:val="24"/>
                <w:szCs w:val="24"/>
              </w:rPr>
            </w:pPr>
            <w:r>
              <w:rPr>
                <w:rFonts w:hint="eastAsia" w:cs="宋体" w:asciiTheme="minorEastAsia" w:hAnsiTheme="minorEastAsia" w:eastAsiaTheme="minorEastAsia"/>
                <w:b/>
                <w:bCs/>
                <w:color w:val="000000"/>
                <w:kern w:val="0"/>
                <w:sz w:val="24"/>
                <w:szCs w:val="24"/>
              </w:rPr>
              <w:t>合计</w:t>
            </w:r>
          </w:p>
        </w:tc>
        <w:tc>
          <w:tcPr>
            <w:tcW w:w="2807"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color w:val="000000"/>
                <w:kern w:val="0"/>
                <w:sz w:val="24"/>
                <w:szCs w:val="24"/>
              </w:rPr>
            </w:pPr>
            <w:r>
              <w:rPr>
                <w:rFonts w:hint="eastAsia" w:cs="宋体" w:asciiTheme="minorEastAsia" w:hAnsiTheme="minorEastAsia" w:eastAsiaTheme="minorEastAsia"/>
                <w:b/>
                <w:bCs/>
                <w:color w:val="000000"/>
                <w:kern w:val="0"/>
                <w:sz w:val="24"/>
                <w:szCs w:val="24"/>
              </w:rPr>
              <w:t>基本支出</w:t>
            </w:r>
          </w:p>
        </w:tc>
        <w:tc>
          <w:tcPr>
            <w:tcW w:w="2753"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color w:val="000000"/>
                <w:kern w:val="0"/>
                <w:sz w:val="24"/>
                <w:szCs w:val="24"/>
              </w:rPr>
            </w:pPr>
            <w:r>
              <w:rPr>
                <w:rFonts w:hint="eastAsia" w:cs="宋体" w:asciiTheme="minorEastAsia" w:hAnsiTheme="minorEastAsia" w:eastAsiaTheme="minorEastAsia"/>
                <w:b/>
                <w:bCs/>
                <w:color w:val="000000"/>
                <w:kern w:val="0"/>
                <w:sz w:val="24"/>
                <w:szCs w:val="24"/>
              </w:rPr>
              <w:t>项目支出</w:t>
            </w:r>
          </w:p>
        </w:tc>
      </w:tr>
      <w:tr>
        <w:tblPrEx>
          <w:tblCellMar>
            <w:top w:w="0" w:type="dxa"/>
            <w:left w:w="108" w:type="dxa"/>
            <w:bottom w:w="0" w:type="dxa"/>
            <w:right w:w="108" w:type="dxa"/>
          </w:tblCellMar>
        </w:tblPrEx>
        <w:trPr>
          <w:trHeight w:val="824" w:hRule="atLeast"/>
          <w:jc w:val="center"/>
        </w:trPr>
        <w:tc>
          <w:tcPr>
            <w:tcW w:w="3308"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right"/>
              <w:rPr>
                <w:rFonts w:asciiTheme="minorEastAsia" w:hAnsiTheme="minorEastAsia" w:eastAsiaTheme="minorEastAsia"/>
                <w:color w:val="000000"/>
                <w:kern w:val="0"/>
                <w:sz w:val="24"/>
                <w:szCs w:val="24"/>
              </w:rPr>
            </w:pPr>
            <w:r>
              <w:rPr>
                <w:rFonts w:hint="eastAsia" w:asciiTheme="minorEastAsia" w:hAnsiTheme="minorEastAsia" w:eastAsiaTheme="minorEastAsia"/>
                <w:color w:val="000000"/>
                <w:kern w:val="0"/>
                <w:sz w:val="24"/>
                <w:szCs w:val="24"/>
              </w:rPr>
              <w:t>881.19</w:t>
            </w:r>
            <w:r>
              <w:rPr>
                <w:rFonts w:asciiTheme="minorEastAsia" w:hAnsiTheme="minorEastAsia" w:eastAsiaTheme="minorEastAsia"/>
                <w:color w:val="000000"/>
                <w:kern w:val="0"/>
                <w:sz w:val="24"/>
                <w:szCs w:val="24"/>
              </w:rPr>
              <w:t>　</w:t>
            </w:r>
          </w:p>
        </w:tc>
        <w:tc>
          <w:tcPr>
            <w:tcW w:w="2807"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right"/>
              <w:rPr>
                <w:rFonts w:asciiTheme="minorEastAsia" w:hAnsiTheme="minorEastAsia" w:eastAsiaTheme="minorEastAsia"/>
                <w:color w:val="000000"/>
                <w:kern w:val="0"/>
                <w:sz w:val="24"/>
                <w:szCs w:val="24"/>
              </w:rPr>
            </w:pPr>
            <w:r>
              <w:rPr>
                <w:rFonts w:hint="eastAsia" w:asciiTheme="minorEastAsia" w:hAnsiTheme="minorEastAsia" w:eastAsiaTheme="minorEastAsia"/>
                <w:color w:val="000000"/>
                <w:kern w:val="0"/>
                <w:sz w:val="24"/>
                <w:szCs w:val="24"/>
              </w:rPr>
              <w:t>803.90</w:t>
            </w:r>
            <w:r>
              <w:rPr>
                <w:rFonts w:asciiTheme="minorEastAsia" w:hAnsiTheme="minorEastAsia" w:eastAsiaTheme="minorEastAsia"/>
                <w:color w:val="000000"/>
                <w:kern w:val="0"/>
                <w:sz w:val="24"/>
                <w:szCs w:val="24"/>
              </w:rPr>
              <w:t>　</w:t>
            </w:r>
          </w:p>
        </w:tc>
        <w:tc>
          <w:tcPr>
            <w:tcW w:w="2753"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right"/>
              <w:rPr>
                <w:rFonts w:asciiTheme="minorEastAsia" w:hAnsiTheme="minorEastAsia" w:eastAsiaTheme="minorEastAsia"/>
                <w:color w:val="000000"/>
                <w:kern w:val="0"/>
                <w:sz w:val="24"/>
                <w:szCs w:val="24"/>
              </w:rPr>
            </w:pPr>
            <w:r>
              <w:rPr>
                <w:rFonts w:hint="eastAsia" w:asciiTheme="minorEastAsia" w:hAnsiTheme="minorEastAsia" w:eastAsiaTheme="minorEastAsia"/>
                <w:color w:val="000000"/>
                <w:kern w:val="0"/>
                <w:sz w:val="24"/>
                <w:szCs w:val="24"/>
              </w:rPr>
              <w:t>77.29</w:t>
            </w:r>
            <w:r>
              <w:rPr>
                <w:rFonts w:asciiTheme="minorEastAsia" w:hAnsiTheme="minorEastAsia" w:eastAsiaTheme="minorEastAsia"/>
                <w:color w:val="000000"/>
                <w:kern w:val="0"/>
                <w:sz w:val="24"/>
                <w:szCs w:val="24"/>
              </w:rPr>
              <w:t>　</w:t>
            </w:r>
          </w:p>
        </w:tc>
      </w:tr>
    </w:tbl>
    <w:p>
      <w:pPr>
        <w:adjustRightInd w:val="0"/>
        <w:snapToGrid w:val="0"/>
        <w:spacing w:line="500" w:lineRule="exact"/>
        <w:ind w:firstLine="0" w:firstLineChars="0"/>
        <w:sectPr>
          <w:pgSz w:w="11906" w:h="16838"/>
          <w:pgMar w:top="1418" w:right="1134" w:bottom="1418" w:left="1701" w:header="709" w:footer="1361" w:gutter="0"/>
          <w:cols w:space="425" w:num="1"/>
          <w:docGrid w:linePitch="435" w:charSpace="0"/>
        </w:sectPr>
      </w:pPr>
    </w:p>
    <w:p>
      <w:pPr>
        <w:adjustRightInd w:val="0"/>
        <w:snapToGrid w:val="0"/>
        <w:spacing w:line="560" w:lineRule="exact"/>
        <w:ind w:firstLine="0" w:firstLineChars="0"/>
        <w:rPr>
          <w:rFonts w:eastAsia="宋体"/>
          <w:kern w:val="0"/>
          <w:sz w:val="20"/>
        </w:rPr>
      </w:pPr>
    </w:p>
    <w:p>
      <w:pPr>
        <w:widowControl/>
        <w:spacing w:line="560" w:lineRule="exact"/>
        <w:ind w:left="91" w:firstLine="0" w:firstLineChars="0"/>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2017年度常州市人民政府外事办公室财政拨款收支预算总表</w:t>
      </w:r>
    </w:p>
    <w:tbl>
      <w:tblPr>
        <w:tblStyle w:val="4"/>
        <w:tblW w:w="13592" w:type="dxa"/>
        <w:tblInd w:w="88" w:type="dxa"/>
        <w:tblLayout w:type="autofit"/>
        <w:tblCellMar>
          <w:top w:w="0" w:type="dxa"/>
          <w:left w:w="108" w:type="dxa"/>
          <w:bottom w:w="0" w:type="dxa"/>
          <w:right w:w="108" w:type="dxa"/>
        </w:tblCellMar>
      </w:tblPr>
      <w:tblGrid>
        <w:gridCol w:w="2855"/>
        <w:gridCol w:w="1261"/>
        <w:gridCol w:w="2425"/>
        <w:gridCol w:w="3260"/>
        <w:gridCol w:w="1303"/>
        <w:gridCol w:w="2488"/>
      </w:tblGrid>
      <w:tr>
        <w:tblPrEx>
          <w:tblCellMar>
            <w:top w:w="0" w:type="dxa"/>
            <w:left w:w="108" w:type="dxa"/>
            <w:bottom w:w="0" w:type="dxa"/>
            <w:right w:w="108" w:type="dxa"/>
          </w:tblCellMar>
        </w:tblPrEx>
        <w:trPr>
          <w:trHeight w:val="426" w:hRule="atLeast"/>
        </w:trPr>
        <w:tc>
          <w:tcPr>
            <w:tcW w:w="4116" w:type="dxa"/>
            <w:gridSpan w:val="2"/>
            <w:tcBorders>
              <w:top w:val="nil"/>
              <w:left w:val="nil"/>
              <w:bottom w:val="single" w:color="auto" w:sz="6" w:space="0"/>
              <w:right w:val="nil"/>
            </w:tcBorders>
            <w:shd w:val="clear" w:color="auto" w:fill="auto"/>
            <w:noWrap/>
            <w:vAlign w:val="bottom"/>
          </w:tcPr>
          <w:p>
            <w:pPr>
              <w:widowControl/>
              <w:ind w:firstLine="0" w:firstLineChars="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公开表四</w:t>
            </w:r>
          </w:p>
        </w:tc>
        <w:tc>
          <w:tcPr>
            <w:tcW w:w="2425" w:type="dxa"/>
            <w:tcBorders>
              <w:top w:val="nil"/>
              <w:left w:val="nil"/>
              <w:bottom w:val="single" w:color="auto" w:sz="6" w:space="0"/>
              <w:right w:val="nil"/>
            </w:tcBorders>
            <w:shd w:val="clear" w:color="auto" w:fill="auto"/>
            <w:noWrap/>
            <w:vAlign w:val="center"/>
          </w:tcPr>
          <w:p>
            <w:pPr>
              <w:widowControl/>
              <w:ind w:firstLine="0" w:firstLineChars="0"/>
              <w:jc w:val="left"/>
              <w:rPr>
                <w:rFonts w:asciiTheme="minorEastAsia" w:hAnsiTheme="minorEastAsia" w:eastAsiaTheme="minorEastAsia"/>
                <w:kern w:val="0"/>
                <w:sz w:val="24"/>
                <w:szCs w:val="24"/>
              </w:rPr>
            </w:pPr>
          </w:p>
        </w:tc>
        <w:tc>
          <w:tcPr>
            <w:tcW w:w="4563" w:type="dxa"/>
            <w:gridSpan w:val="2"/>
            <w:tcBorders>
              <w:top w:val="nil"/>
              <w:left w:val="nil"/>
              <w:bottom w:val="single" w:color="auto" w:sz="6" w:space="0"/>
              <w:right w:val="nil"/>
            </w:tcBorders>
            <w:shd w:val="clear" w:color="auto" w:fill="auto"/>
            <w:noWrap/>
            <w:vAlign w:val="bottom"/>
          </w:tcPr>
          <w:p>
            <w:pPr>
              <w:widowControl/>
              <w:ind w:firstLine="0" w:firstLineChars="0"/>
              <w:jc w:val="left"/>
              <w:rPr>
                <w:rFonts w:asciiTheme="minorEastAsia" w:hAnsiTheme="minorEastAsia" w:eastAsiaTheme="minorEastAsia"/>
                <w:kern w:val="0"/>
                <w:sz w:val="24"/>
                <w:szCs w:val="24"/>
              </w:rPr>
            </w:pPr>
          </w:p>
        </w:tc>
        <w:tc>
          <w:tcPr>
            <w:tcW w:w="2488" w:type="dxa"/>
            <w:tcBorders>
              <w:top w:val="nil"/>
              <w:left w:val="nil"/>
              <w:bottom w:val="single" w:color="auto" w:sz="6" w:space="0"/>
              <w:right w:val="nil"/>
            </w:tcBorders>
            <w:shd w:val="clear" w:color="auto" w:fill="auto"/>
            <w:noWrap/>
            <w:vAlign w:val="bottom"/>
          </w:tcPr>
          <w:p>
            <w:pPr>
              <w:widowControl/>
              <w:ind w:firstLine="0" w:firstLineChars="0"/>
              <w:jc w:val="righ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单位</w:t>
            </w:r>
            <w:r>
              <w:rPr>
                <w:rFonts w:asciiTheme="minorEastAsia" w:hAnsiTheme="minorEastAsia" w:eastAsiaTheme="minorEastAsia"/>
                <w:kern w:val="0"/>
                <w:sz w:val="24"/>
                <w:szCs w:val="24"/>
              </w:rPr>
              <w:t>:</w:t>
            </w:r>
            <w:r>
              <w:rPr>
                <w:rFonts w:hint="eastAsia" w:asciiTheme="minorEastAsia" w:hAnsiTheme="minorEastAsia" w:eastAsiaTheme="minorEastAsia"/>
                <w:kern w:val="0"/>
                <w:sz w:val="24"/>
                <w:szCs w:val="24"/>
              </w:rPr>
              <w:t>万元</w:t>
            </w:r>
          </w:p>
        </w:tc>
      </w:tr>
      <w:tr>
        <w:tblPrEx>
          <w:tblCellMar>
            <w:top w:w="0" w:type="dxa"/>
            <w:left w:w="108" w:type="dxa"/>
            <w:bottom w:w="0" w:type="dxa"/>
            <w:right w:w="108" w:type="dxa"/>
          </w:tblCellMar>
        </w:tblPrEx>
        <w:trPr>
          <w:trHeight w:val="620" w:hRule="atLeast"/>
        </w:trPr>
        <w:tc>
          <w:tcPr>
            <w:tcW w:w="6541" w:type="dxa"/>
            <w:gridSpan w:val="3"/>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收入</w:t>
            </w:r>
          </w:p>
        </w:tc>
        <w:tc>
          <w:tcPr>
            <w:tcW w:w="7051" w:type="dxa"/>
            <w:gridSpan w:val="3"/>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支出</w:t>
            </w:r>
          </w:p>
        </w:tc>
      </w:tr>
      <w:tr>
        <w:tblPrEx>
          <w:tblCellMar>
            <w:top w:w="0" w:type="dxa"/>
            <w:left w:w="108" w:type="dxa"/>
            <w:bottom w:w="0" w:type="dxa"/>
            <w:right w:w="108" w:type="dxa"/>
          </w:tblCellMar>
        </w:tblPrEx>
        <w:trPr>
          <w:trHeight w:val="620" w:hRule="atLeast"/>
        </w:trPr>
        <w:tc>
          <w:tcPr>
            <w:tcW w:w="285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项目名称</w:t>
            </w:r>
          </w:p>
        </w:tc>
        <w:tc>
          <w:tcPr>
            <w:tcW w:w="3686"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金额</w:t>
            </w:r>
          </w:p>
        </w:tc>
        <w:tc>
          <w:tcPr>
            <w:tcW w:w="3260"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项目名称</w:t>
            </w:r>
          </w:p>
        </w:tc>
        <w:tc>
          <w:tcPr>
            <w:tcW w:w="3791"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金额</w:t>
            </w:r>
          </w:p>
        </w:tc>
      </w:tr>
      <w:tr>
        <w:tblPrEx>
          <w:tblCellMar>
            <w:top w:w="0" w:type="dxa"/>
            <w:left w:w="108" w:type="dxa"/>
            <w:bottom w:w="0" w:type="dxa"/>
            <w:right w:w="108" w:type="dxa"/>
          </w:tblCellMar>
        </w:tblPrEx>
        <w:trPr>
          <w:trHeight w:val="620" w:hRule="atLeast"/>
        </w:trPr>
        <w:tc>
          <w:tcPr>
            <w:tcW w:w="2855"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一、一般公共预算</w:t>
            </w:r>
          </w:p>
        </w:tc>
        <w:tc>
          <w:tcPr>
            <w:tcW w:w="3686"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righ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881.19　</w:t>
            </w:r>
          </w:p>
        </w:tc>
        <w:tc>
          <w:tcPr>
            <w:tcW w:w="326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一、基本支出</w:t>
            </w:r>
          </w:p>
        </w:tc>
        <w:tc>
          <w:tcPr>
            <w:tcW w:w="3791"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righ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803.90　</w:t>
            </w:r>
          </w:p>
        </w:tc>
      </w:tr>
      <w:tr>
        <w:tblPrEx>
          <w:tblCellMar>
            <w:top w:w="0" w:type="dxa"/>
            <w:left w:w="108" w:type="dxa"/>
            <w:bottom w:w="0" w:type="dxa"/>
            <w:right w:w="108" w:type="dxa"/>
          </w:tblCellMar>
        </w:tblPrEx>
        <w:trPr>
          <w:trHeight w:val="620" w:hRule="atLeast"/>
        </w:trPr>
        <w:tc>
          <w:tcPr>
            <w:tcW w:w="2855"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二、政府性基金预算</w:t>
            </w:r>
          </w:p>
        </w:tc>
        <w:tc>
          <w:tcPr>
            <w:tcW w:w="3686"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righ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w:t>
            </w:r>
          </w:p>
        </w:tc>
        <w:tc>
          <w:tcPr>
            <w:tcW w:w="326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二、项目支出</w:t>
            </w:r>
          </w:p>
        </w:tc>
        <w:tc>
          <w:tcPr>
            <w:tcW w:w="3791"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righ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77.29　</w:t>
            </w:r>
          </w:p>
        </w:tc>
      </w:tr>
      <w:tr>
        <w:tblPrEx>
          <w:tblCellMar>
            <w:top w:w="0" w:type="dxa"/>
            <w:left w:w="108" w:type="dxa"/>
            <w:bottom w:w="0" w:type="dxa"/>
            <w:right w:w="108" w:type="dxa"/>
          </w:tblCellMar>
        </w:tblPrEx>
        <w:trPr>
          <w:trHeight w:val="620" w:hRule="atLeast"/>
        </w:trPr>
        <w:tc>
          <w:tcPr>
            <w:tcW w:w="2855"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w:t>
            </w:r>
          </w:p>
        </w:tc>
        <w:tc>
          <w:tcPr>
            <w:tcW w:w="3686"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righ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w:t>
            </w:r>
          </w:p>
        </w:tc>
        <w:tc>
          <w:tcPr>
            <w:tcW w:w="326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w:t>
            </w:r>
          </w:p>
        </w:tc>
        <w:tc>
          <w:tcPr>
            <w:tcW w:w="3791"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righ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w:t>
            </w:r>
          </w:p>
        </w:tc>
      </w:tr>
      <w:tr>
        <w:tblPrEx>
          <w:tblCellMar>
            <w:top w:w="0" w:type="dxa"/>
            <w:left w:w="108" w:type="dxa"/>
            <w:bottom w:w="0" w:type="dxa"/>
            <w:right w:w="108" w:type="dxa"/>
          </w:tblCellMar>
        </w:tblPrEx>
        <w:trPr>
          <w:trHeight w:val="620" w:hRule="atLeast"/>
        </w:trPr>
        <w:tc>
          <w:tcPr>
            <w:tcW w:w="2855"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w:t>
            </w:r>
          </w:p>
        </w:tc>
        <w:tc>
          <w:tcPr>
            <w:tcW w:w="3686"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righ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w:t>
            </w:r>
          </w:p>
        </w:tc>
        <w:tc>
          <w:tcPr>
            <w:tcW w:w="326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w:t>
            </w:r>
          </w:p>
        </w:tc>
        <w:tc>
          <w:tcPr>
            <w:tcW w:w="3791"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righ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w:t>
            </w:r>
          </w:p>
        </w:tc>
      </w:tr>
      <w:tr>
        <w:tblPrEx>
          <w:tblCellMar>
            <w:top w:w="0" w:type="dxa"/>
            <w:left w:w="108" w:type="dxa"/>
            <w:bottom w:w="0" w:type="dxa"/>
            <w:right w:w="108" w:type="dxa"/>
          </w:tblCellMar>
        </w:tblPrEx>
        <w:trPr>
          <w:trHeight w:val="620" w:hRule="atLeast"/>
        </w:trPr>
        <w:tc>
          <w:tcPr>
            <w:tcW w:w="2855"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w:t>
            </w:r>
          </w:p>
        </w:tc>
        <w:tc>
          <w:tcPr>
            <w:tcW w:w="3686"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w:t>
            </w:r>
          </w:p>
        </w:tc>
        <w:tc>
          <w:tcPr>
            <w:tcW w:w="326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w:t>
            </w:r>
          </w:p>
        </w:tc>
        <w:tc>
          <w:tcPr>
            <w:tcW w:w="3791"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righ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w:t>
            </w:r>
          </w:p>
        </w:tc>
      </w:tr>
      <w:tr>
        <w:tblPrEx>
          <w:tblCellMar>
            <w:top w:w="0" w:type="dxa"/>
            <w:left w:w="108" w:type="dxa"/>
            <w:bottom w:w="0" w:type="dxa"/>
            <w:right w:w="108" w:type="dxa"/>
          </w:tblCellMar>
        </w:tblPrEx>
        <w:trPr>
          <w:trHeight w:val="620" w:hRule="atLeast"/>
        </w:trPr>
        <w:tc>
          <w:tcPr>
            <w:tcW w:w="2855"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收入合计</w:t>
            </w:r>
          </w:p>
        </w:tc>
        <w:tc>
          <w:tcPr>
            <w:tcW w:w="3686"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righ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881.19　</w:t>
            </w:r>
          </w:p>
        </w:tc>
        <w:tc>
          <w:tcPr>
            <w:tcW w:w="3260"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支出合计</w:t>
            </w:r>
          </w:p>
        </w:tc>
        <w:tc>
          <w:tcPr>
            <w:tcW w:w="3791" w:type="dxa"/>
            <w:gridSpan w:val="2"/>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righ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881.19　</w:t>
            </w:r>
          </w:p>
        </w:tc>
      </w:tr>
    </w:tbl>
    <w:p>
      <w:pPr>
        <w:adjustRightInd w:val="0"/>
        <w:snapToGrid w:val="0"/>
        <w:spacing w:before="240" w:line="700" w:lineRule="exact"/>
        <w:ind w:firstLine="0" w:firstLineChars="0"/>
        <w:sectPr>
          <w:pgSz w:w="16838" w:h="11906" w:orient="landscape"/>
          <w:pgMar w:top="1134" w:right="1418" w:bottom="1701" w:left="1418" w:header="709" w:footer="1361" w:gutter="0"/>
          <w:cols w:space="425" w:num="1"/>
          <w:docGrid w:linePitch="435" w:charSpace="0"/>
        </w:sectPr>
      </w:pPr>
    </w:p>
    <w:p>
      <w:pPr>
        <w:widowControl/>
        <w:spacing w:line="560" w:lineRule="exact"/>
        <w:ind w:left="88" w:firstLine="0" w:firstLineChars="0"/>
        <w:jc w:val="center"/>
        <w:rPr>
          <w:rFonts w:ascii="方正小标宋简体" w:hAnsi="宋体" w:eastAsia="方正小标宋简体" w:cs="宋体"/>
          <w:kern w:val="0"/>
          <w:sz w:val="24"/>
          <w:szCs w:val="24"/>
        </w:rPr>
      </w:pPr>
      <w:r>
        <w:rPr>
          <w:rFonts w:hint="eastAsia" w:ascii="方正小标宋简体" w:hAnsi="宋体" w:eastAsia="方正小标宋简体" w:cs="宋体"/>
          <w:kern w:val="0"/>
          <w:sz w:val="44"/>
          <w:szCs w:val="44"/>
        </w:rPr>
        <w:t>2017年度常州市人民政府外事办公室       财政拨款支出预算表</w:t>
      </w:r>
    </w:p>
    <w:tbl>
      <w:tblPr>
        <w:tblStyle w:val="4"/>
        <w:tblW w:w="9136" w:type="dxa"/>
        <w:jc w:val="center"/>
        <w:tblLayout w:type="autofit"/>
        <w:tblCellMar>
          <w:top w:w="0" w:type="dxa"/>
          <w:left w:w="108" w:type="dxa"/>
          <w:bottom w:w="0" w:type="dxa"/>
          <w:right w:w="108" w:type="dxa"/>
        </w:tblCellMar>
      </w:tblPr>
      <w:tblGrid>
        <w:gridCol w:w="3003"/>
        <w:gridCol w:w="3203"/>
        <w:gridCol w:w="2930"/>
      </w:tblGrid>
      <w:tr>
        <w:tblPrEx>
          <w:tblCellMar>
            <w:top w:w="0" w:type="dxa"/>
            <w:left w:w="108" w:type="dxa"/>
            <w:bottom w:w="0" w:type="dxa"/>
            <w:right w:w="108" w:type="dxa"/>
          </w:tblCellMar>
        </w:tblPrEx>
        <w:trPr>
          <w:trHeight w:val="395" w:hRule="atLeast"/>
          <w:jc w:val="center"/>
        </w:trPr>
        <w:tc>
          <w:tcPr>
            <w:tcW w:w="3003" w:type="dxa"/>
            <w:tcBorders>
              <w:top w:val="nil"/>
              <w:left w:val="nil"/>
              <w:bottom w:val="single" w:color="auto" w:sz="6" w:space="0"/>
              <w:right w:val="nil"/>
            </w:tcBorders>
            <w:shd w:val="clear" w:color="auto" w:fill="FFFFFF"/>
            <w:noWrap/>
            <w:vAlign w:val="bottom"/>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公开表五</w:t>
            </w:r>
          </w:p>
        </w:tc>
        <w:tc>
          <w:tcPr>
            <w:tcW w:w="3203" w:type="dxa"/>
            <w:tcBorders>
              <w:top w:val="nil"/>
              <w:left w:val="nil"/>
              <w:bottom w:val="single" w:color="auto" w:sz="6" w:space="0"/>
              <w:right w:val="nil"/>
            </w:tcBorders>
            <w:shd w:val="clear" w:color="auto" w:fill="auto"/>
            <w:noWrap/>
            <w:vAlign w:val="bottom"/>
          </w:tcPr>
          <w:p>
            <w:pPr>
              <w:widowControl/>
              <w:ind w:firstLine="0" w:firstLineChars="0"/>
              <w:jc w:val="left"/>
              <w:rPr>
                <w:rFonts w:cs="Arial" w:asciiTheme="minorEastAsia" w:hAnsiTheme="minorEastAsia" w:eastAsiaTheme="minorEastAsia"/>
                <w:kern w:val="0"/>
                <w:sz w:val="24"/>
                <w:szCs w:val="24"/>
              </w:rPr>
            </w:pPr>
          </w:p>
        </w:tc>
        <w:tc>
          <w:tcPr>
            <w:tcW w:w="2930" w:type="dxa"/>
            <w:tcBorders>
              <w:top w:val="nil"/>
              <w:left w:val="nil"/>
              <w:bottom w:val="single" w:color="auto" w:sz="6" w:space="0"/>
              <w:right w:val="nil"/>
            </w:tcBorders>
            <w:shd w:val="clear" w:color="auto" w:fill="FFFFFF"/>
            <w:noWrap/>
            <w:vAlign w:val="bottom"/>
          </w:tcPr>
          <w:p>
            <w:pPr>
              <w:widowControl/>
              <w:ind w:firstLine="0" w:firstLineChars="0"/>
              <w:jc w:val="righ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单位：万元</w:t>
            </w:r>
          </w:p>
        </w:tc>
      </w:tr>
      <w:tr>
        <w:tblPrEx>
          <w:tblCellMar>
            <w:top w:w="0" w:type="dxa"/>
            <w:left w:w="108" w:type="dxa"/>
            <w:bottom w:w="0" w:type="dxa"/>
            <w:right w:w="108" w:type="dxa"/>
          </w:tblCellMar>
        </w:tblPrEx>
        <w:trPr>
          <w:trHeight w:val="714" w:hRule="atLeast"/>
          <w:jc w:val="center"/>
        </w:trPr>
        <w:tc>
          <w:tcPr>
            <w:tcW w:w="3003"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功能科目代码</w:t>
            </w:r>
          </w:p>
        </w:tc>
        <w:tc>
          <w:tcPr>
            <w:tcW w:w="3203"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功能科目名称</w:t>
            </w:r>
          </w:p>
        </w:tc>
        <w:tc>
          <w:tcPr>
            <w:tcW w:w="2930"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金   额</w:t>
            </w:r>
          </w:p>
        </w:tc>
      </w:tr>
      <w:tr>
        <w:tblPrEx>
          <w:tblCellMar>
            <w:top w:w="0" w:type="dxa"/>
            <w:left w:w="108" w:type="dxa"/>
            <w:bottom w:w="0" w:type="dxa"/>
            <w:right w:w="108" w:type="dxa"/>
          </w:tblCellMar>
        </w:tblPrEx>
        <w:trPr>
          <w:trHeight w:val="714" w:hRule="atLeast"/>
          <w:jc w:val="center"/>
        </w:trPr>
        <w:tc>
          <w:tcPr>
            <w:tcW w:w="3003" w:type="dxa"/>
            <w:tcBorders>
              <w:top w:val="single" w:color="auto" w:sz="6" w:space="0"/>
              <w:left w:val="single" w:color="auto" w:sz="6" w:space="0"/>
              <w:bottom w:val="single" w:color="auto" w:sz="6" w:space="0"/>
              <w:right w:val="single" w:color="auto" w:sz="6" w:space="0"/>
            </w:tcBorders>
            <w:shd w:val="clear" w:color="auto" w:fill="auto"/>
            <w:noWrap/>
            <w:vAlign w:val="bottom"/>
          </w:tcPr>
          <w:p>
            <w:pPr>
              <w:widowControl/>
              <w:ind w:firstLine="0" w:firstLineChars="0"/>
              <w:jc w:val="left"/>
              <w:rPr>
                <w:rFonts w:cs="Arial" w:asciiTheme="minorEastAsia" w:hAnsiTheme="minorEastAsia" w:eastAsiaTheme="minorEastAsia"/>
                <w:kern w:val="0"/>
                <w:sz w:val="24"/>
                <w:szCs w:val="24"/>
              </w:rPr>
            </w:pPr>
            <w:r>
              <w:rPr>
                <w:rFonts w:cs="Arial" w:asciiTheme="minorEastAsia" w:hAnsiTheme="minorEastAsia" w:eastAsiaTheme="minorEastAsia"/>
                <w:kern w:val="0"/>
                <w:sz w:val="24"/>
                <w:szCs w:val="24"/>
              </w:rPr>
              <w:t>　</w:t>
            </w:r>
          </w:p>
        </w:tc>
        <w:tc>
          <w:tcPr>
            <w:tcW w:w="3203"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合  计</w:t>
            </w:r>
          </w:p>
        </w:tc>
        <w:tc>
          <w:tcPr>
            <w:tcW w:w="2930"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881.19</w:t>
            </w:r>
          </w:p>
        </w:tc>
      </w:tr>
      <w:tr>
        <w:tblPrEx>
          <w:tblCellMar>
            <w:top w:w="0" w:type="dxa"/>
            <w:left w:w="108" w:type="dxa"/>
            <w:bottom w:w="0" w:type="dxa"/>
            <w:right w:w="108" w:type="dxa"/>
          </w:tblCellMar>
        </w:tblPrEx>
        <w:trPr>
          <w:trHeight w:val="714" w:hRule="atLeast"/>
          <w:jc w:val="center"/>
        </w:trPr>
        <w:tc>
          <w:tcPr>
            <w:tcW w:w="3003"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201</w:t>
            </w:r>
          </w:p>
        </w:tc>
        <w:tc>
          <w:tcPr>
            <w:tcW w:w="32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一般公共服务支出</w:t>
            </w:r>
          </w:p>
        </w:tc>
        <w:tc>
          <w:tcPr>
            <w:tcW w:w="293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557.29 </w:t>
            </w:r>
          </w:p>
        </w:tc>
      </w:tr>
      <w:tr>
        <w:tblPrEx>
          <w:tblCellMar>
            <w:top w:w="0" w:type="dxa"/>
            <w:left w:w="108" w:type="dxa"/>
            <w:bottom w:w="0" w:type="dxa"/>
            <w:right w:w="108" w:type="dxa"/>
          </w:tblCellMar>
        </w:tblPrEx>
        <w:trPr>
          <w:trHeight w:val="714" w:hRule="atLeast"/>
          <w:jc w:val="center"/>
        </w:trPr>
        <w:tc>
          <w:tcPr>
            <w:tcW w:w="3003"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20103</w:t>
            </w:r>
          </w:p>
        </w:tc>
        <w:tc>
          <w:tcPr>
            <w:tcW w:w="32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政府办公厅（室）及相关机构事务</w:t>
            </w:r>
          </w:p>
        </w:tc>
        <w:tc>
          <w:tcPr>
            <w:tcW w:w="293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517.29 </w:t>
            </w:r>
          </w:p>
        </w:tc>
      </w:tr>
      <w:tr>
        <w:tblPrEx>
          <w:tblCellMar>
            <w:top w:w="0" w:type="dxa"/>
            <w:left w:w="108" w:type="dxa"/>
            <w:bottom w:w="0" w:type="dxa"/>
            <w:right w:w="108" w:type="dxa"/>
          </w:tblCellMar>
        </w:tblPrEx>
        <w:trPr>
          <w:trHeight w:val="714" w:hRule="atLeast"/>
          <w:jc w:val="center"/>
        </w:trPr>
        <w:tc>
          <w:tcPr>
            <w:tcW w:w="3003"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2010301</w:t>
            </w:r>
          </w:p>
        </w:tc>
        <w:tc>
          <w:tcPr>
            <w:tcW w:w="32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行政运行</w:t>
            </w:r>
          </w:p>
        </w:tc>
        <w:tc>
          <w:tcPr>
            <w:tcW w:w="293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440.00 </w:t>
            </w:r>
          </w:p>
        </w:tc>
      </w:tr>
      <w:tr>
        <w:tblPrEx>
          <w:tblCellMar>
            <w:top w:w="0" w:type="dxa"/>
            <w:left w:w="108" w:type="dxa"/>
            <w:bottom w:w="0" w:type="dxa"/>
            <w:right w:w="108" w:type="dxa"/>
          </w:tblCellMar>
        </w:tblPrEx>
        <w:trPr>
          <w:trHeight w:val="714" w:hRule="atLeast"/>
          <w:jc w:val="center"/>
        </w:trPr>
        <w:tc>
          <w:tcPr>
            <w:tcW w:w="3003"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2010302</w:t>
            </w:r>
          </w:p>
        </w:tc>
        <w:tc>
          <w:tcPr>
            <w:tcW w:w="32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一般行政管理事务</w:t>
            </w:r>
          </w:p>
        </w:tc>
        <w:tc>
          <w:tcPr>
            <w:tcW w:w="293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77.29 </w:t>
            </w:r>
          </w:p>
        </w:tc>
      </w:tr>
      <w:tr>
        <w:tblPrEx>
          <w:tblCellMar>
            <w:top w:w="0" w:type="dxa"/>
            <w:left w:w="108" w:type="dxa"/>
            <w:bottom w:w="0" w:type="dxa"/>
            <w:right w:w="108" w:type="dxa"/>
          </w:tblCellMar>
        </w:tblPrEx>
        <w:trPr>
          <w:trHeight w:val="714" w:hRule="atLeast"/>
          <w:jc w:val="center"/>
        </w:trPr>
        <w:tc>
          <w:tcPr>
            <w:tcW w:w="3003"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2010350</w:t>
            </w:r>
          </w:p>
        </w:tc>
        <w:tc>
          <w:tcPr>
            <w:tcW w:w="32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事业运行</w:t>
            </w:r>
          </w:p>
        </w:tc>
        <w:tc>
          <w:tcPr>
            <w:tcW w:w="293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40.00 </w:t>
            </w:r>
          </w:p>
        </w:tc>
      </w:tr>
      <w:tr>
        <w:tblPrEx>
          <w:tblCellMar>
            <w:top w:w="0" w:type="dxa"/>
            <w:left w:w="108" w:type="dxa"/>
            <w:bottom w:w="0" w:type="dxa"/>
            <w:right w:w="108" w:type="dxa"/>
          </w:tblCellMar>
        </w:tblPrEx>
        <w:trPr>
          <w:trHeight w:val="714" w:hRule="atLeast"/>
          <w:jc w:val="center"/>
        </w:trPr>
        <w:tc>
          <w:tcPr>
            <w:tcW w:w="3003"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208</w:t>
            </w:r>
          </w:p>
        </w:tc>
        <w:tc>
          <w:tcPr>
            <w:tcW w:w="32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社会保障和就业支出</w:t>
            </w:r>
          </w:p>
        </w:tc>
        <w:tc>
          <w:tcPr>
            <w:tcW w:w="293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195.57 </w:t>
            </w:r>
          </w:p>
        </w:tc>
      </w:tr>
      <w:tr>
        <w:tblPrEx>
          <w:tblCellMar>
            <w:top w:w="0" w:type="dxa"/>
            <w:left w:w="108" w:type="dxa"/>
            <w:bottom w:w="0" w:type="dxa"/>
            <w:right w:w="108" w:type="dxa"/>
          </w:tblCellMar>
        </w:tblPrEx>
        <w:trPr>
          <w:trHeight w:val="714" w:hRule="atLeast"/>
          <w:jc w:val="center"/>
        </w:trPr>
        <w:tc>
          <w:tcPr>
            <w:tcW w:w="3003"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20805</w:t>
            </w:r>
          </w:p>
        </w:tc>
        <w:tc>
          <w:tcPr>
            <w:tcW w:w="32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行政事业单位离退休</w:t>
            </w:r>
          </w:p>
        </w:tc>
        <w:tc>
          <w:tcPr>
            <w:tcW w:w="293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195.57 </w:t>
            </w:r>
          </w:p>
        </w:tc>
      </w:tr>
      <w:tr>
        <w:tblPrEx>
          <w:tblCellMar>
            <w:top w:w="0" w:type="dxa"/>
            <w:left w:w="108" w:type="dxa"/>
            <w:bottom w:w="0" w:type="dxa"/>
            <w:right w:w="108" w:type="dxa"/>
          </w:tblCellMar>
        </w:tblPrEx>
        <w:trPr>
          <w:trHeight w:val="714" w:hRule="atLeast"/>
          <w:jc w:val="center"/>
        </w:trPr>
        <w:tc>
          <w:tcPr>
            <w:tcW w:w="3003"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2080501</w:t>
            </w:r>
          </w:p>
        </w:tc>
        <w:tc>
          <w:tcPr>
            <w:tcW w:w="32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归口管理的行政单位离退休</w:t>
            </w:r>
          </w:p>
        </w:tc>
        <w:tc>
          <w:tcPr>
            <w:tcW w:w="293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195.57 </w:t>
            </w:r>
          </w:p>
        </w:tc>
      </w:tr>
      <w:tr>
        <w:tblPrEx>
          <w:tblCellMar>
            <w:top w:w="0" w:type="dxa"/>
            <w:left w:w="108" w:type="dxa"/>
            <w:bottom w:w="0" w:type="dxa"/>
            <w:right w:w="108" w:type="dxa"/>
          </w:tblCellMar>
        </w:tblPrEx>
        <w:trPr>
          <w:trHeight w:val="714" w:hRule="atLeast"/>
          <w:jc w:val="center"/>
        </w:trPr>
        <w:tc>
          <w:tcPr>
            <w:tcW w:w="3003"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210</w:t>
            </w:r>
          </w:p>
        </w:tc>
        <w:tc>
          <w:tcPr>
            <w:tcW w:w="32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医疗卫生与计划生育支出</w:t>
            </w:r>
          </w:p>
        </w:tc>
        <w:tc>
          <w:tcPr>
            <w:tcW w:w="293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26.23 </w:t>
            </w:r>
          </w:p>
        </w:tc>
      </w:tr>
      <w:tr>
        <w:tblPrEx>
          <w:tblCellMar>
            <w:top w:w="0" w:type="dxa"/>
            <w:left w:w="108" w:type="dxa"/>
            <w:bottom w:w="0" w:type="dxa"/>
            <w:right w:w="108" w:type="dxa"/>
          </w:tblCellMar>
        </w:tblPrEx>
        <w:trPr>
          <w:trHeight w:val="714" w:hRule="atLeast"/>
          <w:jc w:val="center"/>
        </w:trPr>
        <w:tc>
          <w:tcPr>
            <w:tcW w:w="3003"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21005</w:t>
            </w:r>
          </w:p>
        </w:tc>
        <w:tc>
          <w:tcPr>
            <w:tcW w:w="32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医疗保障</w:t>
            </w:r>
          </w:p>
        </w:tc>
        <w:tc>
          <w:tcPr>
            <w:tcW w:w="293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26.23</w:t>
            </w:r>
          </w:p>
        </w:tc>
      </w:tr>
      <w:tr>
        <w:tblPrEx>
          <w:tblCellMar>
            <w:top w:w="0" w:type="dxa"/>
            <w:left w:w="108" w:type="dxa"/>
            <w:bottom w:w="0" w:type="dxa"/>
            <w:right w:w="108" w:type="dxa"/>
          </w:tblCellMar>
        </w:tblPrEx>
        <w:trPr>
          <w:trHeight w:val="714" w:hRule="atLeast"/>
          <w:jc w:val="center"/>
        </w:trPr>
        <w:tc>
          <w:tcPr>
            <w:tcW w:w="3003"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2100501</w:t>
            </w:r>
          </w:p>
        </w:tc>
        <w:tc>
          <w:tcPr>
            <w:tcW w:w="32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行政单位医疗</w:t>
            </w:r>
          </w:p>
        </w:tc>
        <w:tc>
          <w:tcPr>
            <w:tcW w:w="293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26.23 </w:t>
            </w:r>
          </w:p>
        </w:tc>
      </w:tr>
      <w:tr>
        <w:tblPrEx>
          <w:tblCellMar>
            <w:top w:w="0" w:type="dxa"/>
            <w:left w:w="108" w:type="dxa"/>
            <w:bottom w:w="0" w:type="dxa"/>
            <w:right w:w="108" w:type="dxa"/>
          </w:tblCellMar>
        </w:tblPrEx>
        <w:trPr>
          <w:trHeight w:val="714" w:hRule="atLeast"/>
          <w:jc w:val="center"/>
        </w:trPr>
        <w:tc>
          <w:tcPr>
            <w:tcW w:w="3003"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221</w:t>
            </w:r>
          </w:p>
        </w:tc>
        <w:tc>
          <w:tcPr>
            <w:tcW w:w="32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住房保障支出</w:t>
            </w:r>
          </w:p>
        </w:tc>
        <w:tc>
          <w:tcPr>
            <w:tcW w:w="293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102.10 </w:t>
            </w:r>
          </w:p>
        </w:tc>
      </w:tr>
      <w:tr>
        <w:tblPrEx>
          <w:tblCellMar>
            <w:top w:w="0" w:type="dxa"/>
            <w:left w:w="108" w:type="dxa"/>
            <w:bottom w:w="0" w:type="dxa"/>
            <w:right w:w="108" w:type="dxa"/>
          </w:tblCellMar>
        </w:tblPrEx>
        <w:trPr>
          <w:trHeight w:val="714" w:hRule="atLeast"/>
          <w:jc w:val="center"/>
        </w:trPr>
        <w:tc>
          <w:tcPr>
            <w:tcW w:w="30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22102</w:t>
            </w:r>
          </w:p>
        </w:tc>
        <w:tc>
          <w:tcPr>
            <w:tcW w:w="32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住房改革支出</w:t>
            </w:r>
          </w:p>
        </w:tc>
        <w:tc>
          <w:tcPr>
            <w:tcW w:w="293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102.10 </w:t>
            </w:r>
          </w:p>
        </w:tc>
      </w:tr>
      <w:tr>
        <w:tblPrEx>
          <w:tblCellMar>
            <w:top w:w="0" w:type="dxa"/>
            <w:left w:w="108" w:type="dxa"/>
            <w:bottom w:w="0" w:type="dxa"/>
            <w:right w:w="108" w:type="dxa"/>
          </w:tblCellMar>
        </w:tblPrEx>
        <w:trPr>
          <w:trHeight w:val="714" w:hRule="atLeast"/>
          <w:jc w:val="center"/>
        </w:trPr>
        <w:tc>
          <w:tcPr>
            <w:tcW w:w="30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2210201</w:t>
            </w:r>
          </w:p>
        </w:tc>
        <w:tc>
          <w:tcPr>
            <w:tcW w:w="32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住房公积金</w:t>
            </w:r>
          </w:p>
        </w:tc>
        <w:tc>
          <w:tcPr>
            <w:tcW w:w="293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39.85 </w:t>
            </w:r>
          </w:p>
        </w:tc>
      </w:tr>
      <w:tr>
        <w:tblPrEx>
          <w:tblCellMar>
            <w:top w:w="0" w:type="dxa"/>
            <w:left w:w="108" w:type="dxa"/>
            <w:bottom w:w="0" w:type="dxa"/>
            <w:right w:w="108" w:type="dxa"/>
          </w:tblCellMar>
        </w:tblPrEx>
        <w:trPr>
          <w:trHeight w:val="714" w:hRule="atLeast"/>
          <w:jc w:val="center"/>
        </w:trPr>
        <w:tc>
          <w:tcPr>
            <w:tcW w:w="30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2210202</w:t>
            </w:r>
          </w:p>
        </w:tc>
        <w:tc>
          <w:tcPr>
            <w:tcW w:w="32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提租补贴</w:t>
            </w:r>
          </w:p>
        </w:tc>
        <w:tc>
          <w:tcPr>
            <w:tcW w:w="293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40.01 </w:t>
            </w:r>
          </w:p>
        </w:tc>
      </w:tr>
      <w:tr>
        <w:tblPrEx>
          <w:tblCellMar>
            <w:top w:w="0" w:type="dxa"/>
            <w:left w:w="108" w:type="dxa"/>
            <w:bottom w:w="0" w:type="dxa"/>
            <w:right w:w="108" w:type="dxa"/>
          </w:tblCellMar>
        </w:tblPrEx>
        <w:trPr>
          <w:trHeight w:val="714" w:hRule="atLeast"/>
          <w:jc w:val="center"/>
        </w:trPr>
        <w:tc>
          <w:tcPr>
            <w:tcW w:w="30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2210203</w:t>
            </w:r>
          </w:p>
        </w:tc>
        <w:tc>
          <w:tcPr>
            <w:tcW w:w="320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购房补贴</w:t>
            </w:r>
          </w:p>
        </w:tc>
        <w:tc>
          <w:tcPr>
            <w:tcW w:w="293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22.24 </w:t>
            </w:r>
          </w:p>
        </w:tc>
      </w:tr>
      <w:tr>
        <w:tblPrEx>
          <w:tblCellMar>
            <w:top w:w="0" w:type="dxa"/>
            <w:left w:w="108" w:type="dxa"/>
            <w:bottom w:w="0" w:type="dxa"/>
            <w:right w:w="108" w:type="dxa"/>
          </w:tblCellMar>
        </w:tblPrEx>
        <w:trPr>
          <w:trHeight w:val="576" w:hRule="atLeast"/>
          <w:jc w:val="center"/>
        </w:trPr>
        <w:tc>
          <w:tcPr>
            <w:tcW w:w="9136" w:type="dxa"/>
            <w:gridSpan w:val="3"/>
            <w:tcBorders>
              <w:top w:val="single" w:color="auto" w:sz="6" w:space="0"/>
              <w:left w:val="nil"/>
              <w:bottom w:val="nil"/>
              <w:right w:val="nil"/>
            </w:tcBorders>
            <w:shd w:val="clear" w:color="auto" w:fill="auto"/>
            <w:noWrap/>
            <w:vAlign w:val="bottom"/>
          </w:tcPr>
          <w:p>
            <w:pPr>
              <w:widowControl/>
              <w:ind w:firstLine="0" w:firstLineChars="0"/>
              <w:jc w:val="left"/>
              <w:rPr>
                <w:rFonts w:cs="Arial"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备注：支出功能科目明细到“项”</w:t>
            </w:r>
          </w:p>
        </w:tc>
      </w:tr>
    </w:tbl>
    <w:p>
      <w:pPr>
        <w:adjustRightInd w:val="0"/>
        <w:snapToGrid w:val="0"/>
        <w:spacing w:line="560" w:lineRule="exact"/>
        <w:ind w:firstLine="0" w:firstLineChars="0"/>
        <w:jc w:val="center"/>
      </w:pPr>
      <w:r>
        <w:br w:type="page"/>
      </w:r>
      <w:r>
        <w:rPr>
          <w:rFonts w:hint="eastAsia" w:ascii="方正小标宋简体" w:hAnsi="宋体" w:eastAsia="方正小标宋简体" w:cs="宋体"/>
          <w:kern w:val="0"/>
          <w:sz w:val="44"/>
          <w:szCs w:val="44"/>
        </w:rPr>
        <w:t>2017年度常州市人民政府外事办公室       财政拨款基本支出预算表</w:t>
      </w:r>
    </w:p>
    <w:tbl>
      <w:tblPr>
        <w:tblStyle w:val="4"/>
        <w:tblW w:w="8877" w:type="dxa"/>
        <w:jc w:val="center"/>
        <w:tblLayout w:type="autofit"/>
        <w:tblCellMar>
          <w:top w:w="0" w:type="dxa"/>
          <w:left w:w="108" w:type="dxa"/>
          <w:bottom w:w="0" w:type="dxa"/>
          <w:right w:w="108" w:type="dxa"/>
        </w:tblCellMar>
      </w:tblPr>
      <w:tblGrid>
        <w:gridCol w:w="3141"/>
        <w:gridCol w:w="3141"/>
        <w:gridCol w:w="2595"/>
      </w:tblGrid>
      <w:tr>
        <w:tblPrEx>
          <w:tblCellMar>
            <w:top w:w="0" w:type="dxa"/>
            <w:left w:w="108" w:type="dxa"/>
            <w:bottom w:w="0" w:type="dxa"/>
            <w:right w:w="108" w:type="dxa"/>
          </w:tblCellMar>
        </w:tblPrEx>
        <w:trPr>
          <w:trHeight w:val="391" w:hRule="atLeast"/>
          <w:jc w:val="center"/>
        </w:trPr>
        <w:tc>
          <w:tcPr>
            <w:tcW w:w="3141" w:type="dxa"/>
            <w:tcBorders>
              <w:top w:val="nil"/>
              <w:left w:val="nil"/>
              <w:bottom w:val="single" w:color="auto" w:sz="6" w:space="0"/>
              <w:right w:val="nil"/>
            </w:tcBorders>
            <w:shd w:val="clear" w:color="auto" w:fill="auto"/>
            <w:noWrap/>
            <w:vAlign w:val="center"/>
          </w:tcPr>
          <w:p>
            <w:pPr>
              <w:widowControl/>
              <w:ind w:firstLine="0" w:firstLineChars="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公开表六</w:t>
            </w:r>
          </w:p>
        </w:tc>
        <w:tc>
          <w:tcPr>
            <w:tcW w:w="3141" w:type="dxa"/>
            <w:tcBorders>
              <w:top w:val="nil"/>
              <w:left w:val="nil"/>
              <w:bottom w:val="single" w:color="auto" w:sz="6" w:space="0"/>
              <w:right w:val="nil"/>
            </w:tcBorders>
            <w:shd w:val="clear" w:color="auto" w:fill="auto"/>
            <w:noWrap/>
            <w:vAlign w:val="center"/>
          </w:tcPr>
          <w:p>
            <w:pPr>
              <w:widowControl/>
              <w:ind w:firstLine="0" w:firstLineChars="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w:t>
            </w:r>
          </w:p>
        </w:tc>
        <w:tc>
          <w:tcPr>
            <w:tcW w:w="2595" w:type="dxa"/>
            <w:tcBorders>
              <w:top w:val="nil"/>
              <w:left w:val="nil"/>
              <w:bottom w:val="single" w:color="auto" w:sz="6" w:space="0"/>
              <w:right w:val="nil"/>
            </w:tcBorders>
            <w:shd w:val="clear" w:color="auto" w:fill="auto"/>
            <w:noWrap/>
            <w:vAlign w:val="center"/>
          </w:tcPr>
          <w:p>
            <w:pPr>
              <w:widowControl/>
              <w:ind w:firstLine="0" w:firstLineChars="0"/>
              <w:jc w:val="righ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单位：万元</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科目编码</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科目名称</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金额</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noWrap/>
            <w:vAlign w:val="bottom"/>
          </w:tcPr>
          <w:p>
            <w:pPr>
              <w:widowControl/>
              <w:ind w:firstLine="0" w:firstLineChars="0"/>
              <w:jc w:val="left"/>
              <w:rPr>
                <w:rFonts w:cs="Arial" w:asciiTheme="minorEastAsia" w:hAnsiTheme="minorEastAsia" w:eastAsiaTheme="minorEastAsia"/>
                <w:kern w:val="0"/>
                <w:sz w:val="24"/>
                <w:szCs w:val="24"/>
              </w:rPr>
            </w:pPr>
            <w:r>
              <w:rPr>
                <w:rFonts w:hint="eastAsia" w:cs="Arial" w:asciiTheme="minorEastAsia" w:hAnsiTheme="minorEastAsia" w:eastAsiaTheme="minorEastAsia"/>
                <w:kern w:val="0"/>
                <w:sz w:val="24"/>
                <w:szCs w:val="24"/>
              </w:rPr>
              <w:t xml:space="preserve">       </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合计</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803.90</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301</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工资福利支出</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405.64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30101</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基本工资</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92.97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30102</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津贴补贴</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230.06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30103</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奖金</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7.75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30104</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社会保障缴费</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28.76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30199</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其他工资福利支出</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46.10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商品和服务支出</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98.39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30201</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办公费</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13.40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30211</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差旅费</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43.80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30215</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会议费</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2.85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30216</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培训费</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4.98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30217</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公务接待费</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2.00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30228</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工会经费</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5.40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30229</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福利费</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0.72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30239</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其他交通费用</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25.24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303</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对个人和家庭的补助</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299.87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30301</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离休费</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18.03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30302</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退休费</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177.54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30309</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奖励金</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0.04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30311</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住房公积金</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39.85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30312</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提租补贴</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40.01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30313</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购房补贴</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22.24 </w:t>
            </w:r>
          </w:p>
        </w:tc>
      </w:tr>
      <w:tr>
        <w:tblPrEx>
          <w:tblCellMar>
            <w:top w:w="0" w:type="dxa"/>
            <w:left w:w="108" w:type="dxa"/>
            <w:bottom w:w="0" w:type="dxa"/>
            <w:right w:w="108" w:type="dxa"/>
          </w:tblCellMar>
        </w:tblPrEx>
        <w:trPr>
          <w:trHeight w:val="707" w:hRule="atLeast"/>
          <w:jc w:val="center"/>
        </w:trPr>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30399</w:t>
            </w:r>
          </w:p>
        </w:tc>
        <w:tc>
          <w:tcPr>
            <w:tcW w:w="314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其他对个人和家庭的补助支出</w:t>
            </w:r>
          </w:p>
        </w:tc>
        <w:tc>
          <w:tcPr>
            <w:tcW w:w="259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2.16 </w:t>
            </w:r>
          </w:p>
        </w:tc>
      </w:tr>
      <w:tr>
        <w:tblPrEx>
          <w:tblCellMar>
            <w:top w:w="0" w:type="dxa"/>
            <w:left w:w="108" w:type="dxa"/>
            <w:bottom w:w="0" w:type="dxa"/>
            <w:right w:w="108" w:type="dxa"/>
          </w:tblCellMar>
        </w:tblPrEx>
        <w:trPr>
          <w:trHeight w:val="511" w:hRule="atLeast"/>
          <w:jc w:val="center"/>
        </w:trPr>
        <w:tc>
          <w:tcPr>
            <w:tcW w:w="8877" w:type="dxa"/>
            <w:gridSpan w:val="3"/>
            <w:tcBorders>
              <w:top w:val="single" w:color="auto" w:sz="6" w:space="0"/>
              <w:left w:val="nil"/>
              <w:bottom w:val="nil"/>
              <w:right w:val="nil"/>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备注：支出经济科目明细到“款”</w:t>
            </w:r>
          </w:p>
        </w:tc>
      </w:tr>
    </w:tbl>
    <w:p>
      <w:pPr>
        <w:adjustRightInd w:val="0"/>
        <w:snapToGrid w:val="0"/>
        <w:spacing w:before="240" w:line="700" w:lineRule="exact"/>
        <w:ind w:firstLine="0" w:firstLineChars="0"/>
        <w:jc w:val="center"/>
      </w:pPr>
      <w:r>
        <w:rPr>
          <w:rFonts w:hint="eastAsia"/>
        </w:rPr>
        <w:t xml:space="preserve">                  </w:t>
      </w:r>
    </w:p>
    <w:p>
      <w:pPr>
        <w:adjustRightInd w:val="0"/>
        <w:snapToGrid w:val="0"/>
        <w:spacing w:line="560" w:lineRule="exact"/>
        <w:ind w:firstLine="0" w:firstLineChars="0"/>
        <w:jc w:val="center"/>
      </w:pPr>
      <w:r>
        <w:br w:type="page"/>
      </w:r>
    </w:p>
    <w:p>
      <w:pPr>
        <w:widowControl/>
        <w:spacing w:line="560" w:lineRule="exact"/>
        <w:ind w:left="-57" w:right="-57" w:firstLine="0" w:firstLineChars="0"/>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2017年度常州市人民政府外事办公室        财政拨款政府性基金支出预算表</w:t>
      </w:r>
    </w:p>
    <w:tbl>
      <w:tblPr>
        <w:tblStyle w:val="4"/>
        <w:tblW w:w="9135" w:type="dxa"/>
        <w:jc w:val="center"/>
        <w:tblLayout w:type="autofit"/>
        <w:tblCellMar>
          <w:top w:w="0" w:type="dxa"/>
          <w:left w:w="108" w:type="dxa"/>
          <w:bottom w:w="0" w:type="dxa"/>
          <w:right w:w="108" w:type="dxa"/>
        </w:tblCellMar>
      </w:tblPr>
      <w:tblGrid>
        <w:gridCol w:w="3167"/>
        <w:gridCol w:w="3219"/>
        <w:gridCol w:w="2749"/>
      </w:tblGrid>
      <w:tr>
        <w:tblPrEx>
          <w:tblCellMar>
            <w:top w:w="0" w:type="dxa"/>
            <w:left w:w="108" w:type="dxa"/>
            <w:bottom w:w="0" w:type="dxa"/>
            <w:right w:w="108" w:type="dxa"/>
          </w:tblCellMar>
        </w:tblPrEx>
        <w:trPr>
          <w:trHeight w:val="440" w:hRule="atLeast"/>
          <w:jc w:val="center"/>
        </w:trPr>
        <w:tc>
          <w:tcPr>
            <w:tcW w:w="3167" w:type="dxa"/>
            <w:tcBorders>
              <w:top w:val="nil"/>
              <w:left w:val="nil"/>
              <w:bottom w:val="single" w:color="auto" w:sz="6" w:space="0"/>
              <w:right w:val="nil"/>
            </w:tcBorders>
            <w:shd w:val="clear" w:color="auto" w:fill="auto"/>
            <w:noWrap/>
            <w:vAlign w:val="bottom"/>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公开表七</w:t>
            </w:r>
          </w:p>
        </w:tc>
        <w:tc>
          <w:tcPr>
            <w:tcW w:w="3219" w:type="dxa"/>
            <w:tcBorders>
              <w:top w:val="nil"/>
              <w:left w:val="nil"/>
              <w:bottom w:val="single" w:color="auto" w:sz="6" w:space="0"/>
              <w:right w:val="nil"/>
            </w:tcBorders>
            <w:shd w:val="clear" w:color="auto" w:fill="auto"/>
            <w:noWrap/>
            <w:vAlign w:val="bottom"/>
          </w:tcPr>
          <w:p>
            <w:pPr>
              <w:widowControl/>
              <w:ind w:firstLine="0" w:firstLineChars="0"/>
              <w:jc w:val="left"/>
              <w:rPr>
                <w:rFonts w:ascii="Arial" w:hAnsi="Arial" w:eastAsia="宋体" w:cs="Arial"/>
                <w:kern w:val="0"/>
                <w:sz w:val="24"/>
                <w:szCs w:val="24"/>
              </w:rPr>
            </w:pPr>
          </w:p>
        </w:tc>
        <w:tc>
          <w:tcPr>
            <w:tcW w:w="2749" w:type="dxa"/>
            <w:tcBorders>
              <w:top w:val="nil"/>
              <w:left w:val="nil"/>
              <w:bottom w:val="single" w:color="auto" w:sz="6" w:space="0"/>
              <w:right w:val="nil"/>
            </w:tcBorders>
            <w:shd w:val="clear" w:color="auto" w:fill="auto"/>
            <w:noWrap/>
            <w:vAlign w:val="bottom"/>
          </w:tcPr>
          <w:p>
            <w:pPr>
              <w:widowControl/>
              <w:ind w:firstLine="0" w:firstLineChars="0"/>
              <w:jc w:val="right"/>
              <w:rPr>
                <w:rFonts w:ascii="宋体" w:hAnsi="宋体" w:eastAsia="宋体" w:cs="宋体"/>
                <w:color w:val="000000"/>
                <w:kern w:val="0"/>
                <w:sz w:val="24"/>
                <w:szCs w:val="24"/>
              </w:rPr>
            </w:pPr>
            <w:r>
              <w:rPr>
                <w:rFonts w:hint="eastAsia" w:ascii="宋体" w:hAnsi="宋体" w:eastAsia="宋体" w:cs="宋体"/>
                <w:color w:val="000000"/>
                <w:kern w:val="0"/>
                <w:sz w:val="24"/>
                <w:szCs w:val="24"/>
              </w:rPr>
              <w:t>单位：万元</w:t>
            </w:r>
          </w:p>
        </w:tc>
      </w:tr>
      <w:tr>
        <w:tblPrEx>
          <w:tblCellMar>
            <w:top w:w="0" w:type="dxa"/>
            <w:left w:w="108" w:type="dxa"/>
            <w:bottom w:w="0" w:type="dxa"/>
            <w:right w:w="108" w:type="dxa"/>
          </w:tblCellMar>
        </w:tblPrEx>
        <w:trPr>
          <w:trHeight w:val="700" w:hRule="atLeast"/>
          <w:jc w:val="center"/>
        </w:trPr>
        <w:tc>
          <w:tcPr>
            <w:tcW w:w="3167"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b/>
                <w:bCs/>
                <w:kern w:val="0"/>
                <w:sz w:val="24"/>
                <w:szCs w:val="24"/>
              </w:rPr>
            </w:pPr>
            <w:r>
              <w:rPr>
                <w:rFonts w:hint="eastAsia" w:ascii="宋体" w:hAnsi="宋体" w:eastAsia="宋体" w:cs="宋体"/>
                <w:b/>
                <w:bCs/>
                <w:kern w:val="0"/>
                <w:sz w:val="24"/>
                <w:szCs w:val="24"/>
              </w:rPr>
              <w:t>功能科目代码</w:t>
            </w:r>
          </w:p>
        </w:tc>
        <w:tc>
          <w:tcPr>
            <w:tcW w:w="321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b/>
                <w:bCs/>
                <w:kern w:val="0"/>
                <w:sz w:val="24"/>
                <w:szCs w:val="24"/>
              </w:rPr>
            </w:pPr>
            <w:r>
              <w:rPr>
                <w:rFonts w:hint="eastAsia" w:ascii="宋体" w:hAnsi="宋体" w:eastAsia="宋体" w:cs="宋体"/>
                <w:b/>
                <w:bCs/>
                <w:kern w:val="0"/>
                <w:sz w:val="24"/>
                <w:szCs w:val="24"/>
              </w:rPr>
              <w:t>功能科目名称</w:t>
            </w:r>
          </w:p>
        </w:tc>
        <w:tc>
          <w:tcPr>
            <w:tcW w:w="274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b/>
                <w:bCs/>
                <w:kern w:val="0"/>
                <w:sz w:val="24"/>
                <w:szCs w:val="24"/>
              </w:rPr>
            </w:pPr>
            <w:r>
              <w:rPr>
                <w:rFonts w:hint="eastAsia" w:ascii="宋体" w:hAnsi="宋体" w:eastAsia="宋体" w:cs="宋体"/>
                <w:b/>
                <w:bCs/>
                <w:kern w:val="0"/>
                <w:sz w:val="24"/>
                <w:szCs w:val="24"/>
              </w:rPr>
              <w:t>金   额</w:t>
            </w:r>
          </w:p>
        </w:tc>
      </w:tr>
      <w:tr>
        <w:tblPrEx>
          <w:tblCellMar>
            <w:top w:w="0" w:type="dxa"/>
            <w:left w:w="108" w:type="dxa"/>
            <w:bottom w:w="0" w:type="dxa"/>
            <w:right w:w="108" w:type="dxa"/>
          </w:tblCellMar>
        </w:tblPrEx>
        <w:trPr>
          <w:trHeight w:val="700" w:hRule="atLeast"/>
          <w:jc w:val="center"/>
        </w:trPr>
        <w:tc>
          <w:tcPr>
            <w:tcW w:w="3167" w:type="dxa"/>
            <w:tcBorders>
              <w:top w:val="single" w:color="auto" w:sz="6" w:space="0"/>
              <w:left w:val="single" w:color="auto" w:sz="6" w:space="0"/>
              <w:bottom w:val="single" w:color="auto" w:sz="6" w:space="0"/>
              <w:right w:val="single" w:color="auto" w:sz="6" w:space="0"/>
            </w:tcBorders>
            <w:shd w:val="clear" w:color="auto" w:fill="auto"/>
            <w:noWrap/>
            <w:vAlign w:val="bottom"/>
          </w:tcPr>
          <w:p>
            <w:pPr>
              <w:widowControl/>
              <w:ind w:firstLine="0" w:firstLineChars="0"/>
              <w:jc w:val="left"/>
              <w:rPr>
                <w:rFonts w:ascii="Arial" w:hAnsi="Arial" w:eastAsia="宋体" w:cs="Arial"/>
                <w:kern w:val="0"/>
                <w:sz w:val="20"/>
              </w:rPr>
            </w:pPr>
            <w:r>
              <w:rPr>
                <w:rFonts w:ascii="Arial" w:hAnsi="Arial" w:eastAsia="宋体" w:cs="Arial"/>
                <w:kern w:val="0"/>
                <w:sz w:val="20"/>
              </w:rPr>
              <w:t>　</w:t>
            </w:r>
          </w:p>
        </w:tc>
        <w:tc>
          <w:tcPr>
            <w:tcW w:w="321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b/>
                <w:bCs/>
                <w:kern w:val="0"/>
                <w:sz w:val="24"/>
                <w:szCs w:val="24"/>
              </w:rPr>
            </w:pPr>
            <w:r>
              <w:rPr>
                <w:rFonts w:hint="eastAsia" w:ascii="宋体" w:hAnsi="宋体" w:eastAsia="宋体" w:cs="宋体"/>
                <w:b/>
                <w:bCs/>
                <w:kern w:val="0"/>
                <w:sz w:val="24"/>
                <w:szCs w:val="24"/>
              </w:rPr>
              <w:t>合  计</w:t>
            </w:r>
          </w:p>
        </w:tc>
        <w:tc>
          <w:tcPr>
            <w:tcW w:w="274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00" w:hRule="atLeast"/>
          <w:jc w:val="center"/>
        </w:trPr>
        <w:tc>
          <w:tcPr>
            <w:tcW w:w="3167" w:type="dxa"/>
            <w:tcBorders>
              <w:top w:val="single" w:color="auto" w:sz="6" w:space="0"/>
              <w:left w:val="single" w:color="auto" w:sz="6" w:space="0"/>
              <w:bottom w:val="single" w:color="auto" w:sz="6" w:space="0"/>
              <w:right w:val="single" w:color="auto" w:sz="6" w:space="0"/>
            </w:tcBorders>
            <w:shd w:val="clear" w:color="auto" w:fill="auto"/>
            <w:noWrap/>
            <w:vAlign w:val="bottom"/>
          </w:tcPr>
          <w:p>
            <w:pPr>
              <w:widowControl/>
              <w:ind w:firstLine="0" w:firstLineChars="0"/>
              <w:jc w:val="left"/>
              <w:rPr>
                <w:rFonts w:ascii="Arial" w:hAnsi="Arial" w:eastAsia="宋体" w:cs="Arial"/>
                <w:kern w:val="0"/>
                <w:sz w:val="20"/>
              </w:rPr>
            </w:pPr>
            <w:r>
              <w:rPr>
                <w:rFonts w:ascii="Arial" w:hAnsi="Arial" w:eastAsia="宋体" w:cs="Arial"/>
                <w:kern w:val="0"/>
                <w:sz w:val="20"/>
              </w:rPr>
              <w:t>　</w:t>
            </w:r>
          </w:p>
        </w:tc>
        <w:tc>
          <w:tcPr>
            <w:tcW w:w="321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74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00" w:hRule="atLeast"/>
          <w:jc w:val="center"/>
        </w:trPr>
        <w:tc>
          <w:tcPr>
            <w:tcW w:w="3167" w:type="dxa"/>
            <w:tcBorders>
              <w:top w:val="single" w:color="auto" w:sz="6" w:space="0"/>
              <w:left w:val="single" w:color="auto" w:sz="6" w:space="0"/>
              <w:bottom w:val="single" w:color="auto" w:sz="6" w:space="0"/>
              <w:right w:val="single" w:color="auto" w:sz="6" w:space="0"/>
            </w:tcBorders>
            <w:shd w:val="clear" w:color="auto" w:fill="auto"/>
            <w:noWrap/>
            <w:vAlign w:val="bottom"/>
          </w:tcPr>
          <w:p>
            <w:pPr>
              <w:widowControl/>
              <w:ind w:firstLine="0" w:firstLineChars="0"/>
              <w:jc w:val="left"/>
              <w:rPr>
                <w:rFonts w:ascii="Arial" w:hAnsi="Arial" w:eastAsia="宋体" w:cs="Arial"/>
                <w:kern w:val="0"/>
                <w:sz w:val="20"/>
              </w:rPr>
            </w:pPr>
            <w:r>
              <w:rPr>
                <w:rFonts w:ascii="Arial" w:hAnsi="Arial" w:eastAsia="宋体" w:cs="Arial"/>
                <w:kern w:val="0"/>
                <w:sz w:val="20"/>
              </w:rPr>
              <w:t>　</w:t>
            </w:r>
          </w:p>
        </w:tc>
        <w:tc>
          <w:tcPr>
            <w:tcW w:w="321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74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00" w:hRule="atLeast"/>
          <w:jc w:val="center"/>
        </w:trPr>
        <w:tc>
          <w:tcPr>
            <w:tcW w:w="3167" w:type="dxa"/>
            <w:tcBorders>
              <w:top w:val="single" w:color="auto" w:sz="6" w:space="0"/>
              <w:left w:val="single" w:color="auto" w:sz="6" w:space="0"/>
              <w:bottom w:val="single" w:color="auto" w:sz="6" w:space="0"/>
              <w:right w:val="single" w:color="auto" w:sz="6" w:space="0"/>
            </w:tcBorders>
            <w:shd w:val="clear" w:color="auto" w:fill="auto"/>
            <w:noWrap/>
            <w:vAlign w:val="bottom"/>
          </w:tcPr>
          <w:p>
            <w:pPr>
              <w:widowControl/>
              <w:ind w:firstLine="0" w:firstLineChars="0"/>
              <w:jc w:val="left"/>
              <w:rPr>
                <w:rFonts w:ascii="Arial" w:hAnsi="Arial" w:eastAsia="宋体" w:cs="Arial"/>
                <w:kern w:val="0"/>
                <w:sz w:val="20"/>
              </w:rPr>
            </w:pPr>
            <w:r>
              <w:rPr>
                <w:rFonts w:ascii="Arial" w:hAnsi="Arial" w:eastAsia="宋体" w:cs="Arial"/>
                <w:kern w:val="0"/>
                <w:sz w:val="20"/>
              </w:rPr>
              <w:t>　</w:t>
            </w:r>
          </w:p>
        </w:tc>
        <w:tc>
          <w:tcPr>
            <w:tcW w:w="321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74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00" w:hRule="atLeast"/>
          <w:jc w:val="center"/>
        </w:trPr>
        <w:tc>
          <w:tcPr>
            <w:tcW w:w="3167" w:type="dxa"/>
            <w:tcBorders>
              <w:top w:val="single" w:color="auto" w:sz="6" w:space="0"/>
              <w:left w:val="single" w:color="auto" w:sz="6" w:space="0"/>
              <w:bottom w:val="single" w:color="auto" w:sz="6" w:space="0"/>
              <w:right w:val="single" w:color="auto" w:sz="6" w:space="0"/>
            </w:tcBorders>
            <w:shd w:val="clear" w:color="auto" w:fill="auto"/>
            <w:noWrap/>
            <w:vAlign w:val="bottom"/>
          </w:tcPr>
          <w:p>
            <w:pPr>
              <w:widowControl/>
              <w:ind w:firstLine="0" w:firstLineChars="0"/>
              <w:jc w:val="left"/>
              <w:rPr>
                <w:rFonts w:ascii="Arial" w:hAnsi="Arial" w:eastAsia="宋体" w:cs="Arial"/>
                <w:kern w:val="0"/>
                <w:sz w:val="20"/>
              </w:rPr>
            </w:pPr>
            <w:r>
              <w:rPr>
                <w:rFonts w:ascii="Arial" w:hAnsi="Arial" w:eastAsia="宋体" w:cs="Arial"/>
                <w:kern w:val="0"/>
                <w:sz w:val="20"/>
              </w:rPr>
              <w:t>　</w:t>
            </w:r>
          </w:p>
        </w:tc>
        <w:tc>
          <w:tcPr>
            <w:tcW w:w="321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74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00" w:hRule="atLeast"/>
          <w:jc w:val="center"/>
        </w:trPr>
        <w:tc>
          <w:tcPr>
            <w:tcW w:w="3167" w:type="dxa"/>
            <w:tcBorders>
              <w:top w:val="single" w:color="auto" w:sz="6" w:space="0"/>
              <w:left w:val="single" w:color="auto" w:sz="6" w:space="0"/>
              <w:bottom w:val="single" w:color="auto" w:sz="6" w:space="0"/>
              <w:right w:val="single" w:color="auto" w:sz="6" w:space="0"/>
            </w:tcBorders>
            <w:shd w:val="clear" w:color="auto" w:fill="auto"/>
            <w:noWrap/>
            <w:vAlign w:val="bottom"/>
          </w:tcPr>
          <w:p>
            <w:pPr>
              <w:widowControl/>
              <w:ind w:firstLine="0" w:firstLineChars="0"/>
              <w:jc w:val="left"/>
              <w:rPr>
                <w:rFonts w:ascii="Arial" w:hAnsi="Arial" w:eastAsia="宋体" w:cs="Arial"/>
                <w:kern w:val="0"/>
                <w:sz w:val="20"/>
              </w:rPr>
            </w:pPr>
            <w:r>
              <w:rPr>
                <w:rFonts w:ascii="Arial" w:hAnsi="Arial" w:eastAsia="宋体" w:cs="Arial"/>
                <w:kern w:val="0"/>
                <w:sz w:val="20"/>
              </w:rPr>
              <w:t>　</w:t>
            </w:r>
          </w:p>
        </w:tc>
        <w:tc>
          <w:tcPr>
            <w:tcW w:w="321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ascii="宋体" w:hAnsi="宋体" w:eastAsia="宋体" w:cs="宋体"/>
                <w:kern w:val="0"/>
                <w:sz w:val="20"/>
              </w:rPr>
            </w:pPr>
            <w:r>
              <w:rPr>
                <w:rFonts w:hint="eastAsia" w:ascii="宋体" w:hAnsi="宋体" w:eastAsia="宋体" w:cs="宋体"/>
                <w:kern w:val="0"/>
                <w:sz w:val="20"/>
              </w:rPr>
              <w:t>　</w:t>
            </w:r>
          </w:p>
        </w:tc>
        <w:tc>
          <w:tcPr>
            <w:tcW w:w="274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00" w:hRule="atLeast"/>
          <w:jc w:val="center"/>
        </w:trPr>
        <w:tc>
          <w:tcPr>
            <w:tcW w:w="3167" w:type="dxa"/>
            <w:tcBorders>
              <w:top w:val="single" w:color="auto" w:sz="6" w:space="0"/>
              <w:left w:val="single" w:color="auto" w:sz="6" w:space="0"/>
              <w:bottom w:val="single" w:color="auto" w:sz="6" w:space="0"/>
              <w:right w:val="single" w:color="auto" w:sz="6" w:space="0"/>
            </w:tcBorders>
            <w:shd w:val="clear" w:color="auto" w:fill="auto"/>
            <w:noWrap/>
            <w:vAlign w:val="bottom"/>
          </w:tcPr>
          <w:p>
            <w:pPr>
              <w:widowControl/>
              <w:ind w:firstLine="0" w:firstLineChars="0"/>
              <w:jc w:val="left"/>
              <w:rPr>
                <w:rFonts w:ascii="Arial" w:hAnsi="Arial" w:eastAsia="宋体" w:cs="Arial"/>
                <w:kern w:val="0"/>
                <w:sz w:val="20"/>
              </w:rPr>
            </w:pPr>
          </w:p>
        </w:tc>
        <w:tc>
          <w:tcPr>
            <w:tcW w:w="321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74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00" w:hRule="atLeast"/>
          <w:jc w:val="center"/>
        </w:trPr>
        <w:tc>
          <w:tcPr>
            <w:tcW w:w="3167" w:type="dxa"/>
            <w:tcBorders>
              <w:top w:val="single" w:color="auto" w:sz="6" w:space="0"/>
              <w:left w:val="single" w:color="auto" w:sz="6" w:space="0"/>
              <w:bottom w:val="single" w:color="auto" w:sz="6" w:space="0"/>
              <w:right w:val="single" w:color="auto" w:sz="6" w:space="0"/>
            </w:tcBorders>
            <w:shd w:val="clear" w:color="auto" w:fill="auto"/>
            <w:noWrap/>
            <w:vAlign w:val="bottom"/>
          </w:tcPr>
          <w:p>
            <w:pPr>
              <w:widowControl/>
              <w:ind w:firstLine="0" w:firstLineChars="0"/>
              <w:jc w:val="left"/>
              <w:rPr>
                <w:rFonts w:ascii="Arial" w:hAnsi="Arial" w:eastAsia="宋体" w:cs="Arial"/>
                <w:kern w:val="0"/>
                <w:sz w:val="20"/>
              </w:rPr>
            </w:pPr>
          </w:p>
        </w:tc>
        <w:tc>
          <w:tcPr>
            <w:tcW w:w="321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74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00" w:hRule="atLeast"/>
          <w:jc w:val="center"/>
        </w:trPr>
        <w:tc>
          <w:tcPr>
            <w:tcW w:w="3167"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rPr>
                <w:rFonts w:ascii="宋体" w:hAnsi="宋体" w:eastAsia="宋体" w:cs="宋体"/>
                <w:b/>
                <w:bCs/>
                <w:kern w:val="0"/>
                <w:sz w:val="24"/>
                <w:szCs w:val="24"/>
              </w:rPr>
            </w:pPr>
          </w:p>
        </w:tc>
        <w:tc>
          <w:tcPr>
            <w:tcW w:w="321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74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00" w:hRule="atLeast"/>
          <w:jc w:val="center"/>
        </w:trPr>
        <w:tc>
          <w:tcPr>
            <w:tcW w:w="3167"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rPr>
                <w:rFonts w:cs="宋体" w:asciiTheme="minorEastAsia" w:hAnsiTheme="minorEastAsia" w:eastAsiaTheme="minorEastAsia"/>
                <w:b/>
                <w:bCs/>
                <w:kern w:val="0"/>
                <w:sz w:val="24"/>
                <w:szCs w:val="24"/>
              </w:rPr>
            </w:pPr>
          </w:p>
        </w:tc>
        <w:tc>
          <w:tcPr>
            <w:tcW w:w="321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cs="宋体" w:asciiTheme="minorEastAsia" w:hAnsiTheme="minorEastAsia" w:eastAsiaTheme="minorEastAsia"/>
                <w:kern w:val="0"/>
                <w:sz w:val="24"/>
                <w:szCs w:val="24"/>
              </w:rPr>
            </w:pPr>
          </w:p>
        </w:tc>
        <w:tc>
          <w:tcPr>
            <w:tcW w:w="274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cs="宋体" w:asciiTheme="minorEastAsia" w:hAnsiTheme="minorEastAsia" w:eastAsiaTheme="minorEastAsia"/>
                <w:kern w:val="0"/>
                <w:sz w:val="24"/>
                <w:szCs w:val="24"/>
              </w:rPr>
            </w:pPr>
          </w:p>
        </w:tc>
      </w:tr>
      <w:tr>
        <w:tblPrEx>
          <w:tblCellMar>
            <w:top w:w="0" w:type="dxa"/>
            <w:left w:w="108" w:type="dxa"/>
            <w:bottom w:w="0" w:type="dxa"/>
            <w:right w:w="108" w:type="dxa"/>
          </w:tblCellMar>
        </w:tblPrEx>
        <w:trPr>
          <w:trHeight w:val="700" w:hRule="atLeast"/>
          <w:jc w:val="center"/>
        </w:trPr>
        <w:tc>
          <w:tcPr>
            <w:tcW w:w="3167"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rPr>
                <w:rFonts w:cs="宋体" w:asciiTheme="minorEastAsia" w:hAnsiTheme="minorEastAsia" w:eastAsiaTheme="minorEastAsia"/>
                <w:b/>
                <w:bCs/>
                <w:kern w:val="0"/>
                <w:sz w:val="24"/>
                <w:szCs w:val="24"/>
              </w:rPr>
            </w:pPr>
          </w:p>
        </w:tc>
        <w:tc>
          <w:tcPr>
            <w:tcW w:w="321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cs="宋体" w:asciiTheme="minorEastAsia" w:hAnsiTheme="minorEastAsia" w:eastAsiaTheme="minorEastAsia"/>
                <w:kern w:val="0"/>
                <w:sz w:val="24"/>
                <w:szCs w:val="24"/>
              </w:rPr>
            </w:pPr>
          </w:p>
        </w:tc>
        <w:tc>
          <w:tcPr>
            <w:tcW w:w="274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cs="宋体" w:asciiTheme="minorEastAsia" w:hAnsiTheme="minorEastAsia" w:eastAsiaTheme="minorEastAsia"/>
                <w:kern w:val="0"/>
                <w:sz w:val="24"/>
                <w:szCs w:val="24"/>
              </w:rPr>
            </w:pPr>
          </w:p>
        </w:tc>
      </w:tr>
      <w:tr>
        <w:tblPrEx>
          <w:tblCellMar>
            <w:top w:w="0" w:type="dxa"/>
            <w:left w:w="108" w:type="dxa"/>
            <w:bottom w:w="0" w:type="dxa"/>
            <w:right w:w="108" w:type="dxa"/>
          </w:tblCellMar>
        </w:tblPrEx>
        <w:trPr>
          <w:trHeight w:val="700" w:hRule="atLeast"/>
          <w:jc w:val="center"/>
        </w:trPr>
        <w:tc>
          <w:tcPr>
            <w:tcW w:w="3167"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rPr>
                <w:rFonts w:cs="宋体" w:asciiTheme="minorEastAsia" w:hAnsiTheme="minorEastAsia" w:eastAsiaTheme="minorEastAsia"/>
                <w:b/>
                <w:bCs/>
                <w:kern w:val="0"/>
                <w:sz w:val="24"/>
                <w:szCs w:val="24"/>
              </w:rPr>
            </w:pPr>
          </w:p>
        </w:tc>
        <w:tc>
          <w:tcPr>
            <w:tcW w:w="321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cs="宋体" w:asciiTheme="minorEastAsia" w:hAnsiTheme="minorEastAsia" w:eastAsiaTheme="minorEastAsia"/>
                <w:kern w:val="0"/>
                <w:sz w:val="24"/>
                <w:szCs w:val="24"/>
              </w:rPr>
            </w:pPr>
          </w:p>
        </w:tc>
        <w:tc>
          <w:tcPr>
            <w:tcW w:w="274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left"/>
              <w:rPr>
                <w:rFonts w:cs="宋体" w:asciiTheme="minorEastAsia" w:hAnsiTheme="minorEastAsia" w:eastAsiaTheme="minorEastAsia"/>
                <w:kern w:val="0"/>
                <w:sz w:val="24"/>
                <w:szCs w:val="24"/>
              </w:rPr>
            </w:pPr>
          </w:p>
        </w:tc>
      </w:tr>
      <w:tr>
        <w:tblPrEx>
          <w:tblCellMar>
            <w:top w:w="0" w:type="dxa"/>
            <w:left w:w="108" w:type="dxa"/>
            <w:bottom w:w="0" w:type="dxa"/>
            <w:right w:w="108" w:type="dxa"/>
          </w:tblCellMar>
        </w:tblPrEx>
        <w:trPr>
          <w:trHeight w:val="507" w:hRule="atLeast"/>
          <w:jc w:val="center"/>
        </w:trPr>
        <w:tc>
          <w:tcPr>
            <w:tcW w:w="9135" w:type="dxa"/>
            <w:gridSpan w:val="3"/>
            <w:tcBorders>
              <w:top w:val="single" w:color="auto" w:sz="6" w:space="0"/>
              <w:left w:val="nil"/>
              <w:bottom w:val="nil"/>
              <w:right w:val="nil"/>
            </w:tcBorders>
            <w:shd w:val="clear" w:color="auto" w:fill="auto"/>
            <w:noWrap/>
            <w:vAlign w:val="bottom"/>
          </w:tcPr>
          <w:p>
            <w:pPr>
              <w:widowControl/>
              <w:ind w:firstLine="0" w:firstLineChars="0"/>
              <w:jc w:val="left"/>
              <w:rPr>
                <w:rFonts w:cs="Arial"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备注：</w:t>
            </w:r>
            <w:r>
              <w:rPr>
                <w:rFonts w:hint="eastAsia" w:cs="Arial" w:asciiTheme="minorEastAsia" w:hAnsiTheme="minorEastAsia" w:eastAsiaTheme="minorEastAsia"/>
                <w:kern w:val="0"/>
                <w:sz w:val="24"/>
                <w:szCs w:val="24"/>
              </w:rPr>
              <w:t>本单位无政府性基金收入，也没有安排相关支出，此表无数据。</w:t>
            </w:r>
          </w:p>
        </w:tc>
      </w:tr>
      <w:tr>
        <w:tblPrEx>
          <w:tblCellMar>
            <w:top w:w="0" w:type="dxa"/>
            <w:left w:w="108" w:type="dxa"/>
            <w:bottom w:w="0" w:type="dxa"/>
            <w:right w:w="108" w:type="dxa"/>
          </w:tblCellMar>
        </w:tblPrEx>
        <w:trPr>
          <w:trHeight w:val="253" w:hRule="atLeast"/>
          <w:jc w:val="center"/>
        </w:trPr>
        <w:tc>
          <w:tcPr>
            <w:tcW w:w="9135" w:type="dxa"/>
            <w:gridSpan w:val="3"/>
            <w:tcBorders>
              <w:top w:val="nil"/>
              <w:left w:val="nil"/>
              <w:bottom w:val="nil"/>
              <w:right w:val="nil"/>
            </w:tcBorders>
            <w:shd w:val="clear" w:color="auto" w:fill="auto"/>
            <w:noWrap/>
            <w:vAlign w:val="bottom"/>
          </w:tcPr>
          <w:p>
            <w:pPr>
              <w:widowControl/>
              <w:ind w:firstLine="0" w:firstLineChars="0"/>
              <w:jc w:val="left"/>
              <w:rPr>
                <w:rFonts w:ascii="Arial" w:hAnsi="Arial" w:eastAsia="宋体" w:cs="Arial"/>
                <w:kern w:val="0"/>
                <w:sz w:val="24"/>
                <w:szCs w:val="24"/>
              </w:rPr>
            </w:pPr>
          </w:p>
        </w:tc>
      </w:tr>
    </w:tbl>
    <w:p>
      <w:pPr>
        <w:widowControl/>
        <w:spacing w:line="560" w:lineRule="exact"/>
        <w:ind w:right="-57" w:firstLine="0" w:firstLineChars="0"/>
      </w:pPr>
    </w:p>
    <w:p>
      <w:pPr>
        <w:widowControl/>
        <w:spacing w:line="560" w:lineRule="exact"/>
        <w:ind w:right="-57" w:firstLine="0" w:firstLineChars="0"/>
      </w:pPr>
    </w:p>
    <w:p>
      <w:pPr>
        <w:widowControl/>
        <w:spacing w:line="560" w:lineRule="exact"/>
        <w:ind w:right="-57" w:firstLine="0" w:firstLineChars="0"/>
        <w:rPr>
          <w:rFonts w:ascii="方正小标宋简体" w:hAnsi="宋体" w:eastAsia="方正小标宋简体" w:cs="宋体"/>
          <w:kern w:val="0"/>
          <w:sz w:val="44"/>
          <w:szCs w:val="44"/>
        </w:rPr>
      </w:pPr>
    </w:p>
    <w:p>
      <w:pPr>
        <w:widowControl/>
        <w:spacing w:line="560" w:lineRule="exact"/>
        <w:ind w:right="-57" w:firstLine="0" w:firstLineChars="0"/>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 xml:space="preserve">2017年度常州市人民政府外事办公室       </w:t>
      </w:r>
    </w:p>
    <w:p>
      <w:pPr>
        <w:widowControl/>
        <w:spacing w:line="560" w:lineRule="exact"/>
        <w:ind w:right="-57" w:firstLine="0" w:firstLineChars="0"/>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一般公共预算支出预算表</w:t>
      </w:r>
    </w:p>
    <w:tbl>
      <w:tblPr>
        <w:tblStyle w:val="4"/>
        <w:tblW w:w="9134" w:type="dxa"/>
        <w:jc w:val="center"/>
        <w:tblLayout w:type="autofit"/>
        <w:tblCellMar>
          <w:top w:w="0" w:type="dxa"/>
          <w:left w:w="108" w:type="dxa"/>
          <w:bottom w:w="0" w:type="dxa"/>
          <w:right w:w="108" w:type="dxa"/>
        </w:tblCellMar>
      </w:tblPr>
      <w:tblGrid>
        <w:gridCol w:w="3122"/>
        <w:gridCol w:w="3260"/>
        <w:gridCol w:w="2752"/>
      </w:tblGrid>
      <w:tr>
        <w:tblPrEx>
          <w:tblCellMar>
            <w:top w:w="0" w:type="dxa"/>
            <w:left w:w="108" w:type="dxa"/>
            <w:bottom w:w="0" w:type="dxa"/>
            <w:right w:w="108" w:type="dxa"/>
          </w:tblCellMar>
        </w:tblPrEx>
        <w:trPr>
          <w:trHeight w:val="449" w:hRule="atLeast"/>
          <w:jc w:val="center"/>
        </w:trPr>
        <w:tc>
          <w:tcPr>
            <w:tcW w:w="3122" w:type="dxa"/>
            <w:tcBorders>
              <w:top w:val="nil"/>
              <w:left w:val="nil"/>
              <w:bottom w:val="single" w:color="auto" w:sz="6" w:space="0"/>
              <w:right w:val="nil"/>
            </w:tcBorders>
            <w:shd w:val="clear" w:color="auto" w:fill="auto"/>
            <w:noWrap/>
            <w:vAlign w:val="bottom"/>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公开表八</w:t>
            </w:r>
          </w:p>
        </w:tc>
        <w:tc>
          <w:tcPr>
            <w:tcW w:w="3260" w:type="dxa"/>
            <w:tcBorders>
              <w:top w:val="nil"/>
              <w:left w:val="nil"/>
              <w:bottom w:val="single" w:color="auto" w:sz="6" w:space="0"/>
              <w:right w:val="nil"/>
            </w:tcBorders>
            <w:shd w:val="clear" w:color="auto" w:fill="auto"/>
            <w:noWrap/>
            <w:vAlign w:val="bottom"/>
          </w:tcPr>
          <w:p>
            <w:pPr>
              <w:widowControl/>
              <w:ind w:firstLine="0" w:firstLineChars="0"/>
              <w:jc w:val="left"/>
              <w:rPr>
                <w:rFonts w:cs="Arial" w:asciiTheme="minorEastAsia" w:hAnsiTheme="minorEastAsia" w:eastAsiaTheme="minorEastAsia"/>
                <w:kern w:val="0"/>
                <w:sz w:val="24"/>
                <w:szCs w:val="24"/>
              </w:rPr>
            </w:pPr>
          </w:p>
        </w:tc>
        <w:tc>
          <w:tcPr>
            <w:tcW w:w="2752" w:type="dxa"/>
            <w:tcBorders>
              <w:top w:val="nil"/>
              <w:left w:val="nil"/>
              <w:bottom w:val="single" w:color="auto" w:sz="6" w:space="0"/>
              <w:right w:val="nil"/>
            </w:tcBorders>
            <w:shd w:val="clear" w:color="auto" w:fill="auto"/>
            <w:noWrap/>
            <w:vAlign w:val="bottom"/>
          </w:tcPr>
          <w:p>
            <w:pPr>
              <w:widowControl/>
              <w:ind w:firstLine="0" w:firstLineChars="0"/>
              <w:jc w:val="righ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单位：万元</w:t>
            </w:r>
          </w:p>
        </w:tc>
      </w:tr>
      <w:tr>
        <w:tblPrEx>
          <w:tblCellMar>
            <w:top w:w="0" w:type="dxa"/>
            <w:left w:w="108" w:type="dxa"/>
            <w:bottom w:w="0" w:type="dxa"/>
            <w:right w:w="108" w:type="dxa"/>
          </w:tblCellMar>
        </w:tblPrEx>
        <w:trPr>
          <w:trHeight w:val="715" w:hRule="atLeast"/>
          <w:jc w:val="center"/>
        </w:trPr>
        <w:tc>
          <w:tcPr>
            <w:tcW w:w="312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功能科目代码</w:t>
            </w:r>
          </w:p>
        </w:tc>
        <w:tc>
          <w:tcPr>
            <w:tcW w:w="3260"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功能科目名称</w:t>
            </w:r>
          </w:p>
        </w:tc>
        <w:tc>
          <w:tcPr>
            <w:tcW w:w="275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金   额</w:t>
            </w:r>
          </w:p>
        </w:tc>
      </w:tr>
      <w:tr>
        <w:tblPrEx>
          <w:tblCellMar>
            <w:top w:w="0" w:type="dxa"/>
            <w:left w:w="108" w:type="dxa"/>
            <w:bottom w:w="0" w:type="dxa"/>
            <w:right w:w="108" w:type="dxa"/>
          </w:tblCellMar>
        </w:tblPrEx>
        <w:trPr>
          <w:trHeight w:val="715" w:hRule="atLeast"/>
          <w:jc w:val="center"/>
        </w:trPr>
        <w:tc>
          <w:tcPr>
            <w:tcW w:w="3122" w:type="dxa"/>
            <w:tcBorders>
              <w:top w:val="single" w:color="auto" w:sz="6" w:space="0"/>
              <w:left w:val="single" w:color="auto" w:sz="6" w:space="0"/>
              <w:bottom w:val="single" w:color="auto" w:sz="6" w:space="0"/>
              <w:right w:val="single" w:color="auto" w:sz="6" w:space="0"/>
            </w:tcBorders>
            <w:shd w:val="clear" w:color="auto" w:fill="auto"/>
            <w:noWrap/>
            <w:vAlign w:val="bottom"/>
          </w:tcPr>
          <w:p>
            <w:pPr>
              <w:widowControl/>
              <w:ind w:firstLine="0" w:firstLineChars="0"/>
              <w:jc w:val="left"/>
              <w:rPr>
                <w:rFonts w:cs="Arial" w:asciiTheme="minorEastAsia" w:hAnsiTheme="minorEastAsia" w:eastAsiaTheme="minorEastAsia"/>
                <w:kern w:val="0"/>
                <w:sz w:val="24"/>
                <w:szCs w:val="24"/>
              </w:rPr>
            </w:pPr>
            <w:r>
              <w:rPr>
                <w:rFonts w:cs="Arial" w:asciiTheme="minorEastAsia" w:hAnsiTheme="minorEastAsia" w:eastAsiaTheme="minorEastAsia"/>
                <w:kern w:val="0"/>
                <w:sz w:val="24"/>
                <w:szCs w:val="24"/>
              </w:rPr>
              <w:t>　</w:t>
            </w:r>
          </w:p>
        </w:tc>
        <w:tc>
          <w:tcPr>
            <w:tcW w:w="3260"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合  计</w:t>
            </w:r>
          </w:p>
        </w:tc>
        <w:tc>
          <w:tcPr>
            <w:tcW w:w="275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881.19</w:t>
            </w:r>
          </w:p>
        </w:tc>
      </w:tr>
      <w:tr>
        <w:tblPrEx>
          <w:tblCellMar>
            <w:top w:w="0" w:type="dxa"/>
            <w:left w:w="108" w:type="dxa"/>
            <w:bottom w:w="0" w:type="dxa"/>
            <w:right w:w="108" w:type="dxa"/>
          </w:tblCellMar>
        </w:tblPrEx>
        <w:trPr>
          <w:trHeight w:val="715" w:hRule="atLeast"/>
          <w:jc w:val="center"/>
        </w:trPr>
        <w:tc>
          <w:tcPr>
            <w:tcW w:w="3122"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201</w:t>
            </w:r>
          </w:p>
        </w:tc>
        <w:tc>
          <w:tcPr>
            <w:tcW w:w="326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一般公共服务支出</w:t>
            </w:r>
          </w:p>
        </w:tc>
        <w:tc>
          <w:tcPr>
            <w:tcW w:w="275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557.29 </w:t>
            </w:r>
          </w:p>
        </w:tc>
      </w:tr>
      <w:tr>
        <w:tblPrEx>
          <w:tblCellMar>
            <w:top w:w="0" w:type="dxa"/>
            <w:left w:w="108" w:type="dxa"/>
            <w:bottom w:w="0" w:type="dxa"/>
            <w:right w:w="108" w:type="dxa"/>
          </w:tblCellMar>
        </w:tblPrEx>
        <w:trPr>
          <w:trHeight w:val="715" w:hRule="atLeast"/>
          <w:jc w:val="center"/>
        </w:trPr>
        <w:tc>
          <w:tcPr>
            <w:tcW w:w="3122"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20103</w:t>
            </w:r>
          </w:p>
        </w:tc>
        <w:tc>
          <w:tcPr>
            <w:tcW w:w="326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政府办公厅（室）及相关机构事务</w:t>
            </w:r>
          </w:p>
        </w:tc>
        <w:tc>
          <w:tcPr>
            <w:tcW w:w="275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517.29 </w:t>
            </w:r>
          </w:p>
        </w:tc>
      </w:tr>
      <w:tr>
        <w:tblPrEx>
          <w:tblCellMar>
            <w:top w:w="0" w:type="dxa"/>
            <w:left w:w="108" w:type="dxa"/>
            <w:bottom w:w="0" w:type="dxa"/>
            <w:right w:w="108" w:type="dxa"/>
          </w:tblCellMar>
        </w:tblPrEx>
        <w:trPr>
          <w:trHeight w:val="715" w:hRule="atLeast"/>
          <w:jc w:val="center"/>
        </w:trPr>
        <w:tc>
          <w:tcPr>
            <w:tcW w:w="3122"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2010301</w:t>
            </w:r>
          </w:p>
        </w:tc>
        <w:tc>
          <w:tcPr>
            <w:tcW w:w="326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行政运行</w:t>
            </w:r>
          </w:p>
        </w:tc>
        <w:tc>
          <w:tcPr>
            <w:tcW w:w="275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440.00 </w:t>
            </w:r>
          </w:p>
        </w:tc>
      </w:tr>
      <w:tr>
        <w:tblPrEx>
          <w:tblCellMar>
            <w:top w:w="0" w:type="dxa"/>
            <w:left w:w="108" w:type="dxa"/>
            <w:bottom w:w="0" w:type="dxa"/>
            <w:right w:w="108" w:type="dxa"/>
          </w:tblCellMar>
        </w:tblPrEx>
        <w:trPr>
          <w:trHeight w:val="715" w:hRule="atLeast"/>
          <w:jc w:val="center"/>
        </w:trPr>
        <w:tc>
          <w:tcPr>
            <w:tcW w:w="3122"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2010302</w:t>
            </w:r>
          </w:p>
        </w:tc>
        <w:tc>
          <w:tcPr>
            <w:tcW w:w="326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一般行政管理事务</w:t>
            </w:r>
          </w:p>
        </w:tc>
        <w:tc>
          <w:tcPr>
            <w:tcW w:w="275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77.29 </w:t>
            </w:r>
          </w:p>
        </w:tc>
      </w:tr>
      <w:tr>
        <w:tblPrEx>
          <w:tblCellMar>
            <w:top w:w="0" w:type="dxa"/>
            <w:left w:w="108" w:type="dxa"/>
            <w:bottom w:w="0" w:type="dxa"/>
            <w:right w:w="108" w:type="dxa"/>
          </w:tblCellMar>
        </w:tblPrEx>
        <w:trPr>
          <w:trHeight w:val="715" w:hRule="atLeast"/>
          <w:jc w:val="center"/>
        </w:trPr>
        <w:tc>
          <w:tcPr>
            <w:tcW w:w="3122"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2010350</w:t>
            </w:r>
          </w:p>
        </w:tc>
        <w:tc>
          <w:tcPr>
            <w:tcW w:w="326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事业运行</w:t>
            </w:r>
          </w:p>
        </w:tc>
        <w:tc>
          <w:tcPr>
            <w:tcW w:w="275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40.00 </w:t>
            </w:r>
          </w:p>
        </w:tc>
      </w:tr>
      <w:tr>
        <w:tblPrEx>
          <w:tblCellMar>
            <w:top w:w="0" w:type="dxa"/>
            <w:left w:w="108" w:type="dxa"/>
            <w:bottom w:w="0" w:type="dxa"/>
            <w:right w:w="108" w:type="dxa"/>
          </w:tblCellMar>
        </w:tblPrEx>
        <w:trPr>
          <w:trHeight w:val="715" w:hRule="atLeast"/>
          <w:jc w:val="center"/>
        </w:trPr>
        <w:tc>
          <w:tcPr>
            <w:tcW w:w="3122"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208</w:t>
            </w:r>
          </w:p>
        </w:tc>
        <w:tc>
          <w:tcPr>
            <w:tcW w:w="326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社会保障和就业支出</w:t>
            </w:r>
          </w:p>
        </w:tc>
        <w:tc>
          <w:tcPr>
            <w:tcW w:w="275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195.57 </w:t>
            </w:r>
          </w:p>
        </w:tc>
      </w:tr>
      <w:tr>
        <w:tblPrEx>
          <w:tblCellMar>
            <w:top w:w="0" w:type="dxa"/>
            <w:left w:w="108" w:type="dxa"/>
            <w:bottom w:w="0" w:type="dxa"/>
            <w:right w:w="108" w:type="dxa"/>
          </w:tblCellMar>
        </w:tblPrEx>
        <w:trPr>
          <w:trHeight w:val="715" w:hRule="atLeast"/>
          <w:jc w:val="center"/>
        </w:trPr>
        <w:tc>
          <w:tcPr>
            <w:tcW w:w="3122"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20805</w:t>
            </w:r>
          </w:p>
        </w:tc>
        <w:tc>
          <w:tcPr>
            <w:tcW w:w="326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行政事业单位离退休</w:t>
            </w:r>
          </w:p>
        </w:tc>
        <w:tc>
          <w:tcPr>
            <w:tcW w:w="275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195.57 </w:t>
            </w:r>
          </w:p>
        </w:tc>
      </w:tr>
      <w:tr>
        <w:tblPrEx>
          <w:tblCellMar>
            <w:top w:w="0" w:type="dxa"/>
            <w:left w:w="108" w:type="dxa"/>
            <w:bottom w:w="0" w:type="dxa"/>
            <w:right w:w="108" w:type="dxa"/>
          </w:tblCellMar>
        </w:tblPrEx>
        <w:trPr>
          <w:trHeight w:val="715" w:hRule="atLeast"/>
          <w:jc w:val="center"/>
        </w:trPr>
        <w:tc>
          <w:tcPr>
            <w:tcW w:w="3122"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2080501</w:t>
            </w:r>
          </w:p>
        </w:tc>
        <w:tc>
          <w:tcPr>
            <w:tcW w:w="326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归口管理的行政单位离退休</w:t>
            </w:r>
          </w:p>
        </w:tc>
        <w:tc>
          <w:tcPr>
            <w:tcW w:w="275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195.57 </w:t>
            </w:r>
          </w:p>
        </w:tc>
      </w:tr>
      <w:tr>
        <w:tblPrEx>
          <w:tblCellMar>
            <w:top w:w="0" w:type="dxa"/>
            <w:left w:w="108" w:type="dxa"/>
            <w:bottom w:w="0" w:type="dxa"/>
            <w:right w:w="108" w:type="dxa"/>
          </w:tblCellMar>
        </w:tblPrEx>
        <w:trPr>
          <w:trHeight w:val="715" w:hRule="atLeast"/>
          <w:jc w:val="center"/>
        </w:trPr>
        <w:tc>
          <w:tcPr>
            <w:tcW w:w="3122"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210</w:t>
            </w:r>
          </w:p>
        </w:tc>
        <w:tc>
          <w:tcPr>
            <w:tcW w:w="326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医疗卫生与计划生育支出</w:t>
            </w:r>
          </w:p>
        </w:tc>
        <w:tc>
          <w:tcPr>
            <w:tcW w:w="275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26.23 </w:t>
            </w:r>
          </w:p>
        </w:tc>
      </w:tr>
      <w:tr>
        <w:tblPrEx>
          <w:tblCellMar>
            <w:top w:w="0" w:type="dxa"/>
            <w:left w:w="108" w:type="dxa"/>
            <w:bottom w:w="0" w:type="dxa"/>
            <w:right w:w="108" w:type="dxa"/>
          </w:tblCellMar>
        </w:tblPrEx>
        <w:trPr>
          <w:trHeight w:val="715" w:hRule="atLeast"/>
          <w:jc w:val="center"/>
        </w:trPr>
        <w:tc>
          <w:tcPr>
            <w:tcW w:w="3122"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21005</w:t>
            </w:r>
          </w:p>
        </w:tc>
        <w:tc>
          <w:tcPr>
            <w:tcW w:w="326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医疗保障</w:t>
            </w:r>
          </w:p>
        </w:tc>
        <w:tc>
          <w:tcPr>
            <w:tcW w:w="275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26.23</w:t>
            </w:r>
          </w:p>
        </w:tc>
      </w:tr>
      <w:tr>
        <w:tblPrEx>
          <w:tblCellMar>
            <w:top w:w="0" w:type="dxa"/>
            <w:left w:w="108" w:type="dxa"/>
            <w:bottom w:w="0" w:type="dxa"/>
            <w:right w:w="108" w:type="dxa"/>
          </w:tblCellMar>
        </w:tblPrEx>
        <w:trPr>
          <w:trHeight w:val="715" w:hRule="atLeast"/>
          <w:jc w:val="center"/>
        </w:trPr>
        <w:tc>
          <w:tcPr>
            <w:tcW w:w="3122"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2100501</w:t>
            </w:r>
          </w:p>
        </w:tc>
        <w:tc>
          <w:tcPr>
            <w:tcW w:w="326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行政单位医疗</w:t>
            </w:r>
          </w:p>
        </w:tc>
        <w:tc>
          <w:tcPr>
            <w:tcW w:w="275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26.23 </w:t>
            </w:r>
          </w:p>
        </w:tc>
      </w:tr>
      <w:tr>
        <w:tblPrEx>
          <w:tblCellMar>
            <w:top w:w="0" w:type="dxa"/>
            <w:left w:w="108" w:type="dxa"/>
            <w:bottom w:w="0" w:type="dxa"/>
            <w:right w:w="108" w:type="dxa"/>
          </w:tblCellMar>
        </w:tblPrEx>
        <w:trPr>
          <w:trHeight w:val="715" w:hRule="atLeast"/>
          <w:jc w:val="center"/>
        </w:trPr>
        <w:tc>
          <w:tcPr>
            <w:tcW w:w="3122"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221</w:t>
            </w:r>
          </w:p>
        </w:tc>
        <w:tc>
          <w:tcPr>
            <w:tcW w:w="326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住房保障支出</w:t>
            </w:r>
          </w:p>
        </w:tc>
        <w:tc>
          <w:tcPr>
            <w:tcW w:w="275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102.10 </w:t>
            </w:r>
          </w:p>
        </w:tc>
      </w:tr>
      <w:tr>
        <w:tblPrEx>
          <w:tblCellMar>
            <w:top w:w="0" w:type="dxa"/>
            <w:left w:w="108" w:type="dxa"/>
            <w:bottom w:w="0" w:type="dxa"/>
            <w:right w:w="108" w:type="dxa"/>
          </w:tblCellMar>
        </w:tblPrEx>
        <w:trPr>
          <w:trHeight w:val="715" w:hRule="atLeast"/>
          <w:jc w:val="center"/>
        </w:trPr>
        <w:tc>
          <w:tcPr>
            <w:tcW w:w="312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22102</w:t>
            </w:r>
          </w:p>
        </w:tc>
        <w:tc>
          <w:tcPr>
            <w:tcW w:w="326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住房改革支出</w:t>
            </w:r>
          </w:p>
        </w:tc>
        <w:tc>
          <w:tcPr>
            <w:tcW w:w="275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102.10 </w:t>
            </w:r>
          </w:p>
        </w:tc>
      </w:tr>
      <w:tr>
        <w:tblPrEx>
          <w:tblCellMar>
            <w:top w:w="0" w:type="dxa"/>
            <w:left w:w="108" w:type="dxa"/>
            <w:bottom w:w="0" w:type="dxa"/>
            <w:right w:w="108" w:type="dxa"/>
          </w:tblCellMar>
        </w:tblPrEx>
        <w:trPr>
          <w:trHeight w:val="715" w:hRule="atLeast"/>
          <w:jc w:val="center"/>
        </w:trPr>
        <w:tc>
          <w:tcPr>
            <w:tcW w:w="312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2210201</w:t>
            </w:r>
          </w:p>
        </w:tc>
        <w:tc>
          <w:tcPr>
            <w:tcW w:w="326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住房公积金</w:t>
            </w:r>
          </w:p>
        </w:tc>
        <w:tc>
          <w:tcPr>
            <w:tcW w:w="275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39.85 </w:t>
            </w:r>
          </w:p>
        </w:tc>
      </w:tr>
      <w:tr>
        <w:tblPrEx>
          <w:tblCellMar>
            <w:top w:w="0" w:type="dxa"/>
            <w:left w:w="108" w:type="dxa"/>
            <w:bottom w:w="0" w:type="dxa"/>
            <w:right w:w="108" w:type="dxa"/>
          </w:tblCellMar>
        </w:tblPrEx>
        <w:trPr>
          <w:trHeight w:val="715" w:hRule="atLeast"/>
          <w:jc w:val="center"/>
        </w:trPr>
        <w:tc>
          <w:tcPr>
            <w:tcW w:w="312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2210202</w:t>
            </w:r>
          </w:p>
        </w:tc>
        <w:tc>
          <w:tcPr>
            <w:tcW w:w="326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提租补贴</w:t>
            </w:r>
          </w:p>
        </w:tc>
        <w:tc>
          <w:tcPr>
            <w:tcW w:w="275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40.01 </w:t>
            </w:r>
          </w:p>
        </w:tc>
      </w:tr>
      <w:tr>
        <w:tblPrEx>
          <w:tblCellMar>
            <w:top w:w="0" w:type="dxa"/>
            <w:left w:w="108" w:type="dxa"/>
            <w:bottom w:w="0" w:type="dxa"/>
            <w:right w:w="108" w:type="dxa"/>
          </w:tblCellMar>
        </w:tblPrEx>
        <w:trPr>
          <w:trHeight w:val="715" w:hRule="atLeast"/>
          <w:jc w:val="center"/>
        </w:trPr>
        <w:tc>
          <w:tcPr>
            <w:tcW w:w="312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2210203</w:t>
            </w:r>
          </w:p>
        </w:tc>
        <w:tc>
          <w:tcPr>
            <w:tcW w:w="3260"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sz w:val="24"/>
                <w:szCs w:val="24"/>
              </w:rPr>
            </w:pPr>
            <w:r>
              <w:rPr>
                <w:rFonts w:hint="eastAsia" w:asciiTheme="minorEastAsia" w:hAnsiTheme="minorEastAsia" w:eastAsiaTheme="minorEastAsia"/>
                <w:sz w:val="24"/>
                <w:szCs w:val="24"/>
              </w:rPr>
              <w:t>购房补贴</w:t>
            </w:r>
          </w:p>
        </w:tc>
        <w:tc>
          <w:tcPr>
            <w:tcW w:w="275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22.24 </w:t>
            </w:r>
          </w:p>
        </w:tc>
      </w:tr>
      <w:tr>
        <w:tblPrEx>
          <w:tblCellMar>
            <w:top w:w="0" w:type="dxa"/>
            <w:left w:w="108" w:type="dxa"/>
            <w:bottom w:w="0" w:type="dxa"/>
            <w:right w:w="108" w:type="dxa"/>
          </w:tblCellMar>
        </w:tblPrEx>
        <w:trPr>
          <w:trHeight w:val="503" w:hRule="atLeast"/>
          <w:jc w:val="center"/>
        </w:trPr>
        <w:tc>
          <w:tcPr>
            <w:tcW w:w="9134" w:type="dxa"/>
            <w:gridSpan w:val="3"/>
            <w:tcBorders>
              <w:top w:val="single" w:color="auto" w:sz="6" w:space="0"/>
              <w:left w:val="nil"/>
              <w:bottom w:val="nil"/>
              <w:right w:val="nil"/>
            </w:tcBorders>
            <w:shd w:val="clear" w:color="auto" w:fill="auto"/>
            <w:noWrap/>
            <w:vAlign w:val="bottom"/>
          </w:tcPr>
          <w:p>
            <w:pPr>
              <w:widowControl/>
              <w:ind w:firstLine="0" w:firstLineChars="0"/>
              <w:jc w:val="left"/>
              <w:rPr>
                <w:rFonts w:cs="Arial"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xml:space="preserve">备注：支出功能科目明细到“项”    </w:t>
            </w:r>
          </w:p>
        </w:tc>
      </w:tr>
    </w:tbl>
    <w:p>
      <w:pPr>
        <w:adjustRightInd w:val="0"/>
        <w:snapToGrid w:val="0"/>
        <w:spacing w:before="240" w:line="700" w:lineRule="exact"/>
        <w:ind w:firstLine="0" w:firstLineChars="0"/>
        <w:jc w:val="center"/>
        <w:sectPr>
          <w:pgSz w:w="11906" w:h="16838"/>
          <w:pgMar w:top="1418" w:right="1134" w:bottom="1418" w:left="1701" w:header="709" w:footer="1361" w:gutter="0"/>
          <w:cols w:space="425" w:num="1"/>
          <w:docGrid w:linePitch="435" w:charSpace="0"/>
        </w:sectPr>
      </w:pPr>
    </w:p>
    <w:tbl>
      <w:tblPr>
        <w:tblStyle w:val="4"/>
        <w:tblW w:w="9970" w:type="dxa"/>
        <w:jc w:val="center"/>
        <w:tblLayout w:type="autofit"/>
        <w:tblCellMar>
          <w:top w:w="0" w:type="dxa"/>
          <w:left w:w="108" w:type="dxa"/>
          <w:bottom w:w="0" w:type="dxa"/>
          <w:right w:w="108" w:type="dxa"/>
        </w:tblCellMar>
      </w:tblPr>
      <w:tblGrid>
        <w:gridCol w:w="3545"/>
        <w:gridCol w:w="3033"/>
        <w:gridCol w:w="3392"/>
      </w:tblGrid>
      <w:tr>
        <w:tblPrEx>
          <w:tblCellMar>
            <w:top w:w="0" w:type="dxa"/>
            <w:left w:w="108" w:type="dxa"/>
            <w:bottom w:w="0" w:type="dxa"/>
            <w:right w:w="108" w:type="dxa"/>
          </w:tblCellMar>
        </w:tblPrEx>
        <w:trPr>
          <w:trHeight w:val="767" w:hRule="atLeast"/>
          <w:jc w:val="center"/>
        </w:trPr>
        <w:tc>
          <w:tcPr>
            <w:tcW w:w="9970" w:type="dxa"/>
            <w:gridSpan w:val="3"/>
            <w:tcBorders>
              <w:top w:val="nil"/>
              <w:left w:val="nil"/>
              <w:bottom w:val="nil"/>
              <w:right w:val="nil"/>
            </w:tcBorders>
            <w:shd w:val="clear" w:color="auto" w:fill="auto"/>
            <w:noWrap/>
            <w:vAlign w:val="center"/>
          </w:tcPr>
          <w:p>
            <w:pPr>
              <w:widowControl/>
              <w:spacing w:line="560" w:lineRule="exact"/>
              <w:ind w:right="-57" w:firstLine="0" w:firstLineChars="0"/>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 xml:space="preserve">2017年度常州市人民政府外事办公室          </w:t>
            </w:r>
          </w:p>
          <w:p>
            <w:pPr>
              <w:widowControl/>
              <w:spacing w:line="560" w:lineRule="exact"/>
              <w:ind w:right="-57" w:firstLine="0" w:firstLineChars="0"/>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一般公共预算基本支出预算表</w:t>
            </w:r>
          </w:p>
        </w:tc>
      </w:tr>
      <w:tr>
        <w:tblPrEx>
          <w:tblCellMar>
            <w:top w:w="0" w:type="dxa"/>
            <w:left w:w="108" w:type="dxa"/>
            <w:bottom w:w="0" w:type="dxa"/>
            <w:right w:w="108" w:type="dxa"/>
          </w:tblCellMar>
        </w:tblPrEx>
        <w:trPr>
          <w:trHeight w:val="373" w:hRule="atLeast"/>
          <w:jc w:val="center"/>
        </w:trPr>
        <w:tc>
          <w:tcPr>
            <w:tcW w:w="3545" w:type="dxa"/>
            <w:tcBorders>
              <w:top w:val="nil"/>
              <w:left w:val="nil"/>
              <w:bottom w:val="single" w:color="auto" w:sz="6" w:space="0"/>
              <w:right w:val="nil"/>
            </w:tcBorders>
            <w:shd w:val="clear" w:color="auto" w:fill="auto"/>
            <w:noWrap/>
            <w:vAlign w:val="center"/>
          </w:tcPr>
          <w:p>
            <w:pPr>
              <w:widowControl/>
              <w:ind w:firstLine="0" w:firstLineChars="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公开表九</w:t>
            </w:r>
          </w:p>
        </w:tc>
        <w:tc>
          <w:tcPr>
            <w:tcW w:w="3033" w:type="dxa"/>
            <w:tcBorders>
              <w:top w:val="nil"/>
              <w:left w:val="nil"/>
              <w:bottom w:val="single" w:color="auto" w:sz="6" w:space="0"/>
              <w:right w:val="nil"/>
            </w:tcBorders>
            <w:shd w:val="clear" w:color="auto" w:fill="auto"/>
            <w:noWrap/>
            <w:vAlign w:val="center"/>
          </w:tcPr>
          <w:p>
            <w:pPr>
              <w:widowControl/>
              <w:ind w:firstLine="0" w:firstLineChars="0"/>
              <w:jc w:val="left"/>
              <w:rPr>
                <w:rFonts w:cs="宋体" w:asciiTheme="minorEastAsia" w:hAnsiTheme="minorEastAsia" w:eastAsiaTheme="minorEastAsia"/>
                <w:kern w:val="0"/>
                <w:sz w:val="24"/>
                <w:szCs w:val="24"/>
              </w:rPr>
            </w:pPr>
          </w:p>
        </w:tc>
        <w:tc>
          <w:tcPr>
            <w:tcW w:w="3392" w:type="dxa"/>
            <w:tcBorders>
              <w:top w:val="nil"/>
              <w:left w:val="nil"/>
              <w:bottom w:val="single" w:color="auto" w:sz="6" w:space="0"/>
              <w:right w:val="nil"/>
            </w:tcBorders>
            <w:shd w:val="clear" w:color="auto" w:fill="auto"/>
            <w:noWrap/>
            <w:vAlign w:val="center"/>
          </w:tcPr>
          <w:p>
            <w:pPr>
              <w:widowControl/>
              <w:ind w:firstLine="0" w:firstLineChars="0"/>
              <w:jc w:val="righ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单位：万元</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科目编码</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科目名称</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基本支出</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noWrap/>
            <w:vAlign w:val="bottom"/>
          </w:tcPr>
          <w:p>
            <w:pPr>
              <w:widowControl/>
              <w:ind w:firstLine="0" w:firstLineChars="0"/>
              <w:jc w:val="left"/>
              <w:rPr>
                <w:rFonts w:cs="Arial" w:asciiTheme="minorEastAsia" w:hAnsiTheme="minorEastAsia" w:eastAsiaTheme="minorEastAsia"/>
                <w:kern w:val="0"/>
                <w:sz w:val="24"/>
                <w:szCs w:val="24"/>
              </w:rPr>
            </w:pPr>
            <w:r>
              <w:rPr>
                <w:rFonts w:cs="Arial" w:asciiTheme="minorEastAsia" w:hAnsiTheme="minorEastAsia" w:eastAsiaTheme="minorEastAsia"/>
                <w:kern w:val="0"/>
                <w:sz w:val="24"/>
                <w:szCs w:val="24"/>
              </w:rPr>
              <w:t>　</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合计</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803.90</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301</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工资福利支出</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405.64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30101</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基本工资</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92.97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30102</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津贴补贴</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230.06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30103</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奖金</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7.75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30104</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社会保障缴费</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28.76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30199</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其他工资福利支出</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46.10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商品和服务支出</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98.39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30201</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办公费</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13.40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30211</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差旅费</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43.80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30215</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会议费</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2.85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30216</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培训费</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4.98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30217</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公务接待费</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2.00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30228</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工会经费</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5.40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30229</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福利费</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0.72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30239</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其他交通费用</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25.24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303</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对个人和家庭的补助</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299.87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30301</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离休费</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18.03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30302</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退休费</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177.54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30309</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奖励金</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0.04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30311</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住房公积金</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39.85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30312</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提租补贴</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40.01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30313</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购房补贴</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22.24 </w:t>
            </w:r>
          </w:p>
        </w:tc>
      </w:tr>
      <w:tr>
        <w:tblPrEx>
          <w:tblCellMar>
            <w:top w:w="0" w:type="dxa"/>
            <w:left w:w="108" w:type="dxa"/>
            <w:bottom w:w="0" w:type="dxa"/>
            <w:right w:w="108" w:type="dxa"/>
          </w:tblCellMar>
        </w:tblPrEx>
        <w:trPr>
          <w:trHeight w:val="593" w:hRule="atLeast"/>
          <w:jc w:val="center"/>
        </w:trPr>
        <w:tc>
          <w:tcPr>
            <w:tcW w:w="3545"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30399</w:t>
            </w:r>
          </w:p>
        </w:tc>
        <w:tc>
          <w:tcPr>
            <w:tcW w:w="3033"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其他对个人和家庭的补助支出</w:t>
            </w:r>
          </w:p>
        </w:tc>
        <w:tc>
          <w:tcPr>
            <w:tcW w:w="339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2.16 </w:t>
            </w:r>
          </w:p>
        </w:tc>
      </w:tr>
      <w:tr>
        <w:tblPrEx>
          <w:tblCellMar>
            <w:top w:w="0" w:type="dxa"/>
            <w:left w:w="108" w:type="dxa"/>
            <w:bottom w:w="0" w:type="dxa"/>
            <w:right w:w="108" w:type="dxa"/>
          </w:tblCellMar>
        </w:tblPrEx>
        <w:trPr>
          <w:trHeight w:val="454" w:hRule="atLeast"/>
          <w:jc w:val="center"/>
        </w:trPr>
        <w:tc>
          <w:tcPr>
            <w:tcW w:w="9970" w:type="dxa"/>
            <w:gridSpan w:val="3"/>
            <w:tcBorders>
              <w:top w:val="single" w:color="auto" w:sz="6" w:space="0"/>
              <w:left w:val="nil"/>
              <w:bottom w:val="nil"/>
              <w:right w:val="nil"/>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备注：支出经济科目明细到“款”</w:t>
            </w:r>
          </w:p>
        </w:tc>
      </w:tr>
    </w:tbl>
    <w:p>
      <w:pPr>
        <w:adjustRightInd w:val="0"/>
        <w:snapToGrid w:val="0"/>
        <w:spacing w:line="540" w:lineRule="exact"/>
        <w:ind w:firstLine="0" w:firstLineChars="0"/>
        <w:jc w:val="center"/>
      </w:pPr>
      <w:r>
        <w:rPr>
          <w:rFonts w:asciiTheme="minorEastAsia" w:hAnsiTheme="minorEastAsia" w:eastAsiaTheme="minorEastAsia"/>
          <w:sz w:val="24"/>
          <w:szCs w:val="24"/>
        </w:rPr>
        <w:br w:type="page"/>
      </w:r>
      <w:r>
        <w:rPr>
          <w:rFonts w:hint="eastAsia" w:ascii="方正小标宋简体" w:hAnsi="宋体" w:eastAsia="方正小标宋简体" w:cs="宋体"/>
          <w:kern w:val="0"/>
          <w:sz w:val="44"/>
          <w:szCs w:val="44"/>
        </w:rPr>
        <w:t>2017年度常州市人民政府外事办公室       一般公共预算机关运行经费支出预算表</w:t>
      </w:r>
    </w:p>
    <w:tbl>
      <w:tblPr>
        <w:tblStyle w:val="4"/>
        <w:tblW w:w="9100" w:type="dxa"/>
        <w:jc w:val="center"/>
        <w:tblLayout w:type="autofit"/>
        <w:tblCellMar>
          <w:top w:w="0" w:type="dxa"/>
          <w:left w:w="108" w:type="dxa"/>
          <w:bottom w:w="0" w:type="dxa"/>
          <w:right w:w="108" w:type="dxa"/>
        </w:tblCellMar>
      </w:tblPr>
      <w:tblGrid>
        <w:gridCol w:w="2721"/>
        <w:gridCol w:w="3402"/>
        <w:gridCol w:w="2977"/>
      </w:tblGrid>
      <w:tr>
        <w:tblPrEx>
          <w:tblCellMar>
            <w:top w:w="0" w:type="dxa"/>
            <w:left w:w="108" w:type="dxa"/>
            <w:bottom w:w="0" w:type="dxa"/>
            <w:right w:w="108" w:type="dxa"/>
          </w:tblCellMar>
        </w:tblPrEx>
        <w:trPr>
          <w:trHeight w:val="390" w:hRule="atLeast"/>
          <w:jc w:val="center"/>
        </w:trPr>
        <w:tc>
          <w:tcPr>
            <w:tcW w:w="2721" w:type="dxa"/>
            <w:tcBorders>
              <w:top w:val="nil"/>
              <w:left w:val="nil"/>
              <w:bottom w:val="single" w:color="auto" w:sz="6" w:space="0"/>
              <w:right w:val="nil"/>
            </w:tcBorders>
            <w:shd w:val="clear" w:color="auto" w:fill="auto"/>
            <w:noWrap/>
            <w:vAlign w:val="center"/>
          </w:tcPr>
          <w:p>
            <w:pPr>
              <w:widowControl/>
              <w:ind w:firstLine="0" w:firstLineChars="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公开表十</w:t>
            </w:r>
          </w:p>
        </w:tc>
        <w:tc>
          <w:tcPr>
            <w:tcW w:w="3402" w:type="dxa"/>
            <w:tcBorders>
              <w:top w:val="nil"/>
              <w:left w:val="nil"/>
              <w:bottom w:val="single" w:color="auto" w:sz="6" w:space="0"/>
              <w:right w:val="nil"/>
            </w:tcBorders>
            <w:shd w:val="clear" w:color="auto" w:fill="auto"/>
            <w:noWrap/>
            <w:vAlign w:val="center"/>
          </w:tcPr>
          <w:p>
            <w:pPr>
              <w:widowControl/>
              <w:ind w:firstLine="0" w:firstLineChars="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w:t>
            </w:r>
          </w:p>
        </w:tc>
        <w:tc>
          <w:tcPr>
            <w:tcW w:w="2977" w:type="dxa"/>
            <w:tcBorders>
              <w:top w:val="nil"/>
              <w:left w:val="nil"/>
              <w:bottom w:val="single" w:color="auto" w:sz="6" w:space="0"/>
              <w:right w:val="nil"/>
            </w:tcBorders>
            <w:shd w:val="clear" w:color="auto" w:fill="auto"/>
            <w:noWrap/>
            <w:vAlign w:val="center"/>
          </w:tcPr>
          <w:p>
            <w:pPr>
              <w:widowControl/>
              <w:ind w:firstLine="0" w:firstLineChars="0"/>
              <w:jc w:val="righ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单位：万元</w:t>
            </w:r>
          </w:p>
        </w:tc>
      </w:tr>
      <w:tr>
        <w:tblPrEx>
          <w:tblCellMar>
            <w:top w:w="0" w:type="dxa"/>
            <w:left w:w="108" w:type="dxa"/>
            <w:bottom w:w="0" w:type="dxa"/>
            <w:right w:w="108" w:type="dxa"/>
          </w:tblCellMar>
        </w:tblPrEx>
        <w:trPr>
          <w:trHeight w:val="705" w:hRule="atLeast"/>
          <w:jc w:val="center"/>
        </w:trPr>
        <w:tc>
          <w:tcPr>
            <w:tcW w:w="2721"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科目编码</w:t>
            </w:r>
          </w:p>
        </w:tc>
        <w:tc>
          <w:tcPr>
            <w:tcW w:w="340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科目名称</w:t>
            </w:r>
          </w:p>
        </w:tc>
        <w:tc>
          <w:tcPr>
            <w:tcW w:w="2977"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机关运行经费支出</w:t>
            </w:r>
          </w:p>
        </w:tc>
      </w:tr>
      <w:tr>
        <w:tblPrEx>
          <w:tblCellMar>
            <w:top w:w="0" w:type="dxa"/>
            <w:left w:w="108" w:type="dxa"/>
            <w:bottom w:w="0" w:type="dxa"/>
            <w:right w:w="108" w:type="dxa"/>
          </w:tblCellMar>
        </w:tblPrEx>
        <w:trPr>
          <w:trHeight w:val="705" w:hRule="atLeast"/>
          <w:jc w:val="center"/>
        </w:trPr>
        <w:tc>
          <w:tcPr>
            <w:tcW w:w="2721"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　</w:t>
            </w:r>
          </w:p>
        </w:tc>
        <w:tc>
          <w:tcPr>
            <w:tcW w:w="340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合计</w:t>
            </w:r>
          </w:p>
        </w:tc>
        <w:tc>
          <w:tcPr>
            <w:tcW w:w="2977"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98.39 </w:t>
            </w:r>
          </w:p>
        </w:tc>
      </w:tr>
      <w:tr>
        <w:tblPrEx>
          <w:tblCellMar>
            <w:top w:w="0" w:type="dxa"/>
            <w:left w:w="108" w:type="dxa"/>
            <w:bottom w:w="0" w:type="dxa"/>
            <w:right w:w="108" w:type="dxa"/>
          </w:tblCellMar>
        </w:tblPrEx>
        <w:trPr>
          <w:trHeight w:val="705" w:hRule="atLeast"/>
          <w:jc w:val="center"/>
        </w:trPr>
        <w:tc>
          <w:tcPr>
            <w:tcW w:w="2721"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30201</w:t>
            </w:r>
          </w:p>
        </w:tc>
        <w:tc>
          <w:tcPr>
            <w:tcW w:w="340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办公费</w:t>
            </w:r>
          </w:p>
        </w:tc>
        <w:tc>
          <w:tcPr>
            <w:tcW w:w="2977"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13.40 </w:t>
            </w:r>
          </w:p>
        </w:tc>
      </w:tr>
      <w:tr>
        <w:tblPrEx>
          <w:tblCellMar>
            <w:top w:w="0" w:type="dxa"/>
            <w:left w:w="108" w:type="dxa"/>
            <w:bottom w:w="0" w:type="dxa"/>
            <w:right w:w="108" w:type="dxa"/>
          </w:tblCellMar>
        </w:tblPrEx>
        <w:trPr>
          <w:trHeight w:val="705" w:hRule="atLeast"/>
          <w:jc w:val="center"/>
        </w:trPr>
        <w:tc>
          <w:tcPr>
            <w:tcW w:w="2721"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30211</w:t>
            </w:r>
          </w:p>
        </w:tc>
        <w:tc>
          <w:tcPr>
            <w:tcW w:w="340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差旅费</w:t>
            </w:r>
          </w:p>
        </w:tc>
        <w:tc>
          <w:tcPr>
            <w:tcW w:w="2977"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43.80 </w:t>
            </w:r>
          </w:p>
        </w:tc>
      </w:tr>
      <w:tr>
        <w:tblPrEx>
          <w:tblCellMar>
            <w:top w:w="0" w:type="dxa"/>
            <w:left w:w="108" w:type="dxa"/>
            <w:bottom w:w="0" w:type="dxa"/>
            <w:right w:w="108" w:type="dxa"/>
          </w:tblCellMar>
        </w:tblPrEx>
        <w:trPr>
          <w:trHeight w:val="705" w:hRule="atLeast"/>
          <w:jc w:val="center"/>
        </w:trPr>
        <w:tc>
          <w:tcPr>
            <w:tcW w:w="2721"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30215</w:t>
            </w:r>
          </w:p>
        </w:tc>
        <w:tc>
          <w:tcPr>
            <w:tcW w:w="340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会议费</w:t>
            </w:r>
          </w:p>
        </w:tc>
        <w:tc>
          <w:tcPr>
            <w:tcW w:w="2977"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2.85 </w:t>
            </w:r>
          </w:p>
        </w:tc>
      </w:tr>
      <w:tr>
        <w:tblPrEx>
          <w:tblCellMar>
            <w:top w:w="0" w:type="dxa"/>
            <w:left w:w="108" w:type="dxa"/>
            <w:bottom w:w="0" w:type="dxa"/>
            <w:right w:w="108" w:type="dxa"/>
          </w:tblCellMar>
        </w:tblPrEx>
        <w:trPr>
          <w:trHeight w:val="705" w:hRule="atLeast"/>
          <w:jc w:val="center"/>
        </w:trPr>
        <w:tc>
          <w:tcPr>
            <w:tcW w:w="2721"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30216</w:t>
            </w:r>
          </w:p>
        </w:tc>
        <w:tc>
          <w:tcPr>
            <w:tcW w:w="340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培训费</w:t>
            </w:r>
          </w:p>
        </w:tc>
        <w:tc>
          <w:tcPr>
            <w:tcW w:w="2977"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4.98 </w:t>
            </w:r>
          </w:p>
        </w:tc>
      </w:tr>
      <w:tr>
        <w:tblPrEx>
          <w:tblCellMar>
            <w:top w:w="0" w:type="dxa"/>
            <w:left w:w="108" w:type="dxa"/>
            <w:bottom w:w="0" w:type="dxa"/>
            <w:right w:w="108" w:type="dxa"/>
          </w:tblCellMar>
        </w:tblPrEx>
        <w:trPr>
          <w:trHeight w:val="705" w:hRule="atLeast"/>
          <w:jc w:val="center"/>
        </w:trPr>
        <w:tc>
          <w:tcPr>
            <w:tcW w:w="2721"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30217</w:t>
            </w:r>
          </w:p>
        </w:tc>
        <w:tc>
          <w:tcPr>
            <w:tcW w:w="340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公务接待费</w:t>
            </w:r>
          </w:p>
        </w:tc>
        <w:tc>
          <w:tcPr>
            <w:tcW w:w="2977"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2.00 </w:t>
            </w:r>
          </w:p>
        </w:tc>
      </w:tr>
      <w:tr>
        <w:tblPrEx>
          <w:tblCellMar>
            <w:top w:w="0" w:type="dxa"/>
            <w:left w:w="108" w:type="dxa"/>
            <w:bottom w:w="0" w:type="dxa"/>
            <w:right w:w="108" w:type="dxa"/>
          </w:tblCellMar>
        </w:tblPrEx>
        <w:trPr>
          <w:trHeight w:val="705" w:hRule="atLeast"/>
          <w:jc w:val="center"/>
        </w:trPr>
        <w:tc>
          <w:tcPr>
            <w:tcW w:w="2721" w:type="dxa"/>
            <w:tcBorders>
              <w:top w:val="single" w:color="auto" w:sz="6" w:space="0"/>
              <w:left w:val="single" w:color="auto" w:sz="6" w:space="0"/>
              <w:bottom w:val="single" w:color="auto" w:sz="6" w:space="0"/>
              <w:right w:val="single" w:color="auto" w:sz="6" w:space="0"/>
            </w:tcBorders>
            <w:shd w:val="clear" w:color="auto" w:fill="auto"/>
            <w:noWrap/>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30228</w:t>
            </w:r>
          </w:p>
        </w:tc>
        <w:tc>
          <w:tcPr>
            <w:tcW w:w="340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工会经费</w:t>
            </w:r>
          </w:p>
        </w:tc>
        <w:tc>
          <w:tcPr>
            <w:tcW w:w="2977"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5.40 </w:t>
            </w:r>
          </w:p>
        </w:tc>
      </w:tr>
      <w:tr>
        <w:tblPrEx>
          <w:tblCellMar>
            <w:top w:w="0" w:type="dxa"/>
            <w:left w:w="108" w:type="dxa"/>
            <w:bottom w:w="0" w:type="dxa"/>
            <w:right w:w="108" w:type="dxa"/>
          </w:tblCellMar>
        </w:tblPrEx>
        <w:trPr>
          <w:trHeight w:val="705" w:hRule="atLeast"/>
          <w:jc w:val="center"/>
        </w:trPr>
        <w:tc>
          <w:tcPr>
            <w:tcW w:w="272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30229</w:t>
            </w:r>
          </w:p>
        </w:tc>
        <w:tc>
          <w:tcPr>
            <w:tcW w:w="340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福利费</w:t>
            </w:r>
          </w:p>
        </w:tc>
        <w:tc>
          <w:tcPr>
            <w:tcW w:w="2977"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0.72 </w:t>
            </w:r>
          </w:p>
        </w:tc>
      </w:tr>
      <w:tr>
        <w:tblPrEx>
          <w:tblCellMar>
            <w:top w:w="0" w:type="dxa"/>
            <w:left w:w="108" w:type="dxa"/>
            <w:bottom w:w="0" w:type="dxa"/>
            <w:right w:w="108" w:type="dxa"/>
          </w:tblCellMar>
        </w:tblPrEx>
        <w:trPr>
          <w:trHeight w:val="705" w:hRule="atLeast"/>
          <w:jc w:val="center"/>
        </w:trPr>
        <w:tc>
          <w:tcPr>
            <w:tcW w:w="2721"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30239</w:t>
            </w:r>
          </w:p>
        </w:tc>
        <w:tc>
          <w:tcPr>
            <w:tcW w:w="3402"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rPr>
                <w:rFonts w:cs="宋体"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其他交通费用</w:t>
            </w:r>
          </w:p>
        </w:tc>
        <w:tc>
          <w:tcPr>
            <w:tcW w:w="2977" w:type="dxa"/>
            <w:tcBorders>
              <w:top w:val="single" w:color="auto" w:sz="6" w:space="0"/>
              <w:left w:val="single" w:color="auto" w:sz="6" w:space="0"/>
              <w:bottom w:val="single" w:color="auto" w:sz="6" w:space="0"/>
              <w:right w:val="single" w:color="auto" w:sz="6" w:space="0"/>
            </w:tcBorders>
            <w:shd w:val="clear" w:color="auto" w:fill="auto"/>
            <w:vAlign w:val="center"/>
          </w:tcPr>
          <w:p>
            <w:pPr>
              <w:ind w:firstLine="480"/>
              <w:jc w:val="right"/>
              <w:rPr>
                <w:rFonts w:cs="宋体" w:asciiTheme="minorEastAsia" w:hAnsiTheme="minorEastAsia" w:eastAsiaTheme="minorEastAsia"/>
                <w:sz w:val="24"/>
                <w:szCs w:val="24"/>
              </w:rPr>
            </w:pPr>
            <w:r>
              <w:rPr>
                <w:rFonts w:hint="eastAsia" w:asciiTheme="minorEastAsia" w:hAnsiTheme="minorEastAsia" w:eastAsiaTheme="minorEastAsia"/>
                <w:sz w:val="24"/>
                <w:szCs w:val="24"/>
              </w:rPr>
              <w:t xml:space="preserve">25.24 </w:t>
            </w:r>
          </w:p>
        </w:tc>
      </w:tr>
    </w:tbl>
    <w:p>
      <w:pPr>
        <w:adjustRightInd w:val="0"/>
        <w:snapToGrid w:val="0"/>
        <w:spacing w:line="560" w:lineRule="exact"/>
        <w:ind w:firstLine="0" w:firstLineChars="0"/>
      </w:pPr>
      <w:r>
        <w:rPr>
          <w:rFonts w:hint="eastAsia" w:cs="宋体" w:asciiTheme="minorEastAsia" w:hAnsiTheme="minorEastAsia" w:eastAsiaTheme="minorEastAsia"/>
          <w:color w:val="000000"/>
          <w:kern w:val="0"/>
          <w:sz w:val="24"/>
          <w:szCs w:val="24"/>
        </w:rPr>
        <w:t xml:space="preserve">备注：一般公共预算机关运行费支出安排数与表九中的 </w:t>
      </w:r>
      <w:r>
        <w:rPr>
          <w:rFonts w:cs="Arial" w:asciiTheme="minorEastAsia" w:hAnsiTheme="minorEastAsia" w:eastAsiaTheme="minorEastAsia"/>
          <w:color w:val="000000"/>
          <w:kern w:val="0"/>
          <w:sz w:val="24"/>
          <w:szCs w:val="24"/>
        </w:rPr>
        <w:t xml:space="preserve">“ </w:t>
      </w:r>
      <w:r>
        <w:rPr>
          <w:rFonts w:hint="eastAsia" w:cs="宋体" w:asciiTheme="minorEastAsia" w:hAnsiTheme="minorEastAsia" w:eastAsiaTheme="minorEastAsia"/>
          <w:color w:val="000000"/>
          <w:kern w:val="0"/>
          <w:sz w:val="24"/>
          <w:szCs w:val="24"/>
        </w:rPr>
        <w:t xml:space="preserve">商品和服务支出 </w:t>
      </w:r>
      <w:r>
        <w:rPr>
          <w:rFonts w:cs="Arial" w:asciiTheme="minorEastAsia" w:hAnsiTheme="minorEastAsia" w:eastAsiaTheme="minorEastAsia"/>
          <w:color w:val="000000"/>
          <w:kern w:val="0"/>
          <w:sz w:val="24"/>
          <w:szCs w:val="24"/>
        </w:rPr>
        <w:t xml:space="preserve">” </w:t>
      </w:r>
      <w:r>
        <w:rPr>
          <w:rFonts w:hint="eastAsia" w:cs="宋体" w:asciiTheme="minorEastAsia" w:hAnsiTheme="minorEastAsia" w:eastAsiaTheme="minorEastAsia"/>
          <w:color w:val="000000"/>
          <w:kern w:val="0"/>
          <w:sz w:val="24"/>
          <w:szCs w:val="24"/>
        </w:rPr>
        <w:t>支出数一致并按照政府收支分类科目的经济分类“款”级细化列示。在财政部有明确规定前，“机关运行经费”暂指基本支出中一般公共预算安排的“商品和服务支出”经费。</w:t>
      </w:r>
    </w:p>
    <w:p>
      <w:pPr>
        <w:adjustRightInd w:val="0"/>
        <w:snapToGrid w:val="0"/>
        <w:spacing w:line="560" w:lineRule="exact"/>
        <w:ind w:firstLine="0" w:firstLineChars="0"/>
      </w:pPr>
    </w:p>
    <w:p>
      <w:pPr>
        <w:adjustRightInd w:val="0"/>
        <w:snapToGrid w:val="0"/>
        <w:spacing w:line="560" w:lineRule="exact"/>
        <w:ind w:firstLine="0" w:firstLineChars="0"/>
      </w:pPr>
    </w:p>
    <w:p>
      <w:pPr>
        <w:adjustRightInd w:val="0"/>
        <w:snapToGrid w:val="0"/>
        <w:spacing w:line="560" w:lineRule="exact"/>
        <w:ind w:firstLine="0" w:firstLineChars="0"/>
        <w:rPr>
          <w:rFonts w:ascii="黑体" w:hAnsi="宋体" w:eastAsia="黑体" w:cs="宋体"/>
          <w:color w:val="000000"/>
          <w:kern w:val="0"/>
          <w:szCs w:val="32"/>
        </w:rPr>
      </w:pPr>
    </w:p>
    <w:p>
      <w:pPr>
        <w:adjustRightInd w:val="0"/>
        <w:snapToGrid w:val="0"/>
        <w:spacing w:line="560" w:lineRule="exact"/>
        <w:ind w:firstLine="0" w:firstLineChars="0"/>
        <w:rPr>
          <w:rFonts w:ascii="黑体" w:hAnsi="宋体" w:eastAsia="黑体" w:cs="宋体"/>
          <w:color w:val="000000"/>
          <w:kern w:val="0"/>
          <w:szCs w:val="32"/>
        </w:rPr>
      </w:pPr>
    </w:p>
    <w:p>
      <w:pPr>
        <w:widowControl/>
        <w:spacing w:line="560" w:lineRule="exact"/>
        <w:ind w:firstLine="0" w:firstLineChars="0"/>
        <w:jc w:val="center"/>
        <w:rPr>
          <w:rFonts w:ascii="方正小标宋简体" w:hAnsi="宋体" w:eastAsia="方正小标宋简体" w:cs="宋体"/>
          <w:kern w:val="0"/>
          <w:sz w:val="44"/>
          <w:szCs w:val="44"/>
        </w:rPr>
        <w:sectPr>
          <w:pgSz w:w="11906" w:h="16838"/>
          <w:pgMar w:top="1418" w:right="1134" w:bottom="1418" w:left="1701" w:header="709" w:footer="1361" w:gutter="0"/>
          <w:cols w:space="425" w:num="1"/>
          <w:docGrid w:linePitch="435" w:charSpace="0"/>
        </w:sectPr>
      </w:pPr>
    </w:p>
    <w:p>
      <w:pPr>
        <w:widowControl/>
        <w:spacing w:line="560" w:lineRule="exact"/>
        <w:ind w:firstLine="0" w:firstLineChars="0"/>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 xml:space="preserve">2017年度常州市人民政府外事办公室                             </w:t>
      </w:r>
    </w:p>
    <w:p>
      <w:pPr>
        <w:widowControl/>
        <w:spacing w:line="560" w:lineRule="exact"/>
        <w:ind w:firstLine="0" w:firstLineChars="0"/>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财政拨款“三公”经费、会议费、培训费支出预算表</w:t>
      </w:r>
    </w:p>
    <w:tbl>
      <w:tblPr>
        <w:tblStyle w:val="4"/>
        <w:tblW w:w="567" w:type="dxa"/>
        <w:jc w:val="center"/>
        <w:tblLayout w:type="autofit"/>
        <w:tblCellMar>
          <w:top w:w="0" w:type="dxa"/>
          <w:left w:w="108" w:type="dxa"/>
          <w:bottom w:w="0" w:type="dxa"/>
          <w:right w:w="108" w:type="dxa"/>
        </w:tblCellMar>
      </w:tblPr>
      <w:tblGrid>
        <w:gridCol w:w="2322"/>
        <w:gridCol w:w="1622"/>
        <w:gridCol w:w="1852"/>
        <w:gridCol w:w="2005"/>
        <w:gridCol w:w="2603"/>
        <w:gridCol w:w="1400"/>
        <w:gridCol w:w="1136"/>
        <w:gridCol w:w="1196"/>
      </w:tblGrid>
      <w:tr>
        <w:tblPrEx>
          <w:tblCellMar>
            <w:top w:w="0" w:type="dxa"/>
            <w:left w:w="108" w:type="dxa"/>
            <w:bottom w:w="0" w:type="dxa"/>
            <w:right w:w="108" w:type="dxa"/>
          </w:tblCellMar>
        </w:tblPrEx>
        <w:trPr>
          <w:trHeight w:val="431" w:hRule="atLeast"/>
          <w:jc w:val="center"/>
        </w:trPr>
        <w:tc>
          <w:tcPr>
            <w:tcW w:w="2322" w:type="dxa"/>
            <w:tcBorders>
              <w:top w:val="nil"/>
              <w:left w:val="nil"/>
              <w:bottom w:val="single" w:color="auto" w:sz="6" w:space="0"/>
              <w:right w:val="nil"/>
            </w:tcBorders>
            <w:shd w:val="clear" w:color="auto" w:fill="auto"/>
            <w:noWrap/>
            <w:vAlign w:val="bottom"/>
          </w:tcPr>
          <w:p>
            <w:pPr>
              <w:widowControl/>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公开表十一</w:t>
            </w:r>
          </w:p>
        </w:tc>
        <w:tc>
          <w:tcPr>
            <w:tcW w:w="1622" w:type="dxa"/>
            <w:tcBorders>
              <w:top w:val="nil"/>
              <w:left w:val="nil"/>
              <w:bottom w:val="single" w:color="auto" w:sz="6" w:space="0"/>
              <w:right w:val="nil"/>
            </w:tcBorders>
            <w:shd w:val="clear" w:color="auto" w:fill="auto"/>
            <w:noWrap/>
            <w:vAlign w:val="bottom"/>
          </w:tcPr>
          <w:p>
            <w:pPr>
              <w:widowControl/>
              <w:ind w:firstLine="0" w:firstLineChars="0"/>
              <w:jc w:val="left"/>
              <w:rPr>
                <w:rFonts w:ascii="宋体" w:hAnsi="宋体" w:eastAsia="宋体" w:cs="宋体"/>
                <w:color w:val="000000"/>
                <w:kern w:val="0"/>
                <w:sz w:val="24"/>
                <w:szCs w:val="24"/>
              </w:rPr>
            </w:pPr>
          </w:p>
        </w:tc>
        <w:tc>
          <w:tcPr>
            <w:tcW w:w="1852" w:type="dxa"/>
            <w:tcBorders>
              <w:top w:val="nil"/>
              <w:left w:val="nil"/>
              <w:bottom w:val="single" w:color="auto" w:sz="6" w:space="0"/>
              <w:right w:val="nil"/>
            </w:tcBorders>
            <w:shd w:val="clear" w:color="auto" w:fill="auto"/>
            <w:noWrap/>
            <w:vAlign w:val="bottom"/>
          </w:tcPr>
          <w:p>
            <w:pPr>
              <w:widowControl/>
              <w:ind w:firstLine="0" w:firstLineChars="0"/>
              <w:jc w:val="left"/>
              <w:rPr>
                <w:rFonts w:ascii="宋体" w:hAnsi="宋体" w:eastAsia="宋体" w:cs="宋体"/>
                <w:color w:val="000000"/>
                <w:kern w:val="0"/>
                <w:sz w:val="24"/>
                <w:szCs w:val="24"/>
              </w:rPr>
            </w:pPr>
          </w:p>
        </w:tc>
        <w:tc>
          <w:tcPr>
            <w:tcW w:w="2005" w:type="dxa"/>
            <w:tcBorders>
              <w:top w:val="nil"/>
              <w:left w:val="nil"/>
              <w:bottom w:val="single" w:color="auto" w:sz="6" w:space="0"/>
              <w:right w:val="nil"/>
            </w:tcBorders>
            <w:shd w:val="clear" w:color="auto" w:fill="auto"/>
            <w:noWrap/>
            <w:vAlign w:val="bottom"/>
          </w:tcPr>
          <w:p>
            <w:pPr>
              <w:widowControl/>
              <w:ind w:firstLine="0" w:firstLineChars="0"/>
              <w:jc w:val="left"/>
              <w:rPr>
                <w:rFonts w:ascii="宋体" w:hAnsi="宋体" w:eastAsia="宋体" w:cs="宋体"/>
                <w:color w:val="000000"/>
                <w:kern w:val="0"/>
                <w:sz w:val="24"/>
                <w:szCs w:val="24"/>
              </w:rPr>
            </w:pPr>
          </w:p>
        </w:tc>
        <w:tc>
          <w:tcPr>
            <w:tcW w:w="2603" w:type="dxa"/>
            <w:tcBorders>
              <w:top w:val="nil"/>
              <w:left w:val="nil"/>
              <w:bottom w:val="single" w:color="auto" w:sz="6" w:space="0"/>
              <w:right w:val="nil"/>
            </w:tcBorders>
            <w:shd w:val="clear" w:color="auto" w:fill="auto"/>
            <w:noWrap/>
            <w:vAlign w:val="bottom"/>
          </w:tcPr>
          <w:p>
            <w:pPr>
              <w:widowControl/>
              <w:ind w:firstLine="0" w:firstLineChars="0"/>
              <w:jc w:val="left"/>
              <w:rPr>
                <w:rFonts w:ascii="宋体" w:hAnsi="宋体" w:eastAsia="宋体" w:cs="宋体"/>
                <w:color w:val="000000"/>
                <w:kern w:val="0"/>
                <w:sz w:val="24"/>
                <w:szCs w:val="24"/>
              </w:rPr>
            </w:pPr>
          </w:p>
        </w:tc>
        <w:tc>
          <w:tcPr>
            <w:tcW w:w="1400" w:type="dxa"/>
            <w:tcBorders>
              <w:top w:val="nil"/>
              <w:left w:val="nil"/>
              <w:bottom w:val="single" w:color="auto" w:sz="6" w:space="0"/>
              <w:right w:val="nil"/>
            </w:tcBorders>
            <w:shd w:val="clear" w:color="auto" w:fill="auto"/>
            <w:noWrap/>
            <w:vAlign w:val="bottom"/>
          </w:tcPr>
          <w:p>
            <w:pPr>
              <w:widowControl/>
              <w:ind w:firstLine="0" w:firstLineChars="0"/>
              <w:jc w:val="right"/>
              <w:rPr>
                <w:rFonts w:ascii="宋体" w:hAnsi="宋体" w:eastAsia="宋体" w:cs="宋体"/>
                <w:color w:val="000000"/>
                <w:kern w:val="0"/>
                <w:sz w:val="24"/>
                <w:szCs w:val="24"/>
              </w:rPr>
            </w:pPr>
          </w:p>
        </w:tc>
        <w:tc>
          <w:tcPr>
            <w:tcW w:w="2332" w:type="dxa"/>
            <w:gridSpan w:val="2"/>
            <w:tcBorders>
              <w:top w:val="nil"/>
              <w:left w:val="nil"/>
              <w:bottom w:val="single" w:color="auto" w:sz="6" w:space="0"/>
              <w:right w:val="nil"/>
            </w:tcBorders>
            <w:shd w:val="clear" w:color="auto" w:fill="auto"/>
            <w:noWrap/>
            <w:vAlign w:val="bottom"/>
          </w:tcPr>
          <w:p>
            <w:pPr>
              <w:widowControl/>
              <w:ind w:firstLine="0" w:firstLineChars="0"/>
              <w:jc w:val="right"/>
              <w:rPr>
                <w:rFonts w:ascii="宋体" w:hAnsi="宋体" w:eastAsia="宋体" w:cs="宋体"/>
                <w:color w:val="000000"/>
                <w:kern w:val="0"/>
                <w:sz w:val="24"/>
                <w:szCs w:val="24"/>
              </w:rPr>
            </w:pPr>
            <w:r>
              <w:rPr>
                <w:rFonts w:hint="eastAsia" w:ascii="宋体" w:hAnsi="宋体" w:eastAsia="宋体" w:cs="宋体"/>
                <w:color w:val="000000"/>
                <w:kern w:val="0"/>
                <w:sz w:val="24"/>
                <w:szCs w:val="24"/>
              </w:rPr>
              <w:t>单位：万元</w:t>
            </w:r>
          </w:p>
        </w:tc>
      </w:tr>
      <w:tr>
        <w:tblPrEx>
          <w:tblCellMar>
            <w:top w:w="0" w:type="dxa"/>
            <w:left w:w="108" w:type="dxa"/>
            <w:bottom w:w="0" w:type="dxa"/>
            <w:right w:w="108" w:type="dxa"/>
          </w:tblCellMar>
        </w:tblPrEx>
        <w:trPr>
          <w:trHeight w:val="671" w:hRule="atLeast"/>
          <w:jc w:val="center"/>
        </w:trPr>
        <w:tc>
          <w:tcPr>
            <w:tcW w:w="2322"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合计</w:t>
            </w:r>
          </w:p>
        </w:tc>
        <w:tc>
          <w:tcPr>
            <w:tcW w:w="1622"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因公出国（境）费</w:t>
            </w:r>
          </w:p>
        </w:tc>
        <w:tc>
          <w:tcPr>
            <w:tcW w:w="6460" w:type="dxa"/>
            <w:gridSpan w:val="3"/>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公务用车购置及运行维护费</w:t>
            </w:r>
          </w:p>
        </w:tc>
        <w:tc>
          <w:tcPr>
            <w:tcW w:w="1400"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pPr>
              <w:widowControl/>
              <w:ind w:left="-57" w:right="-57"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公务接待费</w:t>
            </w:r>
          </w:p>
        </w:tc>
        <w:tc>
          <w:tcPr>
            <w:tcW w:w="1136"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会议费</w:t>
            </w:r>
          </w:p>
        </w:tc>
        <w:tc>
          <w:tcPr>
            <w:tcW w:w="1196"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培训费</w:t>
            </w:r>
          </w:p>
        </w:tc>
      </w:tr>
      <w:tr>
        <w:tblPrEx>
          <w:tblCellMar>
            <w:top w:w="0" w:type="dxa"/>
            <w:left w:w="108" w:type="dxa"/>
            <w:bottom w:w="0" w:type="dxa"/>
            <w:right w:w="108" w:type="dxa"/>
          </w:tblCellMar>
        </w:tblPrEx>
        <w:trPr>
          <w:trHeight w:val="729" w:hRule="atLeast"/>
          <w:jc w:val="center"/>
        </w:trPr>
        <w:tc>
          <w:tcPr>
            <w:tcW w:w="2322" w:type="dxa"/>
            <w:vMerge w:val="continue"/>
            <w:tcBorders>
              <w:top w:val="single" w:color="auto" w:sz="6" w:space="0"/>
              <w:left w:val="single" w:color="auto" w:sz="6" w:space="0"/>
              <w:bottom w:val="single" w:color="auto" w:sz="6" w:space="0"/>
              <w:right w:val="single" w:color="auto" w:sz="6" w:space="0"/>
            </w:tcBorders>
            <w:vAlign w:val="center"/>
          </w:tcPr>
          <w:p>
            <w:pPr>
              <w:widowControl/>
              <w:ind w:firstLine="0" w:firstLineChars="0"/>
              <w:jc w:val="left"/>
              <w:rPr>
                <w:rFonts w:ascii="宋体" w:hAnsi="宋体" w:eastAsia="宋体" w:cs="宋体"/>
                <w:b/>
                <w:bCs/>
                <w:color w:val="000000"/>
                <w:kern w:val="0"/>
                <w:sz w:val="24"/>
                <w:szCs w:val="24"/>
              </w:rPr>
            </w:pPr>
          </w:p>
        </w:tc>
        <w:tc>
          <w:tcPr>
            <w:tcW w:w="1622" w:type="dxa"/>
            <w:vMerge w:val="continue"/>
            <w:tcBorders>
              <w:top w:val="single" w:color="auto" w:sz="6" w:space="0"/>
              <w:left w:val="single" w:color="auto" w:sz="6" w:space="0"/>
              <w:bottom w:val="single" w:color="auto" w:sz="6" w:space="0"/>
              <w:right w:val="single" w:color="auto" w:sz="6" w:space="0"/>
            </w:tcBorders>
            <w:vAlign w:val="center"/>
          </w:tcPr>
          <w:p>
            <w:pPr>
              <w:widowControl/>
              <w:ind w:firstLine="0" w:firstLineChars="0"/>
              <w:jc w:val="left"/>
              <w:rPr>
                <w:rFonts w:ascii="宋体" w:hAnsi="宋体" w:eastAsia="宋体" w:cs="宋体"/>
                <w:b/>
                <w:bCs/>
                <w:color w:val="000000"/>
                <w:kern w:val="0"/>
                <w:sz w:val="24"/>
                <w:szCs w:val="24"/>
              </w:rPr>
            </w:pPr>
          </w:p>
        </w:tc>
        <w:tc>
          <w:tcPr>
            <w:tcW w:w="185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小计</w:t>
            </w:r>
          </w:p>
        </w:tc>
        <w:tc>
          <w:tcPr>
            <w:tcW w:w="20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公务用车购置费</w:t>
            </w:r>
          </w:p>
        </w:tc>
        <w:tc>
          <w:tcPr>
            <w:tcW w:w="2603"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公务用车运行维护费</w:t>
            </w:r>
          </w:p>
        </w:tc>
        <w:tc>
          <w:tcPr>
            <w:tcW w:w="1400" w:type="dxa"/>
            <w:vMerge w:val="continue"/>
            <w:tcBorders>
              <w:top w:val="single" w:color="auto" w:sz="6" w:space="0"/>
              <w:left w:val="single" w:color="auto" w:sz="6" w:space="0"/>
              <w:bottom w:val="single" w:color="auto" w:sz="6" w:space="0"/>
              <w:right w:val="single" w:color="auto" w:sz="6" w:space="0"/>
            </w:tcBorders>
            <w:vAlign w:val="center"/>
          </w:tcPr>
          <w:p>
            <w:pPr>
              <w:widowControl/>
              <w:ind w:firstLine="0" w:firstLineChars="0"/>
              <w:jc w:val="left"/>
              <w:rPr>
                <w:rFonts w:ascii="宋体" w:hAnsi="宋体" w:eastAsia="宋体" w:cs="宋体"/>
                <w:b/>
                <w:bCs/>
                <w:color w:val="000000"/>
                <w:kern w:val="0"/>
                <w:sz w:val="24"/>
                <w:szCs w:val="24"/>
              </w:rPr>
            </w:pPr>
          </w:p>
        </w:tc>
        <w:tc>
          <w:tcPr>
            <w:tcW w:w="1136" w:type="dxa"/>
            <w:vMerge w:val="continue"/>
            <w:tcBorders>
              <w:top w:val="single" w:color="auto" w:sz="6" w:space="0"/>
              <w:left w:val="single" w:color="auto" w:sz="6" w:space="0"/>
              <w:bottom w:val="single" w:color="auto" w:sz="6" w:space="0"/>
              <w:right w:val="single" w:color="auto" w:sz="6" w:space="0"/>
            </w:tcBorders>
            <w:vAlign w:val="center"/>
          </w:tcPr>
          <w:p>
            <w:pPr>
              <w:widowControl/>
              <w:ind w:firstLine="0" w:firstLineChars="0"/>
              <w:jc w:val="left"/>
              <w:rPr>
                <w:rFonts w:ascii="宋体" w:hAnsi="宋体" w:eastAsia="宋体" w:cs="宋体"/>
                <w:b/>
                <w:bCs/>
                <w:color w:val="000000"/>
                <w:kern w:val="0"/>
                <w:sz w:val="24"/>
                <w:szCs w:val="24"/>
              </w:rPr>
            </w:pPr>
          </w:p>
        </w:tc>
        <w:tc>
          <w:tcPr>
            <w:tcW w:w="1196" w:type="dxa"/>
            <w:vMerge w:val="continue"/>
            <w:tcBorders>
              <w:top w:val="single" w:color="auto" w:sz="6" w:space="0"/>
              <w:left w:val="single" w:color="auto" w:sz="6" w:space="0"/>
              <w:bottom w:val="single" w:color="auto" w:sz="6" w:space="0"/>
              <w:right w:val="single" w:color="auto" w:sz="6" w:space="0"/>
            </w:tcBorders>
            <w:vAlign w:val="center"/>
          </w:tcPr>
          <w:p>
            <w:pPr>
              <w:widowControl/>
              <w:ind w:firstLine="0" w:firstLineChars="0"/>
              <w:jc w:val="left"/>
              <w:rPr>
                <w:rFonts w:ascii="宋体" w:hAnsi="宋体" w:eastAsia="宋体" w:cs="宋体"/>
                <w:b/>
                <w:bCs/>
                <w:color w:val="000000"/>
                <w:kern w:val="0"/>
                <w:sz w:val="24"/>
                <w:szCs w:val="24"/>
              </w:rPr>
            </w:pPr>
          </w:p>
        </w:tc>
      </w:tr>
      <w:tr>
        <w:tblPrEx>
          <w:tblCellMar>
            <w:top w:w="0" w:type="dxa"/>
            <w:left w:w="108" w:type="dxa"/>
            <w:bottom w:w="0" w:type="dxa"/>
            <w:right w:w="108" w:type="dxa"/>
          </w:tblCellMar>
        </w:tblPrEx>
        <w:trPr>
          <w:trHeight w:val="846" w:hRule="atLeast"/>
          <w:jc w:val="center"/>
        </w:trPr>
        <w:tc>
          <w:tcPr>
            <w:tcW w:w="232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　41.12</w:t>
            </w:r>
          </w:p>
        </w:tc>
        <w:tc>
          <w:tcPr>
            <w:tcW w:w="162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　24</w:t>
            </w:r>
          </w:p>
        </w:tc>
        <w:tc>
          <w:tcPr>
            <w:tcW w:w="185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bCs/>
                <w:kern w:val="0"/>
                <w:sz w:val="24"/>
                <w:szCs w:val="24"/>
              </w:rPr>
            </w:pPr>
            <w:r>
              <w:rPr>
                <w:rFonts w:hint="eastAsia" w:ascii="宋体" w:hAnsi="宋体" w:eastAsia="宋体" w:cs="宋体"/>
                <w:bCs/>
                <w:kern w:val="0"/>
                <w:sz w:val="24"/>
                <w:szCs w:val="24"/>
              </w:rPr>
              <w:t>　0</w:t>
            </w:r>
          </w:p>
        </w:tc>
        <w:tc>
          <w:tcPr>
            <w:tcW w:w="20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603"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　0</w:t>
            </w:r>
          </w:p>
        </w:tc>
        <w:tc>
          <w:tcPr>
            <w:tcW w:w="1400"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　9.29</w:t>
            </w:r>
          </w:p>
        </w:tc>
        <w:tc>
          <w:tcPr>
            <w:tcW w:w="113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　2.85</w:t>
            </w:r>
          </w:p>
        </w:tc>
        <w:tc>
          <w:tcPr>
            <w:tcW w:w="119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　4.98</w:t>
            </w:r>
          </w:p>
        </w:tc>
      </w:tr>
      <w:tr>
        <w:tblPrEx>
          <w:tblCellMar>
            <w:top w:w="0" w:type="dxa"/>
            <w:left w:w="108" w:type="dxa"/>
            <w:bottom w:w="0" w:type="dxa"/>
            <w:right w:w="108" w:type="dxa"/>
          </w:tblCellMar>
        </w:tblPrEx>
        <w:trPr>
          <w:trHeight w:val="454" w:hRule="atLeast"/>
          <w:jc w:val="center"/>
        </w:trPr>
        <w:tc>
          <w:tcPr>
            <w:tcW w:w="14136" w:type="dxa"/>
            <w:gridSpan w:val="8"/>
            <w:tcBorders>
              <w:top w:val="nil"/>
              <w:left w:val="nil"/>
            </w:tcBorders>
            <w:shd w:val="clear" w:color="auto" w:fill="auto"/>
            <w:noWrap/>
            <w:vAlign w:val="center"/>
          </w:tcPr>
          <w:p>
            <w:pPr>
              <w:widowControl/>
              <w:spacing w:line="400" w:lineRule="exact"/>
              <w:ind w:firstLine="0" w:firstLineChars="0"/>
              <w:jc w:val="left"/>
              <w:rPr>
                <w:rFonts w:ascii="宋体" w:hAnsi="宋体" w:eastAsia="宋体" w:cs="宋体"/>
                <w:color w:val="000000"/>
                <w:kern w:val="0"/>
                <w:sz w:val="22"/>
                <w:szCs w:val="22"/>
              </w:rPr>
            </w:pPr>
            <w:r>
              <w:rPr>
                <w:rFonts w:hint="eastAsia" w:ascii="宋体" w:hAnsi="宋体" w:eastAsia="宋体" w:cs="宋体"/>
                <w:color w:val="000000"/>
                <w:kern w:val="0"/>
                <w:sz w:val="24"/>
                <w:szCs w:val="24"/>
              </w:rPr>
              <w:t>备注：详细情况见预算情况说明</w:t>
            </w:r>
            <w:r>
              <w:rPr>
                <w:rFonts w:hint="eastAsia" w:ascii="宋体" w:hAnsi="宋体" w:eastAsia="宋体" w:cs="宋体"/>
                <w:color w:val="000000"/>
                <w:kern w:val="0"/>
                <w:sz w:val="22"/>
                <w:szCs w:val="22"/>
              </w:rPr>
              <w:t xml:space="preserve">     </w:t>
            </w:r>
          </w:p>
        </w:tc>
      </w:tr>
    </w:tbl>
    <w:p>
      <w:pPr>
        <w:widowControl/>
        <w:tabs>
          <w:tab w:val="left" w:pos="2718"/>
          <w:tab w:val="left" w:pos="5466"/>
          <w:tab w:val="left" w:pos="7318"/>
          <w:tab w:val="left" w:pos="9323"/>
          <w:tab w:val="left" w:pos="11926"/>
          <w:tab w:val="left" w:pos="13326"/>
          <w:tab w:val="left" w:pos="14462"/>
        </w:tabs>
        <w:ind w:firstLine="0" w:firstLineChars="0"/>
        <w:jc w:val="left"/>
        <w:rPr>
          <w:rFonts w:ascii="宋体" w:hAnsi="宋体" w:eastAsia="宋体" w:cs="宋体"/>
          <w:color w:val="000000"/>
          <w:kern w:val="0"/>
          <w:sz w:val="24"/>
          <w:szCs w:val="24"/>
        </w:rPr>
        <w:sectPr>
          <w:pgSz w:w="16838" w:h="11906" w:orient="landscape"/>
          <w:pgMar w:top="1134" w:right="1418" w:bottom="1701" w:left="1418" w:header="709" w:footer="1361" w:gutter="0"/>
          <w:cols w:space="425" w:num="1"/>
          <w:docGrid w:linePitch="435" w:charSpace="0"/>
        </w:sectPr>
      </w:pPr>
    </w:p>
    <w:p>
      <w:pPr>
        <w:widowControl/>
        <w:spacing w:line="540" w:lineRule="exact"/>
        <w:ind w:firstLine="0" w:firstLineChars="0"/>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2017年常州市人民政府外事办公室         政府采购预算表</w:t>
      </w:r>
    </w:p>
    <w:tbl>
      <w:tblPr>
        <w:tblStyle w:val="4"/>
        <w:tblW w:w="9097" w:type="dxa"/>
        <w:jc w:val="center"/>
        <w:tblLayout w:type="autofit"/>
        <w:tblCellMar>
          <w:top w:w="0" w:type="dxa"/>
          <w:left w:w="108" w:type="dxa"/>
          <w:bottom w:w="0" w:type="dxa"/>
          <w:right w:w="108" w:type="dxa"/>
        </w:tblCellMar>
      </w:tblPr>
      <w:tblGrid>
        <w:gridCol w:w="2012"/>
        <w:gridCol w:w="1417"/>
        <w:gridCol w:w="1417"/>
        <w:gridCol w:w="1417"/>
        <w:gridCol w:w="1417"/>
        <w:gridCol w:w="1417"/>
      </w:tblGrid>
      <w:tr>
        <w:tblPrEx>
          <w:tblCellMar>
            <w:top w:w="0" w:type="dxa"/>
            <w:left w:w="108" w:type="dxa"/>
            <w:bottom w:w="0" w:type="dxa"/>
            <w:right w:w="108" w:type="dxa"/>
          </w:tblCellMar>
        </w:tblPrEx>
        <w:trPr>
          <w:trHeight w:val="419" w:hRule="atLeast"/>
          <w:jc w:val="center"/>
        </w:trPr>
        <w:tc>
          <w:tcPr>
            <w:tcW w:w="2012" w:type="dxa"/>
            <w:tcBorders>
              <w:top w:val="nil"/>
              <w:left w:val="nil"/>
              <w:bottom w:val="single" w:color="auto" w:sz="6" w:space="0"/>
              <w:right w:val="nil"/>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公开表十二</w:t>
            </w:r>
          </w:p>
        </w:tc>
        <w:tc>
          <w:tcPr>
            <w:tcW w:w="1417" w:type="dxa"/>
            <w:tcBorders>
              <w:top w:val="nil"/>
              <w:left w:val="nil"/>
              <w:bottom w:val="single" w:color="auto" w:sz="6" w:space="0"/>
              <w:right w:val="nil"/>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p>
        </w:tc>
        <w:tc>
          <w:tcPr>
            <w:tcW w:w="1417" w:type="dxa"/>
            <w:tcBorders>
              <w:top w:val="nil"/>
              <w:left w:val="nil"/>
              <w:bottom w:val="single" w:color="auto" w:sz="6" w:space="0"/>
              <w:right w:val="nil"/>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p>
        </w:tc>
        <w:tc>
          <w:tcPr>
            <w:tcW w:w="1417" w:type="dxa"/>
            <w:tcBorders>
              <w:top w:val="nil"/>
              <w:left w:val="nil"/>
              <w:bottom w:val="single" w:color="auto" w:sz="6" w:space="0"/>
              <w:right w:val="nil"/>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p>
        </w:tc>
        <w:tc>
          <w:tcPr>
            <w:tcW w:w="1417" w:type="dxa"/>
            <w:tcBorders>
              <w:top w:val="nil"/>
              <w:left w:val="nil"/>
              <w:bottom w:val="single" w:color="auto" w:sz="6" w:space="0"/>
              <w:right w:val="nil"/>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p>
        </w:tc>
        <w:tc>
          <w:tcPr>
            <w:tcW w:w="1417" w:type="dxa"/>
            <w:tcBorders>
              <w:top w:val="nil"/>
              <w:left w:val="nil"/>
              <w:bottom w:val="single" w:color="auto" w:sz="6" w:space="0"/>
              <w:right w:val="nil"/>
            </w:tcBorders>
            <w:shd w:val="clear" w:color="auto" w:fill="auto"/>
            <w:noWrap/>
            <w:vAlign w:val="center"/>
          </w:tcPr>
          <w:p>
            <w:pPr>
              <w:widowControl/>
              <w:ind w:firstLine="0" w:firstLineChars="0"/>
              <w:jc w:val="righ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单位：万元</w:t>
            </w:r>
          </w:p>
        </w:tc>
      </w:tr>
      <w:tr>
        <w:tblPrEx>
          <w:tblCellMar>
            <w:top w:w="0" w:type="dxa"/>
            <w:left w:w="108" w:type="dxa"/>
            <w:bottom w:w="0" w:type="dxa"/>
            <w:right w:w="108" w:type="dxa"/>
          </w:tblCellMar>
        </w:tblPrEx>
        <w:trPr>
          <w:trHeight w:val="905" w:hRule="atLeast"/>
          <w:jc w:val="center"/>
        </w:trPr>
        <w:tc>
          <w:tcPr>
            <w:tcW w:w="201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color w:val="000000"/>
                <w:kern w:val="0"/>
                <w:sz w:val="24"/>
                <w:szCs w:val="24"/>
              </w:rPr>
            </w:pPr>
            <w:r>
              <w:rPr>
                <w:rFonts w:hint="eastAsia" w:cs="宋体" w:asciiTheme="minorEastAsia" w:hAnsiTheme="minorEastAsia" w:eastAsiaTheme="minorEastAsia"/>
                <w:b/>
                <w:bCs/>
                <w:color w:val="000000"/>
                <w:kern w:val="0"/>
                <w:sz w:val="24"/>
                <w:szCs w:val="24"/>
              </w:rPr>
              <w:t>采购品目大类</w:t>
            </w:r>
          </w:p>
        </w:tc>
        <w:tc>
          <w:tcPr>
            <w:tcW w:w="1417"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color w:val="000000"/>
                <w:kern w:val="0"/>
                <w:sz w:val="24"/>
                <w:szCs w:val="24"/>
              </w:rPr>
            </w:pPr>
            <w:r>
              <w:rPr>
                <w:rFonts w:hint="eastAsia" w:cs="宋体" w:asciiTheme="minorEastAsia" w:hAnsiTheme="minorEastAsia" w:eastAsiaTheme="minorEastAsia"/>
                <w:b/>
                <w:bCs/>
                <w:color w:val="000000"/>
                <w:kern w:val="0"/>
                <w:sz w:val="24"/>
                <w:szCs w:val="24"/>
              </w:rPr>
              <w:t>专项名称</w:t>
            </w:r>
          </w:p>
        </w:tc>
        <w:tc>
          <w:tcPr>
            <w:tcW w:w="1417"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color w:val="000000"/>
                <w:kern w:val="0"/>
                <w:sz w:val="24"/>
                <w:szCs w:val="24"/>
              </w:rPr>
            </w:pPr>
            <w:r>
              <w:rPr>
                <w:rFonts w:hint="eastAsia" w:cs="宋体" w:asciiTheme="minorEastAsia" w:hAnsiTheme="minorEastAsia" w:eastAsiaTheme="minorEastAsia"/>
                <w:b/>
                <w:bCs/>
                <w:color w:val="000000"/>
                <w:kern w:val="0"/>
                <w:sz w:val="24"/>
                <w:szCs w:val="24"/>
              </w:rPr>
              <w:t>经济科目</w:t>
            </w:r>
          </w:p>
        </w:tc>
        <w:tc>
          <w:tcPr>
            <w:tcW w:w="1417"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color w:val="000000"/>
                <w:kern w:val="0"/>
                <w:sz w:val="24"/>
                <w:szCs w:val="24"/>
              </w:rPr>
            </w:pPr>
            <w:r>
              <w:rPr>
                <w:rFonts w:hint="eastAsia" w:cs="宋体" w:asciiTheme="minorEastAsia" w:hAnsiTheme="minorEastAsia" w:eastAsiaTheme="minorEastAsia"/>
                <w:b/>
                <w:bCs/>
                <w:color w:val="000000"/>
                <w:kern w:val="0"/>
                <w:sz w:val="24"/>
                <w:szCs w:val="24"/>
              </w:rPr>
              <w:t>采购物品名称</w:t>
            </w:r>
          </w:p>
        </w:tc>
        <w:tc>
          <w:tcPr>
            <w:tcW w:w="1417"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color w:val="000000"/>
                <w:kern w:val="0"/>
                <w:sz w:val="24"/>
                <w:szCs w:val="24"/>
              </w:rPr>
            </w:pPr>
            <w:r>
              <w:rPr>
                <w:rFonts w:hint="eastAsia" w:cs="宋体" w:asciiTheme="minorEastAsia" w:hAnsiTheme="minorEastAsia" w:eastAsiaTheme="minorEastAsia"/>
                <w:b/>
                <w:bCs/>
                <w:color w:val="000000"/>
                <w:kern w:val="0"/>
                <w:sz w:val="24"/>
                <w:szCs w:val="24"/>
              </w:rPr>
              <w:t>采购组织形式</w:t>
            </w:r>
          </w:p>
        </w:tc>
        <w:tc>
          <w:tcPr>
            <w:tcW w:w="1417"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ind w:firstLine="0" w:firstLineChars="0"/>
              <w:jc w:val="center"/>
              <w:rPr>
                <w:rFonts w:cs="宋体" w:asciiTheme="minorEastAsia" w:hAnsiTheme="minorEastAsia" w:eastAsiaTheme="minorEastAsia"/>
                <w:b/>
                <w:bCs/>
                <w:color w:val="000000"/>
                <w:kern w:val="0"/>
                <w:sz w:val="24"/>
                <w:szCs w:val="24"/>
              </w:rPr>
            </w:pPr>
            <w:r>
              <w:rPr>
                <w:rFonts w:hint="eastAsia" w:cs="宋体" w:asciiTheme="minorEastAsia" w:hAnsiTheme="minorEastAsia" w:eastAsiaTheme="minorEastAsia"/>
                <w:b/>
                <w:bCs/>
                <w:color w:val="000000"/>
                <w:kern w:val="0"/>
                <w:sz w:val="24"/>
                <w:szCs w:val="24"/>
              </w:rPr>
              <w:t>总计</w:t>
            </w:r>
          </w:p>
        </w:tc>
      </w:tr>
      <w:tr>
        <w:tblPrEx>
          <w:tblCellMar>
            <w:top w:w="0" w:type="dxa"/>
            <w:left w:w="108" w:type="dxa"/>
            <w:bottom w:w="0" w:type="dxa"/>
            <w:right w:w="108" w:type="dxa"/>
          </w:tblCellMar>
        </w:tblPrEx>
        <w:trPr>
          <w:trHeight w:val="454" w:hRule="atLeast"/>
          <w:jc w:val="center"/>
        </w:trPr>
        <w:tc>
          <w:tcPr>
            <w:tcW w:w="201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合计</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r>
      <w:tr>
        <w:tblPrEx>
          <w:tblCellMar>
            <w:top w:w="0" w:type="dxa"/>
            <w:left w:w="108" w:type="dxa"/>
            <w:bottom w:w="0" w:type="dxa"/>
            <w:right w:w="108" w:type="dxa"/>
          </w:tblCellMar>
        </w:tblPrEx>
        <w:trPr>
          <w:trHeight w:val="454" w:hRule="atLeast"/>
          <w:jc w:val="center"/>
        </w:trPr>
        <w:tc>
          <w:tcPr>
            <w:tcW w:w="201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一、货物</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r>
      <w:tr>
        <w:tblPrEx>
          <w:tblCellMar>
            <w:top w:w="0" w:type="dxa"/>
            <w:left w:w="108" w:type="dxa"/>
            <w:bottom w:w="0" w:type="dxa"/>
            <w:right w:w="108" w:type="dxa"/>
          </w:tblCellMar>
        </w:tblPrEx>
        <w:trPr>
          <w:trHeight w:val="454" w:hRule="atLeast"/>
          <w:jc w:val="center"/>
        </w:trPr>
        <w:tc>
          <w:tcPr>
            <w:tcW w:w="201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r>
      <w:tr>
        <w:tblPrEx>
          <w:tblCellMar>
            <w:top w:w="0" w:type="dxa"/>
            <w:left w:w="108" w:type="dxa"/>
            <w:bottom w:w="0" w:type="dxa"/>
            <w:right w:w="108" w:type="dxa"/>
          </w:tblCellMar>
        </w:tblPrEx>
        <w:trPr>
          <w:trHeight w:val="454" w:hRule="atLeast"/>
          <w:jc w:val="center"/>
        </w:trPr>
        <w:tc>
          <w:tcPr>
            <w:tcW w:w="201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r>
      <w:tr>
        <w:tblPrEx>
          <w:tblCellMar>
            <w:top w:w="0" w:type="dxa"/>
            <w:left w:w="108" w:type="dxa"/>
            <w:bottom w:w="0" w:type="dxa"/>
            <w:right w:w="108" w:type="dxa"/>
          </w:tblCellMar>
        </w:tblPrEx>
        <w:trPr>
          <w:trHeight w:val="454" w:hRule="atLeast"/>
          <w:jc w:val="center"/>
        </w:trPr>
        <w:tc>
          <w:tcPr>
            <w:tcW w:w="201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r>
      <w:tr>
        <w:tblPrEx>
          <w:tblCellMar>
            <w:top w:w="0" w:type="dxa"/>
            <w:left w:w="108" w:type="dxa"/>
            <w:bottom w:w="0" w:type="dxa"/>
            <w:right w:w="108" w:type="dxa"/>
          </w:tblCellMar>
        </w:tblPrEx>
        <w:trPr>
          <w:trHeight w:val="454" w:hRule="atLeast"/>
          <w:jc w:val="center"/>
        </w:trPr>
        <w:tc>
          <w:tcPr>
            <w:tcW w:w="201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r>
      <w:tr>
        <w:tblPrEx>
          <w:tblCellMar>
            <w:top w:w="0" w:type="dxa"/>
            <w:left w:w="108" w:type="dxa"/>
            <w:bottom w:w="0" w:type="dxa"/>
            <w:right w:w="108" w:type="dxa"/>
          </w:tblCellMar>
        </w:tblPrEx>
        <w:trPr>
          <w:trHeight w:val="454" w:hRule="atLeast"/>
          <w:jc w:val="center"/>
        </w:trPr>
        <w:tc>
          <w:tcPr>
            <w:tcW w:w="201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r>
      <w:tr>
        <w:tblPrEx>
          <w:tblCellMar>
            <w:top w:w="0" w:type="dxa"/>
            <w:left w:w="108" w:type="dxa"/>
            <w:bottom w:w="0" w:type="dxa"/>
            <w:right w:w="108" w:type="dxa"/>
          </w:tblCellMar>
        </w:tblPrEx>
        <w:trPr>
          <w:trHeight w:val="454" w:hRule="atLeast"/>
          <w:jc w:val="center"/>
        </w:trPr>
        <w:tc>
          <w:tcPr>
            <w:tcW w:w="201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二、工程</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r>
      <w:tr>
        <w:tblPrEx>
          <w:tblCellMar>
            <w:top w:w="0" w:type="dxa"/>
            <w:left w:w="108" w:type="dxa"/>
            <w:bottom w:w="0" w:type="dxa"/>
            <w:right w:w="108" w:type="dxa"/>
          </w:tblCellMar>
        </w:tblPrEx>
        <w:trPr>
          <w:trHeight w:val="454" w:hRule="atLeast"/>
          <w:jc w:val="center"/>
        </w:trPr>
        <w:tc>
          <w:tcPr>
            <w:tcW w:w="201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r>
      <w:tr>
        <w:tblPrEx>
          <w:tblCellMar>
            <w:top w:w="0" w:type="dxa"/>
            <w:left w:w="108" w:type="dxa"/>
            <w:bottom w:w="0" w:type="dxa"/>
            <w:right w:w="108" w:type="dxa"/>
          </w:tblCellMar>
        </w:tblPrEx>
        <w:trPr>
          <w:trHeight w:val="454" w:hRule="atLeast"/>
          <w:jc w:val="center"/>
        </w:trPr>
        <w:tc>
          <w:tcPr>
            <w:tcW w:w="201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r>
      <w:tr>
        <w:tblPrEx>
          <w:tblCellMar>
            <w:top w:w="0" w:type="dxa"/>
            <w:left w:w="108" w:type="dxa"/>
            <w:bottom w:w="0" w:type="dxa"/>
            <w:right w:w="108" w:type="dxa"/>
          </w:tblCellMar>
        </w:tblPrEx>
        <w:trPr>
          <w:trHeight w:val="454" w:hRule="atLeast"/>
          <w:jc w:val="center"/>
        </w:trPr>
        <w:tc>
          <w:tcPr>
            <w:tcW w:w="201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r>
      <w:tr>
        <w:tblPrEx>
          <w:tblCellMar>
            <w:top w:w="0" w:type="dxa"/>
            <w:left w:w="108" w:type="dxa"/>
            <w:bottom w:w="0" w:type="dxa"/>
            <w:right w:w="108" w:type="dxa"/>
          </w:tblCellMar>
        </w:tblPrEx>
        <w:trPr>
          <w:trHeight w:val="454" w:hRule="atLeast"/>
          <w:jc w:val="center"/>
        </w:trPr>
        <w:tc>
          <w:tcPr>
            <w:tcW w:w="201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r>
      <w:tr>
        <w:tblPrEx>
          <w:tblCellMar>
            <w:top w:w="0" w:type="dxa"/>
            <w:left w:w="108" w:type="dxa"/>
            <w:bottom w:w="0" w:type="dxa"/>
            <w:right w:w="108" w:type="dxa"/>
          </w:tblCellMar>
        </w:tblPrEx>
        <w:trPr>
          <w:trHeight w:val="454" w:hRule="atLeast"/>
          <w:jc w:val="center"/>
        </w:trPr>
        <w:tc>
          <w:tcPr>
            <w:tcW w:w="201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r>
      <w:tr>
        <w:tblPrEx>
          <w:tblCellMar>
            <w:top w:w="0" w:type="dxa"/>
            <w:left w:w="108" w:type="dxa"/>
            <w:bottom w:w="0" w:type="dxa"/>
            <w:right w:w="108" w:type="dxa"/>
          </w:tblCellMar>
        </w:tblPrEx>
        <w:trPr>
          <w:trHeight w:val="454" w:hRule="atLeast"/>
          <w:jc w:val="center"/>
        </w:trPr>
        <w:tc>
          <w:tcPr>
            <w:tcW w:w="201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三、服务</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r>
      <w:tr>
        <w:tblPrEx>
          <w:tblCellMar>
            <w:top w:w="0" w:type="dxa"/>
            <w:left w:w="108" w:type="dxa"/>
            <w:bottom w:w="0" w:type="dxa"/>
            <w:right w:w="108" w:type="dxa"/>
          </w:tblCellMar>
        </w:tblPrEx>
        <w:trPr>
          <w:trHeight w:val="454" w:hRule="atLeast"/>
          <w:jc w:val="center"/>
        </w:trPr>
        <w:tc>
          <w:tcPr>
            <w:tcW w:w="201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r>
      <w:tr>
        <w:tblPrEx>
          <w:tblCellMar>
            <w:top w:w="0" w:type="dxa"/>
            <w:left w:w="108" w:type="dxa"/>
            <w:bottom w:w="0" w:type="dxa"/>
            <w:right w:w="108" w:type="dxa"/>
          </w:tblCellMar>
        </w:tblPrEx>
        <w:trPr>
          <w:trHeight w:val="454" w:hRule="atLeast"/>
          <w:jc w:val="center"/>
        </w:trPr>
        <w:tc>
          <w:tcPr>
            <w:tcW w:w="201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r>
      <w:tr>
        <w:tblPrEx>
          <w:tblCellMar>
            <w:top w:w="0" w:type="dxa"/>
            <w:left w:w="108" w:type="dxa"/>
            <w:bottom w:w="0" w:type="dxa"/>
            <w:right w:w="108" w:type="dxa"/>
          </w:tblCellMar>
        </w:tblPrEx>
        <w:trPr>
          <w:trHeight w:val="454" w:hRule="atLeast"/>
          <w:jc w:val="center"/>
        </w:trPr>
        <w:tc>
          <w:tcPr>
            <w:tcW w:w="201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r>
      <w:tr>
        <w:tblPrEx>
          <w:tblCellMar>
            <w:top w:w="0" w:type="dxa"/>
            <w:left w:w="108" w:type="dxa"/>
            <w:bottom w:w="0" w:type="dxa"/>
            <w:right w:w="108" w:type="dxa"/>
          </w:tblCellMar>
        </w:tblPrEx>
        <w:trPr>
          <w:trHeight w:val="454" w:hRule="atLeast"/>
          <w:jc w:val="center"/>
        </w:trPr>
        <w:tc>
          <w:tcPr>
            <w:tcW w:w="201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c>
          <w:tcPr>
            <w:tcW w:w="141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ind w:firstLine="0" w:firstLineChars="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　</w:t>
            </w:r>
          </w:p>
        </w:tc>
      </w:tr>
    </w:tbl>
    <w:p>
      <w:pPr>
        <w:widowControl/>
        <w:tabs>
          <w:tab w:val="left" w:pos="6263"/>
          <w:tab w:val="left" w:pos="7680"/>
        </w:tabs>
        <w:spacing w:line="400" w:lineRule="exact"/>
        <w:ind w:firstLine="0" w:firstLineChars="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备注：1、采购组织形式为：集中采购、部门集中采购和分散采购</w:t>
      </w:r>
      <w:r>
        <w:rPr>
          <w:rFonts w:ascii="宋体" w:hAnsi="宋体" w:eastAsia="宋体" w:cs="宋体"/>
          <w:color w:val="000000"/>
          <w:kern w:val="0"/>
          <w:sz w:val="24"/>
          <w:szCs w:val="24"/>
        </w:rPr>
        <w:tab/>
      </w:r>
      <w:r>
        <w:rPr>
          <w:rFonts w:ascii="宋体" w:hAnsi="宋体" w:eastAsia="宋体" w:cs="宋体"/>
          <w:color w:val="000000"/>
          <w:kern w:val="0"/>
          <w:sz w:val="24"/>
          <w:szCs w:val="24"/>
        </w:rPr>
        <w:tab/>
      </w:r>
    </w:p>
    <w:p>
      <w:pPr>
        <w:widowControl/>
        <w:spacing w:line="400" w:lineRule="exact"/>
        <w:ind w:left="1080" w:hanging="1080" w:hangingChars="450"/>
        <w:jc w:val="left"/>
      </w:pPr>
      <w:r>
        <w:rPr>
          <w:rFonts w:hint="eastAsia" w:ascii="宋体" w:hAnsi="宋体" w:eastAsia="宋体" w:cs="宋体"/>
          <w:color w:val="000000"/>
          <w:kern w:val="0"/>
          <w:sz w:val="24"/>
          <w:szCs w:val="24"/>
        </w:rPr>
        <w:t xml:space="preserve">      2、采购品目名称根据《政府采购品目分类目录》（财库【2013】189号）规定品目名称填写。</w:t>
      </w:r>
    </w:p>
    <w:p>
      <w:pPr>
        <w:ind w:firstLine="0" w:firstLineChars="0"/>
        <w:rPr>
          <w:snapToGrid w:val="0"/>
          <w:spacing w:val="-4"/>
          <w:kern w:val="0"/>
          <w:szCs w:val="32"/>
        </w:rPr>
      </w:pPr>
    </w:p>
    <w:p>
      <w:pPr>
        <w:ind w:firstLine="0" w:firstLineChars="0"/>
        <w:rPr>
          <w:snapToGrid w:val="0"/>
          <w:spacing w:val="-4"/>
          <w:kern w:val="0"/>
          <w:szCs w:val="32"/>
        </w:rPr>
      </w:pPr>
    </w:p>
    <w:p>
      <w:pPr>
        <w:ind w:firstLine="0" w:firstLineChars="0"/>
        <w:rPr>
          <w:snapToGrid w:val="0"/>
          <w:spacing w:val="-4"/>
          <w:kern w:val="0"/>
          <w:szCs w:val="32"/>
        </w:rPr>
      </w:pPr>
    </w:p>
    <w:p>
      <w:pPr>
        <w:ind w:firstLine="0" w:firstLineChars="0"/>
        <w:rPr>
          <w:snapToGrid w:val="0"/>
          <w:spacing w:val="-4"/>
          <w:kern w:val="0"/>
          <w:szCs w:val="32"/>
        </w:rPr>
      </w:pPr>
    </w:p>
    <w:p>
      <w:pPr>
        <w:ind w:firstLine="0" w:firstLineChars="0"/>
        <w:rPr>
          <w:snapToGrid w:val="0"/>
          <w:spacing w:val="-4"/>
          <w:kern w:val="0"/>
          <w:szCs w:val="32"/>
        </w:rPr>
      </w:pPr>
    </w:p>
    <w:p>
      <w:pPr>
        <w:spacing w:beforeLines="50" w:afterLines="50" w:line="570" w:lineRule="exact"/>
        <w:ind w:firstLine="883"/>
        <w:jc w:val="center"/>
        <w:rPr>
          <w:rFonts w:asciiTheme="minorEastAsia" w:hAnsiTheme="minorEastAsia" w:eastAsiaTheme="minorEastAsia"/>
          <w:b/>
          <w:sz w:val="44"/>
          <w:szCs w:val="44"/>
        </w:rPr>
      </w:pPr>
      <w:r>
        <w:rPr>
          <w:rFonts w:asciiTheme="minorEastAsia" w:hAnsiTheme="minorEastAsia" w:eastAsiaTheme="minorEastAsia"/>
          <w:b/>
          <w:sz w:val="44"/>
          <w:szCs w:val="44"/>
        </w:rPr>
        <w:t>三</w:t>
      </w:r>
      <w:r>
        <w:rPr>
          <w:rFonts w:hint="eastAsia" w:asciiTheme="minorEastAsia" w:hAnsiTheme="minorEastAsia" w:eastAsiaTheme="minorEastAsia"/>
          <w:b/>
          <w:sz w:val="44"/>
          <w:szCs w:val="44"/>
        </w:rPr>
        <w:t>、</w:t>
      </w:r>
      <w:r>
        <w:rPr>
          <w:rFonts w:asciiTheme="minorEastAsia" w:hAnsiTheme="minorEastAsia" w:eastAsiaTheme="minorEastAsia"/>
          <w:b/>
          <w:sz w:val="44"/>
          <w:szCs w:val="44"/>
        </w:rPr>
        <w:t>2017年度部门预算情况说明</w:t>
      </w:r>
    </w:p>
    <w:p>
      <w:pPr>
        <w:spacing w:line="570" w:lineRule="exact"/>
        <w:ind w:firstLine="640"/>
        <w:rPr>
          <w:rFonts w:asciiTheme="minorEastAsia" w:hAnsiTheme="minorEastAsia" w:eastAsiaTheme="minorEastAsia"/>
          <w:szCs w:val="32"/>
        </w:rPr>
      </w:pPr>
      <w:r>
        <w:rPr>
          <w:rFonts w:hint="eastAsia" w:asciiTheme="minorEastAsia" w:hAnsiTheme="minorEastAsia" w:eastAsiaTheme="minorEastAsia"/>
          <w:szCs w:val="32"/>
        </w:rPr>
        <w:t>一、收支预算总表情况说明</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本表反映部门年度总体收支预算情况。根据《常州市财政局关于2017年市级部门预算的批复》（常财预〔2017〕</w:t>
      </w:r>
      <w:r>
        <w:rPr>
          <w:rFonts w:hint="eastAsia" w:asciiTheme="minorEastAsia" w:hAnsiTheme="minorEastAsia" w:eastAsiaTheme="minorEastAsia"/>
          <w:szCs w:val="32"/>
        </w:rPr>
        <w:t>10</w:t>
      </w:r>
      <w:r>
        <w:rPr>
          <w:rFonts w:asciiTheme="minorEastAsia" w:hAnsiTheme="minorEastAsia" w:eastAsiaTheme="minorEastAsia"/>
          <w:szCs w:val="32"/>
        </w:rPr>
        <w:t>号）填列。</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常州市人民政府外事办公室2017年度收入、支出预算总计</w:t>
      </w:r>
      <w:r>
        <w:rPr>
          <w:rFonts w:hint="eastAsia" w:asciiTheme="minorEastAsia" w:hAnsiTheme="minorEastAsia" w:eastAsiaTheme="minorEastAsia"/>
          <w:szCs w:val="32"/>
        </w:rPr>
        <w:t>881.19</w:t>
      </w:r>
      <w:r>
        <w:rPr>
          <w:rFonts w:asciiTheme="minorEastAsia" w:hAnsiTheme="minorEastAsia" w:eastAsiaTheme="minorEastAsia"/>
          <w:szCs w:val="32"/>
        </w:rPr>
        <w:t>万元，与上年相比收、支预算总计各增加</w:t>
      </w:r>
      <w:r>
        <w:rPr>
          <w:rFonts w:hint="eastAsia" w:asciiTheme="minorEastAsia" w:hAnsiTheme="minorEastAsia" w:eastAsiaTheme="minorEastAsia"/>
          <w:szCs w:val="32"/>
        </w:rPr>
        <w:t>140.94</w:t>
      </w:r>
      <w:r>
        <w:rPr>
          <w:rFonts w:asciiTheme="minorEastAsia" w:hAnsiTheme="minorEastAsia" w:eastAsiaTheme="minorEastAsia"/>
          <w:szCs w:val="32"/>
        </w:rPr>
        <w:t>万元，增长</w:t>
      </w:r>
      <w:r>
        <w:rPr>
          <w:rFonts w:hint="eastAsia" w:asciiTheme="minorEastAsia" w:hAnsiTheme="minorEastAsia" w:eastAsiaTheme="minorEastAsia"/>
          <w:szCs w:val="32"/>
        </w:rPr>
        <w:t>19</w:t>
      </w:r>
      <w:r>
        <w:rPr>
          <w:rFonts w:asciiTheme="minorEastAsia" w:hAnsiTheme="minorEastAsia" w:eastAsiaTheme="minorEastAsia"/>
          <w:szCs w:val="32"/>
        </w:rPr>
        <w:t>%。主要原因是</w:t>
      </w:r>
      <w:r>
        <w:rPr>
          <w:rFonts w:hint="eastAsia" w:asciiTheme="minorEastAsia" w:hAnsiTheme="minorEastAsia" w:eastAsiaTheme="minorEastAsia"/>
          <w:szCs w:val="32"/>
        </w:rPr>
        <w:t>车改后增加了交通补贴支出以及政策性增资增加了工资福利支出与住房保障支出</w:t>
      </w:r>
      <w:r>
        <w:rPr>
          <w:rFonts w:asciiTheme="minorEastAsia" w:hAnsiTheme="minorEastAsia" w:eastAsiaTheme="minorEastAsia"/>
          <w:szCs w:val="32"/>
        </w:rPr>
        <w:t>。其中：</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（一）收入预算总计</w:t>
      </w:r>
      <w:r>
        <w:rPr>
          <w:rFonts w:hint="eastAsia" w:asciiTheme="minorEastAsia" w:hAnsiTheme="minorEastAsia" w:eastAsiaTheme="minorEastAsia"/>
          <w:szCs w:val="32"/>
        </w:rPr>
        <w:t>881.19</w:t>
      </w:r>
      <w:r>
        <w:rPr>
          <w:rFonts w:asciiTheme="minorEastAsia" w:hAnsiTheme="minorEastAsia" w:eastAsiaTheme="minorEastAsia"/>
          <w:szCs w:val="32"/>
        </w:rPr>
        <w:t>万元。包括：</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1．财政拨款收入预算总计</w:t>
      </w:r>
      <w:r>
        <w:rPr>
          <w:rFonts w:hint="eastAsia" w:asciiTheme="minorEastAsia" w:hAnsiTheme="minorEastAsia" w:eastAsiaTheme="minorEastAsia"/>
          <w:szCs w:val="32"/>
        </w:rPr>
        <w:t>881.19</w:t>
      </w:r>
      <w:r>
        <w:rPr>
          <w:rFonts w:asciiTheme="minorEastAsia" w:hAnsiTheme="minorEastAsia" w:eastAsiaTheme="minorEastAsia"/>
          <w:szCs w:val="32"/>
        </w:rPr>
        <w:t>万元。</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（1）一般公共预算收入预算</w:t>
      </w:r>
      <w:r>
        <w:rPr>
          <w:rFonts w:hint="eastAsia" w:asciiTheme="minorEastAsia" w:hAnsiTheme="minorEastAsia" w:eastAsiaTheme="minorEastAsia"/>
          <w:szCs w:val="32"/>
        </w:rPr>
        <w:t>881.19</w:t>
      </w:r>
      <w:r>
        <w:rPr>
          <w:rFonts w:asciiTheme="minorEastAsia" w:hAnsiTheme="minorEastAsia" w:eastAsiaTheme="minorEastAsia"/>
          <w:szCs w:val="32"/>
        </w:rPr>
        <w:t>万元，与上年相比增加</w:t>
      </w:r>
      <w:r>
        <w:rPr>
          <w:rFonts w:hint="eastAsia" w:asciiTheme="minorEastAsia" w:hAnsiTheme="minorEastAsia" w:eastAsiaTheme="minorEastAsia"/>
          <w:szCs w:val="32"/>
        </w:rPr>
        <w:t>140.94</w:t>
      </w:r>
      <w:r>
        <w:rPr>
          <w:rFonts w:asciiTheme="minorEastAsia" w:hAnsiTheme="minorEastAsia" w:eastAsiaTheme="minorEastAsia"/>
          <w:szCs w:val="32"/>
        </w:rPr>
        <w:t>万元，增长</w:t>
      </w:r>
      <w:r>
        <w:rPr>
          <w:rFonts w:hint="eastAsia" w:asciiTheme="minorEastAsia" w:hAnsiTheme="minorEastAsia" w:eastAsiaTheme="minorEastAsia"/>
          <w:szCs w:val="32"/>
        </w:rPr>
        <w:t>19</w:t>
      </w:r>
      <w:r>
        <w:rPr>
          <w:rFonts w:asciiTheme="minorEastAsia" w:hAnsiTheme="minorEastAsia" w:eastAsiaTheme="minorEastAsia"/>
          <w:szCs w:val="32"/>
        </w:rPr>
        <w:t>%。主要原因是是</w:t>
      </w:r>
      <w:r>
        <w:rPr>
          <w:rFonts w:hint="eastAsia" w:asciiTheme="minorEastAsia" w:hAnsiTheme="minorEastAsia" w:eastAsiaTheme="minorEastAsia"/>
          <w:szCs w:val="32"/>
        </w:rPr>
        <w:t>车改后增加了交通补贴支出以及政策性增资增加了工资福利支出与住房保障支出</w:t>
      </w:r>
      <w:r>
        <w:rPr>
          <w:rFonts w:asciiTheme="minorEastAsia" w:hAnsiTheme="minorEastAsia" w:eastAsiaTheme="minorEastAsia"/>
          <w:szCs w:val="32"/>
        </w:rPr>
        <w:t>。</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（2）</w:t>
      </w:r>
      <w:r>
        <w:rPr>
          <w:rFonts w:hint="eastAsia" w:asciiTheme="minorEastAsia" w:hAnsiTheme="minorEastAsia" w:eastAsiaTheme="minorEastAsia"/>
          <w:szCs w:val="32"/>
        </w:rPr>
        <w:t>本部门无</w:t>
      </w:r>
      <w:r>
        <w:rPr>
          <w:rFonts w:asciiTheme="minorEastAsia" w:hAnsiTheme="minorEastAsia" w:eastAsiaTheme="minorEastAsia"/>
          <w:szCs w:val="32"/>
        </w:rPr>
        <w:t>政府性基金收入</w:t>
      </w:r>
      <w:r>
        <w:rPr>
          <w:rFonts w:hint="eastAsia" w:asciiTheme="minorEastAsia" w:hAnsiTheme="minorEastAsia" w:eastAsiaTheme="minorEastAsia"/>
          <w:szCs w:val="32"/>
        </w:rPr>
        <w:t>。</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2．</w:t>
      </w:r>
      <w:r>
        <w:rPr>
          <w:rFonts w:hint="eastAsia" w:asciiTheme="minorEastAsia" w:hAnsiTheme="minorEastAsia" w:eastAsiaTheme="minorEastAsia"/>
          <w:szCs w:val="32"/>
        </w:rPr>
        <w:t>本部门无</w:t>
      </w:r>
      <w:r>
        <w:rPr>
          <w:rFonts w:asciiTheme="minorEastAsia" w:hAnsiTheme="minorEastAsia" w:eastAsiaTheme="minorEastAsia"/>
          <w:szCs w:val="32"/>
        </w:rPr>
        <w:t>财政专户管理资金收入预算。</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3．</w:t>
      </w:r>
      <w:r>
        <w:rPr>
          <w:rFonts w:hint="eastAsia" w:asciiTheme="minorEastAsia" w:hAnsiTheme="minorEastAsia" w:eastAsiaTheme="minorEastAsia"/>
          <w:szCs w:val="32"/>
        </w:rPr>
        <w:t>本部门无</w:t>
      </w:r>
      <w:r>
        <w:rPr>
          <w:rFonts w:asciiTheme="minorEastAsia" w:hAnsiTheme="minorEastAsia" w:eastAsiaTheme="minorEastAsia"/>
          <w:szCs w:val="32"/>
        </w:rPr>
        <w:t>其他资金收入预算。</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4．</w:t>
      </w:r>
      <w:r>
        <w:rPr>
          <w:rFonts w:hint="eastAsia" w:asciiTheme="minorEastAsia" w:hAnsiTheme="minorEastAsia" w:eastAsiaTheme="minorEastAsia"/>
          <w:szCs w:val="32"/>
        </w:rPr>
        <w:t>本部门无</w:t>
      </w:r>
      <w:r>
        <w:rPr>
          <w:rFonts w:asciiTheme="minorEastAsia" w:hAnsiTheme="minorEastAsia" w:eastAsiaTheme="minorEastAsia"/>
          <w:szCs w:val="32"/>
        </w:rPr>
        <w:t>上年结余资金预算。</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（二）支出预算总计</w:t>
      </w:r>
      <w:r>
        <w:rPr>
          <w:rFonts w:hint="eastAsia" w:asciiTheme="minorEastAsia" w:hAnsiTheme="minorEastAsia" w:eastAsiaTheme="minorEastAsia"/>
          <w:szCs w:val="32"/>
        </w:rPr>
        <w:t>881.19</w:t>
      </w:r>
      <w:r>
        <w:rPr>
          <w:rFonts w:asciiTheme="minorEastAsia" w:hAnsiTheme="minorEastAsia" w:eastAsiaTheme="minorEastAsia"/>
          <w:szCs w:val="32"/>
        </w:rPr>
        <w:t>万元。包括：</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1．一般公共服务（类）支出预算</w:t>
      </w:r>
      <w:r>
        <w:rPr>
          <w:rFonts w:hint="eastAsia" w:asciiTheme="minorEastAsia" w:hAnsiTheme="minorEastAsia" w:eastAsiaTheme="minorEastAsia"/>
          <w:szCs w:val="32"/>
        </w:rPr>
        <w:t>557.29</w:t>
      </w:r>
      <w:r>
        <w:rPr>
          <w:rFonts w:asciiTheme="minorEastAsia" w:hAnsiTheme="minorEastAsia" w:eastAsiaTheme="minorEastAsia"/>
          <w:szCs w:val="32"/>
        </w:rPr>
        <w:t>万元，主要用于</w:t>
      </w:r>
      <w:r>
        <w:rPr>
          <w:rFonts w:asciiTheme="minorEastAsia" w:hAnsiTheme="minorEastAsia" w:eastAsiaTheme="minorEastAsia"/>
          <w:snapToGrid w:val="0"/>
          <w:spacing w:val="-4"/>
          <w:kern w:val="0"/>
          <w:szCs w:val="32"/>
        </w:rPr>
        <w:t>保障机构正常运行、开展日常工作的支出</w:t>
      </w:r>
      <w:r>
        <w:rPr>
          <w:rFonts w:asciiTheme="minorEastAsia" w:hAnsiTheme="minorEastAsia" w:eastAsiaTheme="minorEastAsia"/>
          <w:szCs w:val="32"/>
        </w:rPr>
        <w:t>。与上年相比增加</w:t>
      </w:r>
      <w:r>
        <w:rPr>
          <w:rFonts w:hint="eastAsia" w:asciiTheme="minorEastAsia" w:hAnsiTheme="minorEastAsia" w:eastAsiaTheme="minorEastAsia"/>
          <w:szCs w:val="32"/>
        </w:rPr>
        <w:t>86.58</w:t>
      </w:r>
      <w:r>
        <w:rPr>
          <w:rFonts w:asciiTheme="minorEastAsia" w:hAnsiTheme="minorEastAsia" w:eastAsiaTheme="minorEastAsia"/>
          <w:szCs w:val="32"/>
        </w:rPr>
        <w:t>万元，增长</w:t>
      </w:r>
      <w:r>
        <w:rPr>
          <w:rFonts w:hint="eastAsia" w:asciiTheme="minorEastAsia" w:hAnsiTheme="minorEastAsia" w:eastAsiaTheme="minorEastAsia"/>
          <w:szCs w:val="32"/>
        </w:rPr>
        <w:t>18.4</w:t>
      </w:r>
      <w:r>
        <w:rPr>
          <w:rFonts w:asciiTheme="minorEastAsia" w:hAnsiTheme="minorEastAsia" w:eastAsiaTheme="minorEastAsia"/>
          <w:szCs w:val="32"/>
        </w:rPr>
        <w:t>%。主要原因是</w:t>
      </w:r>
      <w:r>
        <w:rPr>
          <w:rFonts w:hint="eastAsia" w:asciiTheme="minorEastAsia" w:hAnsiTheme="minorEastAsia" w:eastAsiaTheme="minorEastAsia"/>
          <w:szCs w:val="32"/>
        </w:rPr>
        <w:t>车改后增加了交通补贴支出以及政策性增资增加了工资福利支出</w:t>
      </w:r>
      <w:r>
        <w:rPr>
          <w:rFonts w:asciiTheme="minorEastAsia" w:hAnsiTheme="minorEastAsia" w:eastAsiaTheme="minorEastAsia"/>
          <w:szCs w:val="32"/>
        </w:rPr>
        <w:t>。</w:t>
      </w:r>
    </w:p>
    <w:p>
      <w:pPr>
        <w:autoSpaceDE w:val="0"/>
        <w:autoSpaceDN w:val="0"/>
        <w:adjustRightInd w:val="0"/>
        <w:snapToGrid w:val="0"/>
        <w:spacing w:line="570" w:lineRule="exact"/>
        <w:ind w:firstLine="641" w:firstLineChars="0"/>
        <w:rPr>
          <w:rFonts w:asciiTheme="minorEastAsia" w:hAnsiTheme="minorEastAsia" w:eastAsiaTheme="minorEastAsia"/>
          <w:snapToGrid w:val="0"/>
          <w:spacing w:val="-4"/>
          <w:kern w:val="0"/>
          <w:szCs w:val="32"/>
        </w:rPr>
      </w:pPr>
      <w:r>
        <w:rPr>
          <w:rFonts w:asciiTheme="minorEastAsia" w:hAnsiTheme="minorEastAsia" w:eastAsiaTheme="minorEastAsia"/>
          <w:snapToGrid w:val="0"/>
          <w:spacing w:val="-4"/>
          <w:kern w:val="0"/>
          <w:szCs w:val="32"/>
        </w:rPr>
        <w:t>2．</w:t>
      </w:r>
      <w:r>
        <w:rPr>
          <w:rFonts w:hint="eastAsia" w:asciiTheme="minorEastAsia" w:hAnsiTheme="minorEastAsia" w:eastAsiaTheme="minorEastAsia"/>
          <w:snapToGrid w:val="0"/>
          <w:spacing w:val="-4"/>
          <w:kern w:val="0"/>
          <w:szCs w:val="32"/>
        </w:rPr>
        <w:t>社会保障和就业</w:t>
      </w:r>
      <w:r>
        <w:rPr>
          <w:rFonts w:asciiTheme="minorEastAsia" w:hAnsiTheme="minorEastAsia" w:eastAsiaTheme="minorEastAsia"/>
          <w:snapToGrid w:val="0"/>
          <w:spacing w:val="-4"/>
          <w:kern w:val="0"/>
          <w:szCs w:val="32"/>
        </w:rPr>
        <w:t>支出</w:t>
      </w:r>
      <w:r>
        <w:rPr>
          <w:rFonts w:asciiTheme="minorEastAsia" w:hAnsiTheme="minorEastAsia" w:eastAsiaTheme="minorEastAsia"/>
          <w:szCs w:val="32"/>
        </w:rPr>
        <w:t>预算</w:t>
      </w:r>
      <w:r>
        <w:rPr>
          <w:rFonts w:hint="eastAsia" w:asciiTheme="minorEastAsia" w:hAnsiTheme="minorEastAsia" w:eastAsiaTheme="minorEastAsia"/>
          <w:snapToGrid w:val="0"/>
          <w:spacing w:val="-4"/>
          <w:kern w:val="0"/>
          <w:szCs w:val="32"/>
        </w:rPr>
        <w:t>195.57</w:t>
      </w:r>
      <w:r>
        <w:rPr>
          <w:rFonts w:asciiTheme="minorEastAsia" w:hAnsiTheme="minorEastAsia" w:eastAsiaTheme="minorEastAsia"/>
          <w:snapToGrid w:val="0"/>
          <w:spacing w:val="-4"/>
          <w:kern w:val="0"/>
          <w:szCs w:val="32"/>
        </w:rPr>
        <w:t>万元，主要用于</w:t>
      </w:r>
      <w:r>
        <w:rPr>
          <w:rFonts w:hint="eastAsia" w:asciiTheme="minorEastAsia" w:hAnsiTheme="minorEastAsia" w:eastAsiaTheme="minorEastAsia"/>
          <w:snapToGrid w:val="0"/>
          <w:spacing w:val="-4"/>
          <w:kern w:val="0"/>
          <w:szCs w:val="32"/>
        </w:rPr>
        <w:t>部门开支的离退休人员离退休费</w:t>
      </w:r>
      <w:r>
        <w:rPr>
          <w:rFonts w:asciiTheme="minorEastAsia" w:hAnsiTheme="minorEastAsia" w:eastAsiaTheme="minorEastAsia"/>
          <w:snapToGrid w:val="0"/>
          <w:spacing w:val="-4"/>
          <w:kern w:val="0"/>
          <w:szCs w:val="32"/>
        </w:rPr>
        <w:t>支出。与上年相比增加</w:t>
      </w:r>
      <w:r>
        <w:rPr>
          <w:rFonts w:hint="eastAsia" w:asciiTheme="minorEastAsia" w:hAnsiTheme="minorEastAsia" w:eastAsiaTheme="minorEastAsia"/>
          <w:snapToGrid w:val="0"/>
          <w:spacing w:val="-4"/>
          <w:kern w:val="0"/>
          <w:szCs w:val="32"/>
        </w:rPr>
        <w:t>11.63</w:t>
      </w:r>
      <w:r>
        <w:rPr>
          <w:rFonts w:asciiTheme="minorEastAsia" w:hAnsiTheme="minorEastAsia" w:eastAsiaTheme="minorEastAsia"/>
          <w:snapToGrid w:val="0"/>
          <w:spacing w:val="-4"/>
          <w:kern w:val="0"/>
          <w:szCs w:val="32"/>
        </w:rPr>
        <w:t>万元，增长</w:t>
      </w:r>
      <w:r>
        <w:rPr>
          <w:rFonts w:hint="eastAsia" w:asciiTheme="minorEastAsia" w:hAnsiTheme="minorEastAsia" w:eastAsiaTheme="minorEastAsia"/>
          <w:snapToGrid w:val="0"/>
          <w:spacing w:val="-4"/>
          <w:kern w:val="0"/>
          <w:szCs w:val="32"/>
        </w:rPr>
        <w:t>6.3</w:t>
      </w:r>
      <w:r>
        <w:rPr>
          <w:rFonts w:asciiTheme="minorEastAsia" w:hAnsiTheme="minorEastAsia" w:eastAsiaTheme="minorEastAsia"/>
          <w:snapToGrid w:val="0"/>
          <w:spacing w:val="-4"/>
          <w:kern w:val="0"/>
          <w:szCs w:val="32"/>
        </w:rPr>
        <w:t>%。主要原因是</w:t>
      </w:r>
      <w:r>
        <w:rPr>
          <w:rFonts w:hint="eastAsia" w:asciiTheme="minorEastAsia" w:hAnsiTheme="minorEastAsia" w:eastAsiaTheme="minorEastAsia"/>
          <w:snapToGrid w:val="0"/>
          <w:spacing w:val="-4"/>
          <w:kern w:val="0"/>
          <w:szCs w:val="32"/>
        </w:rPr>
        <w:t>离退休人员</w:t>
      </w:r>
      <w:r>
        <w:rPr>
          <w:rFonts w:hint="eastAsia" w:asciiTheme="minorEastAsia" w:hAnsiTheme="minorEastAsia" w:eastAsiaTheme="minorEastAsia"/>
          <w:szCs w:val="32"/>
        </w:rPr>
        <w:t>增加了</w:t>
      </w:r>
      <w:r>
        <w:rPr>
          <w:rFonts w:hint="eastAsia" w:asciiTheme="minorEastAsia" w:hAnsiTheme="minorEastAsia" w:eastAsiaTheme="minorEastAsia"/>
          <w:snapToGrid w:val="0"/>
          <w:spacing w:val="-4"/>
          <w:kern w:val="0"/>
          <w:szCs w:val="32"/>
        </w:rPr>
        <w:t>离退休费</w:t>
      </w:r>
      <w:r>
        <w:rPr>
          <w:rFonts w:asciiTheme="minorEastAsia" w:hAnsiTheme="minorEastAsia" w:eastAsiaTheme="minorEastAsia"/>
          <w:snapToGrid w:val="0"/>
          <w:spacing w:val="-4"/>
          <w:kern w:val="0"/>
          <w:szCs w:val="32"/>
        </w:rPr>
        <w:t>。</w:t>
      </w:r>
    </w:p>
    <w:p>
      <w:pPr>
        <w:autoSpaceDE w:val="0"/>
        <w:autoSpaceDN w:val="0"/>
        <w:adjustRightInd w:val="0"/>
        <w:snapToGrid w:val="0"/>
        <w:spacing w:line="570" w:lineRule="exact"/>
        <w:ind w:firstLine="641" w:firstLineChars="0"/>
        <w:rPr>
          <w:rFonts w:asciiTheme="minorEastAsia" w:hAnsiTheme="minorEastAsia" w:eastAsiaTheme="minorEastAsia"/>
          <w:snapToGrid w:val="0"/>
          <w:spacing w:val="-4"/>
          <w:kern w:val="0"/>
          <w:szCs w:val="32"/>
        </w:rPr>
      </w:pPr>
      <w:r>
        <w:rPr>
          <w:rFonts w:hint="eastAsia" w:asciiTheme="minorEastAsia" w:hAnsiTheme="minorEastAsia" w:eastAsiaTheme="minorEastAsia"/>
          <w:snapToGrid w:val="0"/>
          <w:spacing w:val="-4"/>
          <w:kern w:val="0"/>
          <w:szCs w:val="32"/>
        </w:rPr>
        <w:t>3</w:t>
      </w:r>
      <w:r>
        <w:rPr>
          <w:rFonts w:asciiTheme="minorEastAsia" w:hAnsiTheme="minorEastAsia" w:eastAsiaTheme="minorEastAsia"/>
          <w:snapToGrid w:val="0"/>
          <w:spacing w:val="-4"/>
          <w:kern w:val="0"/>
          <w:szCs w:val="32"/>
        </w:rPr>
        <w:t>．</w:t>
      </w:r>
      <w:r>
        <w:rPr>
          <w:rFonts w:hint="eastAsia" w:asciiTheme="minorEastAsia" w:hAnsiTheme="minorEastAsia" w:eastAsiaTheme="minorEastAsia"/>
          <w:snapToGrid w:val="0"/>
          <w:spacing w:val="-4"/>
          <w:kern w:val="0"/>
          <w:szCs w:val="32"/>
        </w:rPr>
        <w:t>医疗卫生与计划生育支出</w:t>
      </w:r>
      <w:r>
        <w:rPr>
          <w:rFonts w:asciiTheme="minorEastAsia" w:hAnsiTheme="minorEastAsia" w:eastAsiaTheme="minorEastAsia"/>
          <w:szCs w:val="32"/>
        </w:rPr>
        <w:t>预算</w:t>
      </w:r>
      <w:r>
        <w:rPr>
          <w:rFonts w:hint="eastAsia" w:asciiTheme="minorEastAsia" w:hAnsiTheme="minorEastAsia" w:eastAsiaTheme="minorEastAsia"/>
          <w:snapToGrid w:val="0"/>
          <w:spacing w:val="-4"/>
          <w:kern w:val="0"/>
          <w:szCs w:val="32"/>
        </w:rPr>
        <w:t>26.23</w:t>
      </w:r>
      <w:r>
        <w:rPr>
          <w:rFonts w:asciiTheme="minorEastAsia" w:hAnsiTheme="minorEastAsia" w:eastAsiaTheme="minorEastAsia"/>
          <w:snapToGrid w:val="0"/>
          <w:spacing w:val="-4"/>
          <w:kern w:val="0"/>
          <w:szCs w:val="32"/>
        </w:rPr>
        <w:t>万元，主要用于</w:t>
      </w:r>
      <w:r>
        <w:rPr>
          <w:rFonts w:hint="eastAsia" w:asciiTheme="minorEastAsia" w:hAnsiTheme="minorEastAsia" w:eastAsiaTheme="minorEastAsia"/>
          <w:snapToGrid w:val="0"/>
          <w:spacing w:val="-4"/>
          <w:kern w:val="0"/>
          <w:szCs w:val="32"/>
        </w:rPr>
        <w:t>部门基本医疗保险缴费支出</w:t>
      </w:r>
      <w:r>
        <w:rPr>
          <w:rFonts w:asciiTheme="minorEastAsia" w:hAnsiTheme="minorEastAsia" w:eastAsiaTheme="minorEastAsia"/>
          <w:snapToGrid w:val="0"/>
          <w:spacing w:val="-4"/>
          <w:kern w:val="0"/>
          <w:szCs w:val="32"/>
        </w:rPr>
        <w:t>。与上年相比增加</w:t>
      </w:r>
      <w:r>
        <w:rPr>
          <w:rFonts w:hint="eastAsia" w:asciiTheme="minorEastAsia" w:hAnsiTheme="minorEastAsia" w:eastAsiaTheme="minorEastAsia"/>
          <w:snapToGrid w:val="0"/>
          <w:spacing w:val="-4"/>
          <w:kern w:val="0"/>
          <w:szCs w:val="32"/>
        </w:rPr>
        <w:t>6.75</w:t>
      </w:r>
      <w:r>
        <w:rPr>
          <w:rFonts w:asciiTheme="minorEastAsia" w:hAnsiTheme="minorEastAsia" w:eastAsiaTheme="minorEastAsia"/>
          <w:snapToGrid w:val="0"/>
          <w:spacing w:val="-4"/>
          <w:kern w:val="0"/>
          <w:szCs w:val="32"/>
        </w:rPr>
        <w:t>万元，增加</w:t>
      </w:r>
      <w:r>
        <w:rPr>
          <w:rFonts w:hint="eastAsia" w:asciiTheme="minorEastAsia" w:hAnsiTheme="minorEastAsia" w:eastAsiaTheme="minorEastAsia"/>
          <w:snapToGrid w:val="0"/>
          <w:spacing w:val="-4"/>
          <w:kern w:val="0"/>
          <w:szCs w:val="32"/>
        </w:rPr>
        <w:t>34.7</w:t>
      </w:r>
      <w:r>
        <w:rPr>
          <w:rFonts w:asciiTheme="minorEastAsia" w:hAnsiTheme="minorEastAsia" w:eastAsiaTheme="minorEastAsia"/>
          <w:snapToGrid w:val="0"/>
          <w:spacing w:val="-4"/>
          <w:kern w:val="0"/>
          <w:szCs w:val="32"/>
        </w:rPr>
        <w:t>%。主要原因是</w:t>
      </w:r>
      <w:r>
        <w:rPr>
          <w:rFonts w:hint="eastAsia" w:asciiTheme="minorEastAsia" w:hAnsiTheme="minorEastAsia" w:eastAsiaTheme="minorEastAsia"/>
          <w:snapToGrid w:val="0"/>
          <w:spacing w:val="-4"/>
          <w:kern w:val="0"/>
          <w:szCs w:val="32"/>
        </w:rPr>
        <w:t>在职人员基本医疗保险缴费基数增加</w:t>
      </w:r>
      <w:r>
        <w:rPr>
          <w:rFonts w:asciiTheme="minorEastAsia" w:hAnsiTheme="minorEastAsia" w:eastAsiaTheme="minorEastAsia"/>
          <w:snapToGrid w:val="0"/>
          <w:spacing w:val="-4"/>
          <w:kern w:val="0"/>
          <w:szCs w:val="32"/>
        </w:rPr>
        <w:t>。</w:t>
      </w:r>
    </w:p>
    <w:p>
      <w:pPr>
        <w:spacing w:line="570" w:lineRule="exact"/>
        <w:ind w:firstLine="624"/>
        <w:rPr>
          <w:rFonts w:asciiTheme="minorEastAsia" w:hAnsiTheme="minorEastAsia" w:eastAsiaTheme="minorEastAsia"/>
          <w:i/>
          <w:szCs w:val="32"/>
        </w:rPr>
      </w:pPr>
      <w:r>
        <w:rPr>
          <w:rFonts w:hint="eastAsia" w:asciiTheme="minorEastAsia" w:hAnsiTheme="minorEastAsia" w:eastAsiaTheme="minorEastAsia"/>
          <w:snapToGrid w:val="0"/>
          <w:spacing w:val="-4"/>
          <w:kern w:val="0"/>
          <w:szCs w:val="32"/>
        </w:rPr>
        <w:t>4</w:t>
      </w:r>
      <w:r>
        <w:rPr>
          <w:rFonts w:asciiTheme="minorEastAsia" w:hAnsiTheme="minorEastAsia" w:eastAsiaTheme="minorEastAsia"/>
          <w:snapToGrid w:val="0"/>
          <w:spacing w:val="-4"/>
          <w:kern w:val="0"/>
          <w:szCs w:val="32"/>
        </w:rPr>
        <w:t>．</w:t>
      </w:r>
      <w:r>
        <w:rPr>
          <w:rFonts w:hint="eastAsia" w:asciiTheme="minorEastAsia" w:hAnsiTheme="minorEastAsia" w:eastAsiaTheme="minorEastAsia"/>
          <w:snapToGrid w:val="0"/>
          <w:spacing w:val="-4"/>
          <w:kern w:val="0"/>
          <w:szCs w:val="32"/>
        </w:rPr>
        <w:t>住房保障</w:t>
      </w:r>
      <w:r>
        <w:rPr>
          <w:rFonts w:asciiTheme="minorEastAsia" w:hAnsiTheme="minorEastAsia" w:eastAsiaTheme="minorEastAsia"/>
          <w:snapToGrid w:val="0"/>
          <w:spacing w:val="-4"/>
          <w:kern w:val="0"/>
          <w:szCs w:val="32"/>
        </w:rPr>
        <w:t>支出</w:t>
      </w:r>
      <w:r>
        <w:rPr>
          <w:rFonts w:asciiTheme="minorEastAsia" w:hAnsiTheme="minorEastAsia" w:eastAsiaTheme="minorEastAsia"/>
          <w:szCs w:val="32"/>
        </w:rPr>
        <w:t>预算</w:t>
      </w:r>
      <w:r>
        <w:rPr>
          <w:rFonts w:hint="eastAsia" w:asciiTheme="minorEastAsia" w:hAnsiTheme="minorEastAsia" w:eastAsiaTheme="minorEastAsia"/>
          <w:snapToGrid w:val="0"/>
          <w:spacing w:val="-4"/>
          <w:kern w:val="0"/>
          <w:szCs w:val="32"/>
        </w:rPr>
        <w:t>102.10</w:t>
      </w:r>
      <w:r>
        <w:rPr>
          <w:rFonts w:asciiTheme="minorEastAsia" w:hAnsiTheme="minorEastAsia" w:eastAsiaTheme="minorEastAsia"/>
          <w:snapToGrid w:val="0"/>
          <w:spacing w:val="-4"/>
          <w:kern w:val="0"/>
          <w:szCs w:val="32"/>
        </w:rPr>
        <w:t>万元，主要用于</w:t>
      </w:r>
      <w:r>
        <w:rPr>
          <w:rFonts w:hint="eastAsia" w:asciiTheme="minorEastAsia" w:hAnsiTheme="minorEastAsia" w:eastAsiaTheme="minorEastAsia"/>
          <w:snapToGrid w:val="0"/>
          <w:spacing w:val="-4"/>
          <w:kern w:val="0"/>
          <w:szCs w:val="32"/>
        </w:rPr>
        <w:t>部门住房改革支出</w:t>
      </w:r>
      <w:r>
        <w:rPr>
          <w:rFonts w:asciiTheme="minorEastAsia" w:hAnsiTheme="minorEastAsia" w:eastAsiaTheme="minorEastAsia"/>
          <w:snapToGrid w:val="0"/>
          <w:spacing w:val="-4"/>
          <w:kern w:val="0"/>
          <w:szCs w:val="32"/>
        </w:rPr>
        <w:t>。与上年相比增加</w:t>
      </w:r>
      <w:r>
        <w:rPr>
          <w:rFonts w:hint="eastAsia" w:asciiTheme="minorEastAsia" w:hAnsiTheme="minorEastAsia" w:eastAsiaTheme="minorEastAsia"/>
          <w:snapToGrid w:val="0"/>
          <w:spacing w:val="-4"/>
          <w:kern w:val="0"/>
          <w:szCs w:val="32"/>
        </w:rPr>
        <w:t>35.97</w:t>
      </w:r>
      <w:r>
        <w:rPr>
          <w:rFonts w:asciiTheme="minorEastAsia" w:hAnsiTheme="minorEastAsia" w:eastAsiaTheme="minorEastAsia"/>
          <w:snapToGrid w:val="0"/>
          <w:spacing w:val="-4"/>
          <w:kern w:val="0"/>
          <w:szCs w:val="32"/>
        </w:rPr>
        <w:t>万元，增加</w:t>
      </w:r>
      <w:r>
        <w:rPr>
          <w:rFonts w:hint="eastAsia" w:asciiTheme="minorEastAsia" w:hAnsiTheme="minorEastAsia" w:eastAsiaTheme="minorEastAsia"/>
          <w:snapToGrid w:val="0"/>
          <w:spacing w:val="-4"/>
          <w:kern w:val="0"/>
          <w:szCs w:val="32"/>
        </w:rPr>
        <w:t>54.4</w:t>
      </w:r>
      <w:r>
        <w:rPr>
          <w:rFonts w:asciiTheme="minorEastAsia" w:hAnsiTheme="minorEastAsia" w:eastAsiaTheme="minorEastAsia"/>
          <w:snapToGrid w:val="0"/>
          <w:spacing w:val="-4"/>
          <w:kern w:val="0"/>
          <w:szCs w:val="32"/>
        </w:rPr>
        <w:t>%。主要原因是</w:t>
      </w:r>
      <w:r>
        <w:rPr>
          <w:rFonts w:hint="eastAsia" w:asciiTheme="minorEastAsia" w:hAnsiTheme="minorEastAsia" w:eastAsiaTheme="minorEastAsia"/>
          <w:szCs w:val="32"/>
        </w:rPr>
        <w:t>政策性增加了住房保障支出</w:t>
      </w:r>
      <w:r>
        <w:rPr>
          <w:rFonts w:asciiTheme="minorEastAsia" w:hAnsiTheme="minorEastAsia" w:eastAsiaTheme="minorEastAsia"/>
          <w:snapToGrid w:val="0"/>
          <w:spacing w:val="-4"/>
          <w:kern w:val="0"/>
          <w:szCs w:val="32"/>
        </w:rPr>
        <w:t>。</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此外，基本支出预算数为</w:t>
      </w:r>
      <w:r>
        <w:rPr>
          <w:rFonts w:hint="eastAsia" w:asciiTheme="minorEastAsia" w:hAnsiTheme="minorEastAsia" w:eastAsiaTheme="minorEastAsia"/>
          <w:szCs w:val="32"/>
        </w:rPr>
        <w:t>803.90</w:t>
      </w:r>
      <w:r>
        <w:rPr>
          <w:rFonts w:asciiTheme="minorEastAsia" w:hAnsiTheme="minorEastAsia" w:eastAsiaTheme="minorEastAsia"/>
          <w:szCs w:val="32"/>
        </w:rPr>
        <w:t>万元。与上年相比增加</w:t>
      </w:r>
      <w:r>
        <w:rPr>
          <w:rFonts w:hint="eastAsia" w:asciiTheme="minorEastAsia" w:hAnsiTheme="minorEastAsia" w:eastAsiaTheme="minorEastAsia"/>
          <w:szCs w:val="32"/>
        </w:rPr>
        <w:t>140.94</w:t>
      </w:r>
      <w:r>
        <w:rPr>
          <w:rFonts w:asciiTheme="minorEastAsia" w:hAnsiTheme="minorEastAsia" w:eastAsiaTheme="minorEastAsia"/>
          <w:szCs w:val="32"/>
        </w:rPr>
        <w:t>万元，增长</w:t>
      </w:r>
      <w:r>
        <w:rPr>
          <w:rFonts w:hint="eastAsia" w:asciiTheme="minorEastAsia" w:hAnsiTheme="minorEastAsia" w:eastAsiaTheme="minorEastAsia"/>
          <w:szCs w:val="32"/>
        </w:rPr>
        <w:t>21.3</w:t>
      </w:r>
      <w:r>
        <w:rPr>
          <w:rFonts w:asciiTheme="minorEastAsia" w:hAnsiTheme="minorEastAsia" w:eastAsiaTheme="minorEastAsia"/>
          <w:szCs w:val="32"/>
        </w:rPr>
        <w:t>%。主要原因是</w:t>
      </w:r>
      <w:r>
        <w:rPr>
          <w:rFonts w:hint="eastAsia" w:asciiTheme="minorEastAsia" w:hAnsiTheme="minorEastAsia" w:eastAsiaTheme="minorEastAsia"/>
          <w:szCs w:val="32"/>
        </w:rPr>
        <w:t>车改后增加了交通补贴支出以及政策性增资增加了工资福利支出与住房保障支出</w:t>
      </w:r>
      <w:r>
        <w:rPr>
          <w:rFonts w:asciiTheme="minorEastAsia" w:hAnsiTheme="minorEastAsia" w:eastAsiaTheme="minorEastAsia"/>
          <w:szCs w:val="32"/>
        </w:rPr>
        <w:t>。</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项目支出预算数为</w:t>
      </w:r>
      <w:r>
        <w:rPr>
          <w:rFonts w:hint="eastAsia" w:asciiTheme="minorEastAsia" w:hAnsiTheme="minorEastAsia" w:eastAsiaTheme="minorEastAsia"/>
          <w:szCs w:val="32"/>
        </w:rPr>
        <w:t>77.29</w:t>
      </w:r>
      <w:r>
        <w:rPr>
          <w:rFonts w:asciiTheme="minorEastAsia" w:hAnsiTheme="minorEastAsia" w:eastAsiaTheme="minorEastAsia"/>
          <w:szCs w:val="32"/>
        </w:rPr>
        <w:t>万元。与上年</w:t>
      </w:r>
      <w:r>
        <w:rPr>
          <w:rFonts w:hint="eastAsia" w:asciiTheme="minorEastAsia" w:hAnsiTheme="minorEastAsia" w:eastAsiaTheme="minorEastAsia"/>
          <w:szCs w:val="32"/>
        </w:rPr>
        <w:t>持平</w:t>
      </w:r>
      <w:r>
        <w:rPr>
          <w:rFonts w:asciiTheme="minorEastAsia" w:hAnsiTheme="minorEastAsia" w:eastAsiaTheme="minorEastAsia"/>
          <w:szCs w:val="32"/>
        </w:rPr>
        <w:t>。</w:t>
      </w:r>
    </w:p>
    <w:p>
      <w:pPr>
        <w:spacing w:line="570" w:lineRule="exact"/>
        <w:ind w:firstLine="640"/>
        <w:rPr>
          <w:rFonts w:asciiTheme="minorEastAsia" w:hAnsiTheme="minorEastAsia" w:eastAsiaTheme="minorEastAsia"/>
          <w:szCs w:val="32"/>
        </w:rPr>
      </w:pPr>
      <w:r>
        <w:rPr>
          <w:rFonts w:hint="eastAsia" w:asciiTheme="minorEastAsia" w:hAnsiTheme="minorEastAsia" w:eastAsiaTheme="minorEastAsia"/>
          <w:szCs w:val="32"/>
        </w:rPr>
        <w:t>二、收入预算情况说明</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本表反映部门年度总体收入预算情况。</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常州市人民政府外事办公室本年收入预算合计</w:t>
      </w:r>
      <w:r>
        <w:rPr>
          <w:rFonts w:hint="eastAsia" w:asciiTheme="minorEastAsia" w:hAnsiTheme="minorEastAsia" w:eastAsiaTheme="minorEastAsia"/>
          <w:szCs w:val="32"/>
        </w:rPr>
        <w:t>881.19</w:t>
      </w:r>
      <w:r>
        <w:rPr>
          <w:rFonts w:asciiTheme="minorEastAsia" w:hAnsiTheme="minorEastAsia" w:eastAsiaTheme="minorEastAsia"/>
          <w:szCs w:val="32"/>
        </w:rPr>
        <w:t>万元，其中：</w:t>
      </w:r>
    </w:p>
    <w:p>
      <w:pPr>
        <w:spacing w:line="570" w:lineRule="exact"/>
        <w:ind w:firstLine="640"/>
        <w:rPr>
          <w:rFonts w:asciiTheme="minorEastAsia" w:hAnsiTheme="minorEastAsia" w:eastAsiaTheme="minorEastAsia"/>
          <w:i/>
          <w:szCs w:val="32"/>
        </w:rPr>
      </w:pPr>
      <w:r>
        <w:rPr>
          <w:rFonts w:asciiTheme="minorEastAsia" w:hAnsiTheme="minorEastAsia" w:eastAsiaTheme="minorEastAsia"/>
          <w:szCs w:val="32"/>
        </w:rPr>
        <w:t>一般公共预算收入</w:t>
      </w:r>
      <w:r>
        <w:rPr>
          <w:rFonts w:hint="eastAsia" w:asciiTheme="minorEastAsia" w:hAnsiTheme="minorEastAsia" w:eastAsiaTheme="minorEastAsia"/>
          <w:szCs w:val="32"/>
        </w:rPr>
        <w:t>881.19</w:t>
      </w:r>
      <w:r>
        <w:rPr>
          <w:rFonts w:asciiTheme="minorEastAsia" w:hAnsiTheme="minorEastAsia" w:eastAsiaTheme="minorEastAsia"/>
          <w:szCs w:val="32"/>
        </w:rPr>
        <w:t>万元，占</w:t>
      </w:r>
      <w:r>
        <w:rPr>
          <w:rFonts w:hint="eastAsia" w:asciiTheme="minorEastAsia" w:hAnsiTheme="minorEastAsia" w:eastAsiaTheme="minorEastAsia"/>
          <w:szCs w:val="32"/>
        </w:rPr>
        <w:t>100</w:t>
      </w:r>
      <w:r>
        <w:rPr>
          <w:rFonts w:asciiTheme="minorEastAsia" w:hAnsiTheme="minorEastAsia" w:eastAsiaTheme="minorEastAsia"/>
          <w:szCs w:val="32"/>
        </w:rPr>
        <w:t>%</w:t>
      </w:r>
      <w:r>
        <w:rPr>
          <w:rFonts w:hint="eastAsia" w:asciiTheme="minorEastAsia" w:hAnsiTheme="minorEastAsia" w:eastAsiaTheme="minorEastAsia"/>
          <w:szCs w:val="32"/>
        </w:rPr>
        <w:t>。</w:t>
      </w:r>
    </w:p>
    <w:p>
      <w:pPr>
        <w:spacing w:line="570" w:lineRule="exact"/>
        <w:ind w:firstLine="640"/>
        <w:rPr>
          <w:rFonts w:asciiTheme="minorEastAsia" w:hAnsiTheme="minorEastAsia" w:eastAsiaTheme="minorEastAsia"/>
          <w:szCs w:val="32"/>
        </w:rPr>
      </w:pPr>
      <w:r>
        <w:rPr>
          <w:rFonts w:hint="eastAsia" w:asciiTheme="minorEastAsia" w:hAnsiTheme="minorEastAsia" w:eastAsiaTheme="minorEastAsia"/>
          <w:szCs w:val="32"/>
        </w:rPr>
        <w:t>三、支出预算情况说明</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本表反映部门年度总体支出预算情况。</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常州市人民政府外事办公室本年支出预算合计</w:t>
      </w:r>
      <w:r>
        <w:rPr>
          <w:rFonts w:hint="eastAsia" w:asciiTheme="minorEastAsia" w:hAnsiTheme="minorEastAsia" w:eastAsiaTheme="minorEastAsia"/>
          <w:szCs w:val="32"/>
        </w:rPr>
        <w:t>881.19</w:t>
      </w:r>
      <w:r>
        <w:rPr>
          <w:rFonts w:asciiTheme="minorEastAsia" w:hAnsiTheme="minorEastAsia" w:eastAsiaTheme="minorEastAsia"/>
          <w:szCs w:val="32"/>
        </w:rPr>
        <w:t>万元，其中：</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基本支出</w:t>
      </w:r>
      <w:r>
        <w:rPr>
          <w:rFonts w:hint="eastAsia" w:asciiTheme="minorEastAsia" w:hAnsiTheme="minorEastAsia" w:eastAsiaTheme="minorEastAsia"/>
          <w:szCs w:val="32"/>
        </w:rPr>
        <w:t>803.90</w:t>
      </w:r>
      <w:r>
        <w:rPr>
          <w:rFonts w:asciiTheme="minorEastAsia" w:hAnsiTheme="minorEastAsia" w:eastAsiaTheme="minorEastAsia"/>
          <w:szCs w:val="32"/>
        </w:rPr>
        <w:t>万元，占</w:t>
      </w:r>
      <w:r>
        <w:rPr>
          <w:rFonts w:hint="eastAsia" w:asciiTheme="minorEastAsia" w:hAnsiTheme="minorEastAsia" w:eastAsiaTheme="minorEastAsia"/>
          <w:szCs w:val="32"/>
        </w:rPr>
        <w:t>91.2</w:t>
      </w:r>
      <w:r>
        <w:rPr>
          <w:rFonts w:asciiTheme="minorEastAsia" w:hAnsiTheme="minorEastAsia" w:eastAsiaTheme="minorEastAsia"/>
          <w:szCs w:val="32"/>
        </w:rPr>
        <w:t>%；</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项目支出</w:t>
      </w:r>
      <w:r>
        <w:rPr>
          <w:rFonts w:hint="eastAsia" w:asciiTheme="minorEastAsia" w:hAnsiTheme="minorEastAsia" w:eastAsiaTheme="minorEastAsia"/>
          <w:szCs w:val="32"/>
        </w:rPr>
        <w:t>77.29</w:t>
      </w:r>
      <w:r>
        <w:rPr>
          <w:rFonts w:asciiTheme="minorEastAsia" w:hAnsiTheme="minorEastAsia" w:eastAsiaTheme="minorEastAsia"/>
          <w:szCs w:val="32"/>
        </w:rPr>
        <w:t>万元，占</w:t>
      </w:r>
      <w:r>
        <w:rPr>
          <w:rFonts w:hint="eastAsia" w:asciiTheme="minorEastAsia" w:hAnsiTheme="minorEastAsia" w:eastAsiaTheme="minorEastAsia"/>
          <w:szCs w:val="32"/>
        </w:rPr>
        <w:t>8.8</w:t>
      </w:r>
      <w:r>
        <w:rPr>
          <w:rFonts w:asciiTheme="minorEastAsia" w:hAnsiTheme="minorEastAsia" w:eastAsiaTheme="minorEastAsia"/>
          <w:szCs w:val="32"/>
        </w:rPr>
        <w:t>%；</w:t>
      </w:r>
    </w:p>
    <w:p>
      <w:pPr>
        <w:spacing w:line="570" w:lineRule="exact"/>
        <w:ind w:firstLine="640"/>
        <w:rPr>
          <w:rFonts w:asciiTheme="minorEastAsia" w:hAnsiTheme="minorEastAsia" w:eastAsiaTheme="minorEastAsia"/>
          <w:szCs w:val="32"/>
        </w:rPr>
      </w:pPr>
      <w:r>
        <w:rPr>
          <w:rFonts w:hint="eastAsia" w:asciiTheme="minorEastAsia" w:hAnsiTheme="minorEastAsia" w:eastAsiaTheme="minorEastAsia"/>
          <w:szCs w:val="32"/>
        </w:rPr>
        <w:t>四、财政拨款收支预算总表情况说明</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本表反映部门年度财政拨款总体收支预算情况。</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常州市人民政府外事办公室2017年度财政拨款收、支总预算</w:t>
      </w:r>
      <w:r>
        <w:rPr>
          <w:rFonts w:hint="eastAsia" w:asciiTheme="minorEastAsia" w:hAnsiTheme="minorEastAsia" w:eastAsiaTheme="minorEastAsia"/>
          <w:szCs w:val="32"/>
        </w:rPr>
        <w:t>881.19</w:t>
      </w:r>
      <w:r>
        <w:rPr>
          <w:rFonts w:asciiTheme="minorEastAsia" w:hAnsiTheme="minorEastAsia" w:eastAsiaTheme="minorEastAsia"/>
          <w:szCs w:val="32"/>
        </w:rPr>
        <w:t>万元。与上年相比，财政拨款收、支总计各增加</w:t>
      </w:r>
      <w:r>
        <w:rPr>
          <w:rFonts w:hint="eastAsia" w:asciiTheme="minorEastAsia" w:hAnsiTheme="minorEastAsia" w:eastAsiaTheme="minorEastAsia"/>
          <w:szCs w:val="32"/>
        </w:rPr>
        <w:t>140.94</w:t>
      </w:r>
      <w:r>
        <w:rPr>
          <w:rFonts w:asciiTheme="minorEastAsia" w:hAnsiTheme="minorEastAsia" w:eastAsiaTheme="minorEastAsia"/>
          <w:szCs w:val="32"/>
        </w:rPr>
        <w:t>万元，增长</w:t>
      </w:r>
      <w:r>
        <w:rPr>
          <w:rFonts w:hint="eastAsia" w:asciiTheme="minorEastAsia" w:hAnsiTheme="minorEastAsia" w:eastAsiaTheme="minorEastAsia"/>
          <w:szCs w:val="32"/>
        </w:rPr>
        <w:t>19</w:t>
      </w:r>
      <w:r>
        <w:rPr>
          <w:rFonts w:asciiTheme="minorEastAsia" w:hAnsiTheme="minorEastAsia" w:eastAsiaTheme="minorEastAsia"/>
          <w:szCs w:val="32"/>
        </w:rPr>
        <w:t>%。主要原因是</w:t>
      </w:r>
      <w:r>
        <w:rPr>
          <w:rFonts w:hint="eastAsia" w:asciiTheme="minorEastAsia" w:hAnsiTheme="minorEastAsia" w:eastAsiaTheme="minorEastAsia"/>
          <w:szCs w:val="32"/>
        </w:rPr>
        <w:t>车改后增加了交通补贴支出以及政策性增资增加了工资福利支出与住房保障支出</w:t>
      </w:r>
      <w:r>
        <w:rPr>
          <w:rFonts w:asciiTheme="minorEastAsia" w:hAnsiTheme="minorEastAsia" w:eastAsiaTheme="minorEastAsia"/>
          <w:szCs w:val="32"/>
        </w:rPr>
        <w:t>。</w:t>
      </w:r>
    </w:p>
    <w:p>
      <w:pPr>
        <w:spacing w:line="570" w:lineRule="exact"/>
        <w:ind w:firstLine="640"/>
        <w:rPr>
          <w:rFonts w:asciiTheme="minorEastAsia" w:hAnsiTheme="minorEastAsia" w:eastAsiaTheme="minorEastAsia"/>
          <w:szCs w:val="32"/>
        </w:rPr>
      </w:pPr>
      <w:r>
        <w:rPr>
          <w:rFonts w:hint="eastAsia" w:asciiTheme="minorEastAsia" w:hAnsiTheme="minorEastAsia" w:eastAsiaTheme="minorEastAsia"/>
          <w:szCs w:val="32"/>
        </w:rPr>
        <w:t>五、财政拨款支出预算表情况说明</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本表反映部门年度财政拨款支出预算安排情况。按照政府收支分类科目的</w:t>
      </w:r>
      <w:r>
        <w:rPr>
          <w:rFonts w:hint="eastAsia" w:asciiTheme="minorEastAsia" w:hAnsiTheme="minorEastAsia" w:eastAsiaTheme="minorEastAsia"/>
          <w:szCs w:val="32"/>
        </w:rPr>
        <w:t>功能</w:t>
      </w:r>
      <w:r>
        <w:rPr>
          <w:rFonts w:asciiTheme="minorEastAsia" w:hAnsiTheme="minorEastAsia" w:eastAsiaTheme="minorEastAsia"/>
          <w:szCs w:val="32"/>
        </w:rPr>
        <w:t>分类“</w:t>
      </w:r>
      <w:r>
        <w:rPr>
          <w:rFonts w:hint="eastAsia" w:asciiTheme="minorEastAsia" w:hAnsiTheme="minorEastAsia" w:eastAsiaTheme="minorEastAsia"/>
          <w:szCs w:val="32"/>
        </w:rPr>
        <w:t>项</w:t>
      </w:r>
      <w:r>
        <w:rPr>
          <w:rFonts w:asciiTheme="minorEastAsia" w:hAnsiTheme="minorEastAsia" w:eastAsiaTheme="minorEastAsia"/>
          <w:szCs w:val="32"/>
        </w:rPr>
        <w:t>”级细化列示。</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常州市人民政府外事办公室2017年财政拨款预算支出</w:t>
      </w:r>
      <w:r>
        <w:rPr>
          <w:rFonts w:hint="eastAsia" w:asciiTheme="minorEastAsia" w:hAnsiTheme="minorEastAsia" w:eastAsiaTheme="minorEastAsia"/>
          <w:szCs w:val="32"/>
        </w:rPr>
        <w:t>881.19</w:t>
      </w:r>
      <w:r>
        <w:rPr>
          <w:rFonts w:asciiTheme="minorEastAsia" w:hAnsiTheme="minorEastAsia" w:eastAsiaTheme="minorEastAsia"/>
          <w:szCs w:val="32"/>
        </w:rPr>
        <w:t>万元，占本年支出合计的</w:t>
      </w:r>
      <w:r>
        <w:rPr>
          <w:rFonts w:hint="eastAsia" w:asciiTheme="minorEastAsia" w:hAnsiTheme="minorEastAsia" w:eastAsiaTheme="minorEastAsia"/>
          <w:szCs w:val="32"/>
        </w:rPr>
        <w:t>100</w:t>
      </w:r>
      <w:r>
        <w:rPr>
          <w:rFonts w:asciiTheme="minorEastAsia" w:hAnsiTheme="minorEastAsia" w:eastAsiaTheme="minorEastAsia"/>
          <w:szCs w:val="32"/>
        </w:rPr>
        <w:t>%。与上年相比，财政拨款支出增加</w:t>
      </w:r>
      <w:r>
        <w:rPr>
          <w:rFonts w:hint="eastAsia" w:asciiTheme="minorEastAsia" w:hAnsiTheme="minorEastAsia" w:eastAsiaTheme="minorEastAsia"/>
          <w:szCs w:val="32"/>
        </w:rPr>
        <w:t>140.94</w:t>
      </w:r>
      <w:r>
        <w:rPr>
          <w:rFonts w:asciiTheme="minorEastAsia" w:hAnsiTheme="minorEastAsia" w:eastAsiaTheme="minorEastAsia"/>
          <w:szCs w:val="32"/>
        </w:rPr>
        <w:t>万元，增长</w:t>
      </w:r>
      <w:r>
        <w:rPr>
          <w:rFonts w:hint="eastAsia" w:asciiTheme="minorEastAsia" w:hAnsiTheme="minorEastAsia" w:eastAsiaTheme="minorEastAsia"/>
          <w:szCs w:val="32"/>
        </w:rPr>
        <w:t>19</w:t>
      </w:r>
      <w:r>
        <w:rPr>
          <w:rFonts w:asciiTheme="minorEastAsia" w:hAnsiTheme="minorEastAsia" w:eastAsiaTheme="minorEastAsia"/>
          <w:szCs w:val="32"/>
        </w:rPr>
        <w:t>%。主要原因是</w:t>
      </w:r>
      <w:r>
        <w:rPr>
          <w:rFonts w:hint="eastAsia" w:asciiTheme="minorEastAsia" w:hAnsiTheme="minorEastAsia" w:eastAsiaTheme="minorEastAsia"/>
          <w:szCs w:val="32"/>
        </w:rPr>
        <w:t>车改后增加了交通补贴支出以及政策性增资增加了工资福利支出与住房保障支出</w:t>
      </w:r>
      <w:r>
        <w:rPr>
          <w:rFonts w:asciiTheme="minorEastAsia" w:hAnsiTheme="minorEastAsia" w:eastAsiaTheme="minorEastAsia"/>
          <w:szCs w:val="32"/>
        </w:rPr>
        <w:t>。</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 xml:space="preserve">其中： </w:t>
      </w:r>
    </w:p>
    <w:p>
      <w:pPr>
        <w:autoSpaceDE w:val="0"/>
        <w:autoSpaceDN w:val="0"/>
        <w:adjustRightInd w:val="0"/>
        <w:snapToGrid w:val="0"/>
        <w:spacing w:line="570" w:lineRule="exact"/>
        <w:ind w:firstLine="641" w:firstLineChars="0"/>
        <w:rPr>
          <w:rFonts w:asciiTheme="minorEastAsia" w:hAnsiTheme="minorEastAsia" w:eastAsiaTheme="minorEastAsia"/>
          <w:snapToGrid w:val="0"/>
          <w:spacing w:val="-4"/>
          <w:kern w:val="0"/>
          <w:szCs w:val="32"/>
        </w:rPr>
      </w:pPr>
      <w:r>
        <w:rPr>
          <w:rFonts w:asciiTheme="minorEastAsia" w:hAnsiTheme="minorEastAsia" w:eastAsiaTheme="minorEastAsia"/>
          <w:snapToGrid w:val="0"/>
          <w:spacing w:val="-4"/>
          <w:kern w:val="0"/>
          <w:szCs w:val="32"/>
        </w:rPr>
        <w:t>（一）一般公共服务（类）</w:t>
      </w:r>
    </w:p>
    <w:p>
      <w:pPr>
        <w:autoSpaceDE w:val="0"/>
        <w:autoSpaceDN w:val="0"/>
        <w:adjustRightInd w:val="0"/>
        <w:snapToGrid w:val="0"/>
        <w:spacing w:line="570" w:lineRule="exact"/>
        <w:ind w:firstLine="641" w:firstLineChars="0"/>
        <w:rPr>
          <w:rFonts w:asciiTheme="minorEastAsia" w:hAnsiTheme="minorEastAsia" w:eastAsiaTheme="minorEastAsia"/>
          <w:snapToGrid w:val="0"/>
          <w:spacing w:val="-4"/>
          <w:kern w:val="0"/>
          <w:szCs w:val="32"/>
        </w:rPr>
      </w:pPr>
      <w:r>
        <w:rPr>
          <w:rFonts w:asciiTheme="minorEastAsia" w:hAnsiTheme="minorEastAsia" w:eastAsiaTheme="minorEastAsia"/>
          <w:snapToGrid w:val="0"/>
          <w:spacing w:val="-4"/>
          <w:kern w:val="0"/>
          <w:szCs w:val="32"/>
        </w:rPr>
        <w:t>1</w:t>
      </w:r>
      <w:r>
        <w:rPr>
          <w:rFonts w:hint="eastAsia" w:asciiTheme="minorEastAsia" w:hAnsiTheme="minorEastAsia" w:eastAsiaTheme="minorEastAsia"/>
          <w:snapToGrid w:val="0"/>
          <w:spacing w:val="-4"/>
          <w:kern w:val="0"/>
          <w:szCs w:val="32"/>
        </w:rPr>
        <w:t>．</w:t>
      </w:r>
      <w:r>
        <w:rPr>
          <w:rFonts w:hint="eastAsia" w:asciiTheme="minorEastAsia" w:hAnsiTheme="minorEastAsia" w:eastAsiaTheme="minorEastAsia"/>
          <w:szCs w:val="32"/>
        </w:rPr>
        <w:t>政府办公厅（室）及相关机构事务</w:t>
      </w:r>
      <w:r>
        <w:rPr>
          <w:rFonts w:asciiTheme="minorEastAsia" w:hAnsiTheme="minorEastAsia" w:eastAsiaTheme="minorEastAsia"/>
          <w:snapToGrid w:val="0"/>
          <w:spacing w:val="-4"/>
          <w:kern w:val="0"/>
          <w:szCs w:val="32"/>
        </w:rPr>
        <w:t>（款）行政运行（项）</w:t>
      </w:r>
      <w:r>
        <w:rPr>
          <w:rFonts w:asciiTheme="minorEastAsia" w:hAnsiTheme="minorEastAsia" w:eastAsiaTheme="minorEastAsia"/>
          <w:szCs w:val="32"/>
        </w:rPr>
        <w:t>预算</w:t>
      </w:r>
      <w:r>
        <w:rPr>
          <w:rFonts w:asciiTheme="minorEastAsia" w:hAnsiTheme="minorEastAsia" w:eastAsiaTheme="minorEastAsia"/>
          <w:snapToGrid w:val="0"/>
          <w:spacing w:val="-4"/>
          <w:kern w:val="0"/>
          <w:szCs w:val="32"/>
        </w:rPr>
        <w:t>支出</w:t>
      </w:r>
      <w:r>
        <w:rPr>
          <w:rFonts w:hint="eastAsia" w:asciiTheme="minorEastAsia" w:hAnsiTheme="minorEastAsia" w:eastAsiaTheme="minorEastAsia"/>
          <w:snapToGrid w:val="0"/>
          <w:spacing w:val="-4"/>
          <w:kern w:val="0"/>
          <w:szCs w:val="32"/>
        </w:rPr>
        <w:t>440</w:t>
      </w:r>
      <w:r>
        <w:rPr>
          <w:rFonts w:asciiTheme="minorEastAsia" w:hAnsiTheme="minorEastAsia" w:eastAsiaTheme="minorEastAsia"/>
          <w:snapToGrid w:val="0"/>
          <w:spacing w:val="-4"/>
          <w:kern w:val="0"/>
          <w:szCs w:val="32"/>
        </w:rPr>
        <w:t>万元，</w:t>
      </w:r>
      <w:r>
        <w:rPr>
          <w:rFonts w:asciiTheme="minorEastAsia" w:hAnsiTheme="minorEastAsia" w:eastAsiaTheme="minorEastAsia"/>
          <w:szCs w:val="32"/>
        </w:rPr>
        <w:t>与上年相比增加</w:t>
      </w:r>
      <w:r>
        <w:rPr>
          <w:rFonts w:hint="eastAsia" w:asciiTheme="minorEastAsia" w:hAnsiTheme="minorEastAsia" w:eastAsiaTheme="minorEastAsia"/>
          <w:szCs w:val="32"/>
        </w:rPr>
        <w:t>86.58</w:t>
      </w:r>
      <w:r>
        <w:rPr>
          <w:rFonts w:asciiTheme="minorEastAsia" w:hAnsiTheme="minorEastAsia" w:eastAsiaTheme="minorEastAsia"/>
          <w:szCs w:val="32"/>
        </w:rPr>
        <w:t>万元，增长</w:t>
      </w:r>
      <w:r>
        <w:rPr>
          <w:rFonts w:hint="eastAsia" w:asciiTheme="minorEastAsia" w:hAnsiTheme="minorEastAsia" w:eastAsiaTheme="minorEastAsia"/>
          <w:szCs w:val="32"/>
        </w:rPr>
        <w:t>24.5</w:t>
      </w:r>
      <w:r>
        <w:rPr>
          <w:rFonts w:asciiTheme="minorEastAsia" w:hAnsiTheme="minorEastAsia" w:eastAsiaTheme="minorEastAsia"/>
          <w:szCs w:val="32"/>
        </w:rPr>
        <w:t>%。主要原因是</w:t>
      </w:r>
      <w:r>
        <w:rPr>
          <w:rFonts w:hint="eastAsia" w:asciiTheme="minorEastAsia" w:hAnsiTheme="minorEastAsia" w:eastAsiaTheme="minorEastAsia"/>
          <w:szCs w:val="32"/>
        </w:rPr>
        <w:t>车改后增加了交通补贴支出以及政策性增资增加了工资福利支出</w:t>
      </w:r>
      <w:r>
        <w:rPr>
          <w:rFonts w:asciiTheme="minorEastAsia" w:hAnsiTheme="minorEastAsia" w:eastAsiaTheme="minorEastAsia"/>
          <w:szCs w:val="32"/>
        </w:rPr>
        <w:t>。</w:t>
      </w:r>
    </w:p>
    <w:p>
      <w:pPr>
        <w:autoSpaceDE w:val="0"/>
        <w:autoSpaceDN w:val="0"/>
        <w:adjustRightInd w:val="0"/>
        <w:snapToGrid w:val="0"/>
        <w:spacing w:line="570" w:lineRule="exact"/>
        <w:ind w:firstLine="641" w:firstLineChars="0"/>
        <w:rPr>
          <w:rFonts w:asciiTheme="minorEastAsia" w:hAnsiTheme="minorEastAsia" w:eastAsiaTheme="minorEastAsia"/>
          <w:sz w:val="24"/>
          <w:szCs w:val="24"/>
        </w:rPr>
      </w:pPr>
      <w:r>
        <w:rPr>
          <w:rFonts w:hint="eastAsia" w:asciiTheme="minorEastAsia" w:hAnsiTheme="minorEastAsia" w:eastAsiaTheme="minorEastAsia"/>
          <w:snapToGrid w:val="0"/>
          <w:spacing w:val="-4"/>
          <w:kern w:val="0"/>
          <w:szCs w:val="32"/>
        </w:rPr>
        <w:t>2.</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Cs w:val="32"/>
        </w:rPr>
        <w:t>政府办公厅（室）及相关机构事务</w:t>
      </w:r>
      <w:r>
        <w:rPr>
          <w:rFonts w:asciiTheme="minorEastAsia" w:hAnsiTheme="minorEastAsia" w:eastAsiaTheme="minorEastAsia"/>
          <w:snapToGrid w:val="0"/>
          <w:spacing w:val="-4"/>
          <w:kern w:val="0"/>
          <w:szCs w:val="32"/>
        </w:rPr>
        <w:t>（款）</w:t>
      </w:r>
      <w:r>
        <w:rPr>
          <w:rFonts w:hint="eastAsia" w:asciiTheme="minorEastAsia" w:hAnsiTheme="minorEastAsia" w:eastAsiaTheme="minorEastAsia"/>
          <w:szCs w:val="32"/>
        </w:rPr>
        <w:t>一般行政管理事务</w:t>
      </w:r>
      <w:r>
        <w:rPr>
          <w:rFonts w:asciiTheme="minorEastAsia" w:hAnsiTheme="minorEastAsia" w:eastAsiaTheme="minorEastAsia"/>
          <w:snapToGrid w:val="0"/>
          <w:spacing w:val="-4"/>
          <w:kern w:val="0"/>
          <w:szCs w:val="32"/>
        </w:rPr>
        <w:t>（项）</w:t>
      </w:r>
      <w:r>
        <w:rPr>
          <w:rFonts w:asciiTheme="minorEastAsia" w:hAnsiTheme="minorEastAsia" w:eastAsiaTheme="minorEastAsia"/>
          <w:szCs w:val="32"/>
        </w:rPr>
        <w:t>预算</w:t>
      </w:r>
      <w:r>
        <w:rPr>
          <w:rFonts w:asciiTheme="minorEastAsia" w:hAnsiTheme="minorEastAsia" w:eastAsiaTheme="minorEastAsia"/>
          <w:snapToGrid w:val="0"/>
          <w:spacing w:val="-4"/>
          <w:kern w:val="0"/>
          <w:szCs w:val="32"/>
        </w:rPr>
        <w:t>支出</w:t>
      </w:r>
      <w:r>
        <w:rPr>
          <w:rFonts w:hint="eastAsia" w:asciiTheme="minorEastAsia" w:hAnsiTheme="minorEastAsia" w:eastAsiaTheme="minorEastAsia"/>
          <w:snapToGrid w:val="0"/>
          <w:spacing w:val="-4"/>
          <w:kern w:val="0"/>
          <w:szCs w:val="32"/>
        </w:rPr>
        <w:t>77.29</w:t>
      </w:r>
      <w:r>
        <w:rPr>
          <w:rFonts w:asciiTheme="minorEastAsia" w:hAnsiTheme="minorEastAsia" w:eastAsiaTheme="minorEastAsia"/>
          <w:snapToGrid w:val="0"/>
          <w:spacing w:val="-4"/>
          <w:kern w:val="0"/>
          <w:szCs w:val="32"/>
        </w:rPr>
        <w:t>万元，</w:t>
      </w:r>
      <w:r>
        <w:rPr>
          <w:rFonts w:asciiTheme="minorEastAsia" w:hAnsiTheme="minorEastAsia" w:eastAsiaTheme="minorEastAsia"/>
          <w:szCs w:val="32"/>
        </w:rPr>
        <w:t>与上年</w:t>
      </w:r>
      <w:r>
        <w:rPr>
          <w:rFonts w:hint="eastAsia" w:asciiTheme="minorEastAsia" w:hAnsiTheme="minorEastAsia" w:eastAsiaTheme="minorEastAsia"/>
          <w:szCs w:val="32"/>
        </w:rPr>
        <w:t>持平</w:t>
      </w:r>
      <w:r>
        <w:rPr>
          <w:rFonts w:asciiTheme="minorEastAsia" w:hAnsiTheme="minorEastAsia" w:eastAsiaTheme="minorEastAsia"/>
          <w:snapToGrid w:val="0"/>
          <w:spacing w:val="-4"/>
          <w:kern w:val="0"/>
          <w:szCs w:val="32"/>
        </w:rPr>
        <w:t>。</w:t>
      </w:r>
    </w:p>
    <w:p>
      <w:pPr>
        <w:autoSpaceDE w:val="0"/>
        <w:autoSpaceDN w:val="0"/>
        <w:adjustRightInd w:val="0"/>
        <w:snapToGrid w:val="0"/>
        <w:spacing w:line="570" w:lineRule="exact"/>
        <w:ind w:firstLine="641" w:firstLineChars="0"/>
        <w:rPr>
          <w:rFonts w:asciiTheme="minorEastAsia" w:hAnsiTheme="minorEastAsia" w:eastAsiaTheme="minorEastAsia"/>
          <w:snapToGrid w:val="0"/>
          <w:spacing w:val="-4"/>
          <w:kern w:val="0"/>
          <w:szCs w:val="32"/>
        </w:rPr>
      </w:pPr>
      <w:r>
        <w:rPr>
          <w:rFonts w:hint="eastAsia" w:asciiTheme="minorEastAsia" w:hAnsiTheme="minorEastAsia" w:eastAsiaTheme="minorEastAsia"/>
          <w:szCs w:val="32"/>
        </w:rPr>
        <w:t>3. 政府办公厅（室）及相关机构事务</w:t>
      </w:r>
      <w:r>
        <w:rPr>
          <w:rFonts w:asciiTheme="minorEastAsia" w:hAnsiTheme="minorEastAsia" w:eastAsiaTheme="minorEastAsia"/>
          <w:snapToGrid w:val="0"/>
          <w:spacing w:val="-4"/>
          <w:kern w:val="0"/>
          <w:szCs w:val="32"/>
        </w:rPr>
        <w:t>（款）</w:t>
      </w:r>
      <w:r>
        <w:rPr>
          <w:rFonts w:hint="eastAsia" w:asciiTheme="minorEastAsia" w:hAnsiTheme="minorEastAsia" w:eastAsiaTheme="minorEastAsia"/>
          <w:szCs w:val="32"/>
        </w:rPr>
        <w:t>事业运行</w:t>
      </w:r>
      <w:r>
        <w:rPr>
          <w:rFonts w:asciiTheme="minorEastAsia" w:hAnsiTheme="minorEastAsia" w:eastAsiaTheme="minorEastAsia"/>
          <w:snapToGrid w:val="0"/>
          <w:spacing w:val="-4"/>
          <w:kern w:val="0"/>
          <w:szCs w:val="32"/>
        </w:rPr>
        <w:t>（项）</w:t>
      </w:r>
      <w:r>
        <w:rPr>
          <w:rFonts w:asciiTheme="minorEastAsia" w:hAnsiTheme="minorEastAsia" w:eastAsiaTheme="minorEastAsia"/>
          <w:szCs w:val="32"/>
        </w:rPr>
        <w:t>预算</w:t>
      </w:r>
      <w:r>
        <w:rPr>
          <w:rFonts w:asciiTheme="minorEastAsia" w:hAnsiTheme="minorEastAsia" w:eastAsiaTheme="minorEastAsia"/>
          <w:snapToGrid w:val="0"/>
          <w:spacing w:val="-4"/>
          <w:kern w:val="0"/>
          <w:szCs w:val="32"/>
        </w:rPr>
        <w:t>支出</w:t>
      </w:r>
      <w:r>
        <w:rPr>
          <w:rFonts w:hint="eastAsia" w:asciiTheme="minorEastAsia" w:hAnsiTheme="minorEastAsia" w:eastAsiaTheme="minorEastAsia"/>
          <w:snapToGrid w:val="0"/>
          <w:spacing w:val="-4"/>
          <w:kern w:val="0"/>
          <w:szCs w:val="32"/>
        </w:rPr>
        <w:t>40</w:t>
      </w:r>
      <w:r>
        <w:rPr>
          <w:rFonts w:asciiTheme="minorEastAsia" w:hAnsiTheme="minorEastAsia" w:eastAsiaTheme="minorEastAsia"/>
          <w:snapToGrid w:val="0"/>
          <w:spacing w:val="-4"/>
          <w:kern w:val="0"/>
          <w:szCs w:val="32"/>
        </w:rPr>
        <w:t>万元</w:t>
      </w:r>
      <w:r>
        <w:rPr>
          <w:rFonts w:hint="eastAsia" w:asciiTheme="minorEastAsia" w:hAnsiTheme="minorEastAsia" w:eastAsiaTheme="minorEastAsia"/>
          <w:snapToGrid w:val="0"/>
          <w:spacing w:val="-4"/>
          <w:kern w:val="0"/>
          <w:szCs w:val="32"/>
        </w:rPr>
        <w:t>，</w:t>
      </w:r>
      <w:r>
        <w:rPr>
          <w:rFonts w:asciiTheme="minorEastAsia" w:hAnsiTheme="minorEastAsia" w:eastAsiaTheme="minorEastAsia"/>
          <w:szCs w:val="32"/>
        </w:rPr>
        <w:t>与上年</w:t>
      </w:r>
      <w:r>
        <w:rPr>
          <w:rFonts w:hint="eastAsia" w:asciiTheme="minorEastAsia" w:hAnsiTheme="minorEastAsia" w:eastAsiaTheme="minorEastAsia"/>
          <w:szCs w:val="32"/>
        </w:rPr>
        <w:t>持平</w:t>
      </w:r>
      <w:r>
        <w:rPr>
          <w:rFonts w:asciiTheme="minorEastAsia" w:hAnsiTheme="minorEastAsia" w:eastAsiaTheme="minorEastAsia"/>
          <w:snapToGrid w:val="0"/>
          <w:spacing w:val="-4"/>
          <w:kern w:val="0"/>
          <w:szCs w:val="32"/>
        </w:rPr>
        <w:t>。</w:t>
      </w:r>
    </w:p>
    <w:p>
      <w:pPr>
        <w:autoSpaceDE w:val="0"/>
        <w:autoSpaceDN w:val="0"/>
        <w:adjustRightInd w:val="0"/>
        <w:snapToGrid w:val="0"/>
        <w:spacing w:line="570" w:lineRule="exact"/>
        <w:ind w:firstLine="641" w:firstLineChars="0"/>
        <w:rPr>
          <w:rFonts w:asciiTheme="minorEastAsia" w:hAnsiTheme="minorEastAsia" w:eastAsiaTheme="minorEastAsia"/>
          <w:snapToGrid w:val="0"/>
          <w:spacing w:val="-4"/>
          <w:kern w:val="0"/>
          <w:szCs w:val="32"/>
        </w:rPr>
      </w:pPr>
      <w:r>
        <w:rPr>
          <w:rFonts w:hint="eastAsia" w:asciiTheme="minorEastAsia" w:hAnsiTheme="minorEastAsia" w:eastAsiaTheme="minorEastAsia"/>
          <w:snapToGrid w:val="0"/>
          <w:spacing w:val="-4"/>
          <w:kern w:val="0"/>
          <w:szCs w:val="32"/>
        </w:rPr>
        <w:t>（二）社会保障和就业（类）</w:t>
      </w:r>
    </w:p>
    <w:p>
      <w:pPr>
        <w:autoSpaceDE w:val="0"/>
        <w:autoSpaceDN w:val="0"/>
        <w:adjustRightInd w:val="0"/>
        <w:snapToGrid w:val="0"/>
        <w:spacing w:line="570" w:lineRule="exact"/>
        <w:ind w:firstLine="641" w:firstLineChars="0"/>
        <w:rPr>
          <w:rFonts w:asciiTheme="minorEastAsia" w:hAnsiTheme="minorEastAsia" w:eastAsiaTheme="minorEastAsia"/>
          <w:snapToGrid w:val="0"/>
          <w:spacing w:val="-4"/>
          <w:kern w:val="0"/>
          <w:szCs w:val="32"/>
        </w:rPr>
      </w:pPr>
      <w:r>
        <w:rPr>
          <w:rFonts w:hint="eastAsia" w:asciiTheme="minorEastAsia" w:hAnsiTheme="minorEastAsia" w:eastAsiaTheme="minorEastAsia"/>
          <w:snapToGrid w:val="0"/>
          <w:spacing w:val="-4"/>
          <w:kern w:val="0"/>
          <w:szCs w:val="32"/>
        </w:rPr>
        <w:t>1</w:t>
      </w:r>
      <w:r>
        <w:rPr>
          <w:rFonts w:asciiTheme="minorEastAsia" w:hAnsiTheme="minorEastAsia" w:eastAsiaTheme="minorEastAsia"/>
          <w:snapToGrid w:val="0"/>
          <w:spacing w:val="-4"/>
          <w:kern w:val="0"/>
          <w:szCs w:val="32"/>
        </w:rPr>
        <w:t>．</w:t>
      </w:r>
      <w:r>
        <w:rPr>
          <w:rFonts w:hint="eastAsia" w:asciiTheme="minorEastAsia" w:hAnsiTheme="minorEastAsia" w:eastAsiaTheme="minorEastAsia"/>
          <w:szCs w:val="32"/>
        </w:rPr>
        <w:t>行政事业单位离退休</w:t>
      </w:r>
      <w:r>
        <w:rPr>
          <w:rFonts w:asciiTheme="minorEastAsia" w:hAnsiTheme="minorEastAsia" w:eastAsiaTheme="minorEastAsia"/>
          <w:snapToGrid w:val="0"/>
          <w:spacing w:val="-4"/>
          <w:kern w:val="0"/>
          <w:szCs w:val="32"/>
        </w:rPr>
        <w:t>（款）</w:t>
      </w:r>
      <w:r>
        <w:rPr>
          <w:rFonts w:hint="eastAsia" w:asciiTheme="minorEastAsia" w:hAnsiTheme="minorEastAsia" w:eastAsiaTheme="minorEastAsia"/>
          <w:snapToGrid w:val="0"/>
          <w:spacing w:val="-4"/>
          <w:kern w:val="0"/>
          <w:szCs w:val="32"/>
        </w:rPr>
        <w:t>归口管理的</w:t>
      </w:r>
      <w:r>
        <w:rPr>
          <w:rFonts w:hint="eastAsia" w:asciiTheme="minorEastAsia" w:hAnsiTheme="minorEastAsia" w:eastAsiaTheme="minorEastAsia"/>
          <w:szCs w:val="32"/>
        </w:rPr>
        <w:t>行政事业单位离退休</w:t>
      </w:r>
      <w:r>
        <w:rPr>
          <w:rFonts w:asciiTheme="minorEastAsia" w:hAnsiTheme="minorEastAsia" w:eastAsiaTheme="minorEastAsia"/>
          <w:snapToGrid w:val="0"/>
          <w:spacing w:val="-4"/>
          <w:kern w:val="0"/>
          <w:szCs w:val="32"/>
        </w:rPr>
        <w:t>（项）</w:t>
      </w:r>
      <w:r>
        <w:rPr>
          <w:rFonts w:asciiTheme="minorEastAsia" w:hAnsiTheme="minorEastAsia" w:eastAsiaTheme="minorEastAsia"/>
          <w:szCs w:val="32"/>
        </w:rPr>
        <w:t>预算</w:t>
      </w:r>
      <w:r>
        <w:rPr>
          <w:rFonts w:asciiTheme="minorEastAsia" w:hAnsiTheme="minorEastAsia" w:eastAsiaTheme="minorEastAsia"/>
          <w:snapToGrid w:val="0"/>
          <w:spacing w:val="-4"/>
          <w:kern w:val="0"/>
          <w:szCs w:val="32"/>
        </w:rPr>
        <w:t>支出</w:t>
      </w:r>
      <w:r>
        <w:rPr>
          <w:rFonts w:hint="eastAsia" w:asciiTheme="minorEastAsia" w:hAnsiTheme="minorEastAsia" w:eastAsiaTheme="minorEastAsia"/>
          <w:snapToGrid w:val="0"/>
          <w:spacing w:val="-4"/>
          <w:kern w:val="0"/>
          <w:szCs w:val="32"/>
        </w:rPr>
        <w:t>195.57</w:t>
      </w:r>
      <w:r>
        <w:rPr>
          <w:rFonts w:asciiTheme="minorEastAsia" w:hAnsiTheme="minorEastAsia" w:eastAsiaTheme="minorEastAsia"/>
          <w:snapToGrid w:val="0"/>
          <w:spacing w:val="-4"/>
          <w:kern w:val="0"/>
          <w:szCs w:val="32"/>
        </w:rPr>
        <w:t>万元，</w:t>
      </w:r>
      <w:r>
        <w:rPr>
          <w:rFonts w:asciiTheme="minorEastAsia" w:hAnsiTheme="minorEastAsia" w:eastAsiaTheme="minorEastAsia"/>
          <w:szCs w:val="32"/>
        </w:rPr>
        <w:t>与上年相比增加</w:t>
      </w:r>
      <w:r>
        <w:rPr>
          <w:rFonts w:hint="eastAsia" w:asciiTheme="minorEastAsia" w:hAnsiTheme="minorEastAsia" w:eastAsiaTheme="minorEastAsia"/>
          <w:szCs w:val="32"/>
        </w:rPr>
        <w:t>11.63</w:t>
      </w:r>
      <w:r>
        <w:rPr>
          <w:rFonts w:asciiTheme="minorEastAsia" w:hAnsiTheme="minorEastAsia" w:eastAsiaTheme="minorEastAsia"/>
          <w:szCs w:val="32"/>
        </w:rPr>
        <w:t>万元，增长</w:t>
      </w:r>
      <w:r>
        <w:rPr>
          <w:rFonts w:hint="eastAsia" w:asciiTheme="minorEastAsia" w:hAnsiTheme="minorEastAsia" w:eastAsiaTheme="minorEastAsia"/>
          <w:szCs w:val="32"/>
        </w:rPr>
        <w:t>6.3</w:t>
      </w:r>
      <w:r>
        <w:rPr>
          <w:rFonts w:asciiTheme="minorEastAsia" w:hAnsiTheme="minorEastAsia" w:eastAsiaTheme="minorEastAsia"/>
          <w:szCs w:val="32"/>
        </w:rPr>
        <w:t>%。主要原因是</w:t>
      </w:r>
      <w:r>
        <w:rPr>
          <w:rFonts w:hint="eastAsia" w:asciiTheme="minorEastAsia" w:hAnsiTheme="minorEastAsia" w:eastAsiaTheme="minorEastAsia"/>
          <w:snapToGrid w:val="0"/>
          <w:spacing w:val="-4"/>
          <w:kern w:val="0"/>
          <w:szCs w:val="32"/>
        </w:rPr>
        <w:t>离退休人员</w:t>
      </w:r>
      <w:r>
        <w:rPr>
          <w:rFonts w:hint="eastAsia" w:asciiTheme="minorEastAsia" w:hAnsiTheme="minorEastAsia" w:eastAsiaTheme="minorEastAsia"/>
          <w:szCs w:val="32"/>
        </w:rPr>
        <w:t>增加了</w:t>
      </w:r>
      <w:r>
        <w:rPr>
          <w:rFonts w:hint="eastAsia" w:asciiTheme="minorEastAsia" w:hAnsiTheme="minorEastAsia" w:eastAsiaTheme="minorEastAsia"/>
          <w:snapToGrid w:val="0"/>
          <w:spacing w:val="-4"/>
          <w:kern w:val="0"/>
          <w:szCs w:val="32"/>
        </w:rPr>
        <w:t>离退休费</w:t>
      </w:r>
      <w:r>
        <w:rPr>
          <w:rFonts w:asciiTheme="minorEastAsia" w:hAnsiTheme="minorEastAsia" w:eastAsiaTheme="minorEastAsia"/>
          <w:szCs w:val="32"/>
        </w:rPr>
        <w:t>。</w:t>
      </w:r>
    </w:p>
    <w:p>
      <w:pPr>
        <w:autoSpaceDE w:val="0"/>
        <w:autoSpaceDN w:val="0"/>
        <w:adjustRightInd w:val="0"/>
        <w:snapToGrid w:val="0"/>
        <w:spacing w:line="570" w:lineRule="exact"/>
        <w:ind w:firstLine="641" w:firstLineChars="0"/>
        <w:rPr>
          <w:rFonts w:asciiTheme="minorEastAsia" w:hAnsiTheme="minorEastAsia" w:eastAsiaTheme="minorEastAsia"/>
          <w:snapToGrid w:val="0"/>
          <w:spacing w:val="-4"/>
          <w:kern w:val="0"/>
          <w:szCs w:val="32"/>
        </w:rPr>
      </w:pPr>
      <w:r>
        <w:rPr>
          <w:rFonts w:hint="eastAsia" w:asciiTheme="minorEastAsia" w:hAnsiTheme="minorEastAsia" w:eastAsiaTheme="minorEastAsia"/>
          <w:snapToGrid w:val="0"/>
          <w:spacing w:val="-4"/>
          <w:kern w:val="0"/>
          <w:szCs w:val="32"/>
        </w:rPr>
        <w:t>（三）医疗卫生与计划生育（类）</w:t>
      </w:r>
    </w:p>
    <w:p>
      <w:pPr>
        <w:autoSpaceDE w:val="0"/>
        <w:autoSpaceDN w:val="0"/>
        <w:adjustRightInd w:val="0"/>
        <w:snapToGrid w:val="0"/>
        <w:spacing w:line="570" w:lineRule="exact"/>
        <w:ind w:firstLine="641" w:firstLineChars="0"/>
        <w:rPr>
          <w:rFonts w:asciiTheme="minorEastAsia" w:hAnsiTheme="minorEastAsia" w:eastAsiaTheme="minorEastAsia"/>
          <w:snapToGrid w:val="0"/>
          <w:spacing w:val="-4"/>
          <w:kern w:val="0"/>
          <w:szCs w:val="32"/>
        </w:rPr>
      </w:pPr>
      <w:r>
        <w:rPr>
          <w:rFonts w:hint="eastAsia" w:asciiTheme="minorEastAsia" w:hAnsiTheme="minorEastAsia" w:eastAsiaTheme="minorEastAsia"/>
          <w:snapToGrid w:val="0"/>
          <w:spacing w:val="-4"/>
          <w:kern w:val="0"/>
          <w:szCs w:val="32"/>
        </w:rPr>
        <w:t>1</w:t>
      </w:r>
      <w:r>
        <w:rPr>
          <w:rFonts w:asciiTheme="minorEastAsia" w:hAnsiTheme="minorEastAsia" w:eastAsiaTheme="minorEastAsia"/>
          <w:snapToGrid w:val="0"/>
          <w:spacing w:val="-4"/>
          <w:kern w:val="0"/>
          <w:szCs w:val="32"/>
        </w:rPr>
        <w:t>．</w:t>
      </w:r>
      <w:r>
        <w:rPr>
          <w:rFonts w:hint="eastAsia" w:asciiTheme="minorEastAsia" w:hAnsiTheme="minorEastAsia" w:eastAsiaTheme="minorEastAsia"/>
          <w:szCs w:val="32"/>
        </w:rPr>
        <w:t>医疗保障</w:t>
      </w:r>
      <w:r>
        <w:rPr>
          <w:rFonts w:asciiTheme="minorEastAsia" w:hAnsiTheme="minorEastAsia" w:eastAsiaTheme="minorEastAsia"/>
          <w:snapToGrid w:val="0"/>
          <w:spacing w:val="-4"/>
          <w:kern w:val="0"/>
          <w:szCs w:val="32"/>
        </w:rPr>
        <w:t>（款）</w:t>
      </w:r>
      <w:r>
        <w:rPr>
          <w:rFonts w:hint="eastAsia" w:asciiTheme="minorEastAsia" w:hAnsiTheme="minorEastAsia" w:eastAsiaTheme="minorEastAsia"/>
          <w:snapToGrid w:val="0"/>
          <w:spacing w:val="-4"/>
          <w:kern w:val="0"/>
          <w:szCs w:val="32"/>
        </w:rPr>
        <w:t>行政单位医疗</w:t>
      </w:r>
      <w:r>
        <w:rPr>
          <w:rFonts w:asciiTheme="minorEastAsia" w:hAnsiTheme="minorEastAsia" w:eastAsiaTheme="minorEastAsia"/>
          <w:snapToGrid w:val="0"/>
          <w:spacing w:val="-4"/>
          <w:kern w:val="0"/>
          <w:szCs w:val="32"/>
        </w:rPr>
        <w:t>（项）</w:t>
      </w:r>
      <w:r>
        <w:rPr>
          <w:rFonts w:asciiTheme="minorEastAsia" w:hAnsiTheme="minorEastAsia" w:eastAsiaTheme="minorEastAsia"/>
          <w:szCs w:val="32"/>
        </w:rPr>
        <w:t>预算</w:t>
      </w:r>
      <w:r>
        <w:rPr>
          <w:rFonts w:asciiTheme="minorEastAsia" w:hAnsiTheme="minorEastAsia" w:eastAsiaTheme="minorEastAsia"/>
          <w:snapToGrid w:val="0"/>
          <w:spacing w:val="-4"/>
          <w:kern w:val="0"/>
          <w:szCs w:val="32"/>
        </w:rPr>
        <w:t>支出</w:t>
      </w:r>
      <w:r>
        <w:rPr>
          <w:rFonts w:hint="eastAsia" w:asciiTheme="minorEastAsia" w:hAnsiTheme="minorEastAsia" w:eastAsiaTheme="minorEastAsia"/>
          <w:snapToGrid w:val="0"/>
          <w:spacing w:val="-4"/>
          <w:kern w:val="0"/>
          <w:szCs w:val="32"/>
        </w:rPr>
        <w:t>26.23</w:t>
      </w:r>
      <w:r>
        <w:rPr>
          <w:rFonts w:asciiTheme="minorEastAsia" w:hAnsiTheme="minorEastAsia" w:eastAsiaTheme="minorEastAsia"/>
          <w:snapToGrid w:val="0"/>
          <w:spacing w:val="-4"/>
          <w:kern w:val="0"/>
          <w:szCs w:val="32"/>
        </w:rPr>
        <w:t>万元，与上年相比增加</w:t>
      </w:r>
      <w:r>
        <w:rPr>
          <w:rFonts w:hint="eastAsia" w:asciiTheme="minorEastAsia" w:hAnsiTheme="minorEastAsia" w:eastAsiaTheme="minorEastAsia"/>
          <w:snapToGrid w:val="0"/>
          <w:spacing w:val="-4"/>
          <w:kern w:val="0"/>
          <w:szCs w:val="32"/>
        </w:rPr>
        <w:t>6.75</w:t>
      </w:r>
      <w:r>
        <w:rPr>
          <w:rFonts w:asciiTheme="minorEastAsia" w:hAnsiTheme="minorEastAsia" w:eastAsiaTheme="minorEastAsia"/>
          <w:snapToGrid w:val="0"/>
          <w:spacing w:val="-4"/>
          <w:kern w:val="0"/>
          <w:szCs w:val="32"/>
        </w:rPr>
        <w:t>万元，增加</w:t>
      </w:r>
      <w:r>
        <w:rPr>
          <w:rFonts w:hint="eastAsia" w:asciiTheme="minorEastAsia" w:hAnsiTheme="minorEastAsia" w:eastAsiaTheme="minorEastAsia"/>
          <w:snapToGrid w:val="0"/>
          <w:spacing w:val="-4"/>
          <w:kern w:val="0"/>
          <w:szCs w:val="32"/>
        </w:rPr>
        <w:t>34.7</w:t>
      </w:r>
      <w:r>
        <w:rPr>
          <w:rFonts w:asciiTheme="minorEastAsia" w:hAnsiTheme="minorEastAsia" w:eastAsiaTheme="minorEastAsia"/>
          <w:snapToGrid w:val="0"/>
          <w:spacing w:val="-4"/>
          <w:kern w:val="0"/>
          <w:szCs w:val="32"/>
        </w:rPr>
        <w:t>%。主要原因是</w:t>
      </w:r>
      <w:r>
        <w:rPr>
          <w:rFonts w:hint="eastAsia" w:asciiTheme="minorEastAsia" w:hAnsiTheme="minorEastAsia" w:eastAsiaTheme="minorEastAsia"/>
          <w:snapToGrid w:val="0"/>
          <w:spacing w:val="-4"/>
          <w:kern w:val="0"/>
          <w:szCs w:val="32"/>
        </w:rPr>
        <w:t>在职人员基本医疗保险缴费基数增加</w:t>
      </w:r>
      <w:r>
        <w:rPr>
          <w:rFonts w:asciiTheme="minorEastAsia" w:hAnsiTheme="minorEastAsia" w:eastAsiaTheme="minorEastAsia"/>
          <w:snapToGrid w:val="0"/>
          <w:spacing w:val="-4"/>
          <w:kern w:val="0"/>
          <w:szCs w:val="32"/>
        </w:rPr>
        <w:t>。</w:t>
      </w:r>
    </w:p>
    <w:p>
      <w:pPr>
        <w:autoSpaceDE w:val="0"/>
        <w:autoSpaceDN w:val="0"/>
        <w:adjustRightInd w:val="0"/>
        <w:snapToGrid w:val="0"/>
        <w:spacing w:line="570" w:lineRule="exact"/>
        <w:ind w:firstLine="641" w:firstLineChars="0"/>
        <w:rPr>
          <w:rFonts w:asciiTheme="minorEastAsia" w:hAnsiTheme="minorEastAsia" w:eastAsiaTheme="minorEastAsia"/>
          <w:snapToGrid w:val="0"/>
          <w:spacing w:val="-4"/>
          <w:kern w:val="0"/>
          <w:szCs w:val="32"/>
        </w:rPr>
      </w:pPr>
      <w:r>
        <w:rPr>
          <w:rFonts w:hint="eastAsia" w:asciiTheme="minorEastAsia" w:hAnsiTheme="minorEastAsia" w:eastAsiaTheme="minorEastAsia"/>
          <w:snapToGrid w:val="0"/>
          <w:spacing w:val="-4"/>
          <w:kern w:val="0"/>
          <w:szCs w:val="32"/>
        </w:rPr>
        <w:t>（四）住房保障(类)</w:t>
      </w:r>
    </w:p>
    <w:p>
      <w:pPr>
        <w:spacing w:line="570" w:lineRule="exact"/>
        <w:ind w:firstLine="624"/>
        <w:rPr>
          <w:rFonts w:asciiTheme="minorEastAsia" w:hAnsiTheme="minorEastAsia" w:eastAsiaTheme="minorEastAsia"/>
          <w:szCs w:val="32"/>
        </w:rPr>
      </w:pPr>
      <w:r>
        <w:rPr>
          <w:rFonts w:hint="eastAsia" w:asciiTheme="minorEastAsia" w:hAnsiTheme="minorEastAsia" w:eastAsiaTheme="minorEastAsia"/>
          <w:snapToGrid w:val="0"/>
          <w:spacing w:val="-4"/>
          <w:kern w:val="0"/>
          <w:szCs w:val="32"/>
        </w:rPr>
        <w:t>1</w:t>
      </w:r>
      <w:r>
        <w:rPr>
          <w:rFonts w:asciiTheme="minorEastAsia" w:hAnsiTheme="minorEastAsia" w:eastAsiaTheme="minorEastAsia"/>
          <w:snapToGrid w:val="0"/>
          <w:spacing w:val="-4"/>
          <w:kern w:val="0"/>
          <w:szCs w:val="32"/>
        </w:rPr>
        <w:t>．</w:t>
      </w:r>
      <w:r>
        <w:rPr>
          <w:rFonts w:hint="eastAsia" w:asciiTheme="minorEastAsia" w:hAnsiTheme="minorEastAsia" w:eastAsiaTheme="minorEastAsia"/>
          <w:snapToGrid w:val="0"/>
          <w:spacing w:val="-4"/>
          <w:kern w:val="0"/>
          <w:szCs w:val="32"/>
        </w:rPr>
        <w:t>住房改革</w:t>
      </w:r>
      <w:r>
        <w:rPr>
          <w:rFonts w:asciiTheme="minorEastAsia" w:hAnsiTheme="minorEastAsia" w:eastAsiaTheme="minorEastAsia"/>
          <w:snapToGrid w:val="0"/>
          <w:spacing w:val="-4"/>
          <w:kern w:val="0"/>
          <w:szCs w:val="32"/>
        </w:rPr>
        <w:t>支出（款）</w:t>
      </w:r>
      <w:r>
        <w:rPr>
          <w:rFonts w:hint="eastAsia" w:asciiTheme="minorEastAsia" w:hAnsiTheme="minorEastAsia" w:eastAsiaTheme="minorEastAsia"/>
          <w:snapToGrid w:val="0"/>
          <w:spacing w:val="-4"/>
          <w:kern w:val="0"/>
          <w:szCs w:val="32"/>
        </w:rPr>
        <w:t>住房公积金、提租补贴、购房补贴（项）</w:t>
      </w:r>
      <w:r>
        <w:rPr>
          <w:rFonts w:asciiTheme="minorEastAsia" w:hAnsiTheme="minorEastAsia" w:eastAsiaTheme="minorEastAsia"/>
          <w:szCs w:val="32"/>
        </w:rPr>
        <w:t>预算</w:t>
      </w:r>
      <w:r>
        <w:rPr>
          <w:rFonts w:asciiTheme="minorEastAsia" w:hAnsiTheme="minorEastAsia" w:eastAsiaTheme="minorEastAsia"/>
          <w:snapToGrid w:val="0"/>
          <w:spacing w:val="-4"/>
          <w:kern w:val="0"/>
          <w:szCs w:val="32"/>
        </w:rPr>
        <w:t>支出</w:t>
      </w:r>
      <w:r>
        <w:rPr>
          <w:rFonts w:hint="eastAsia" w:asciiTheme="minorEastAsia" w:hAnsiTheme="minorEastAsia" w:eastAsiaTheme="minorEastAsia"/>
          <w:snapToGrid w:val="0"/>
          <w:spacing w:val="-4"/>
          <w:kern w:val="0"/>
          <w:szCs w:val="32"/>
        </w:rPr>
        <w:t>102.10</w:t>
      </w:r>
      <w:r>
        <w:rPr>
          <w:rFonts w:asciiTheme="minorEastAsia" w:hAnsiTheme="minorEastAsia" w:eastAsiaTheme="minorEastAsia"/>
          <w:snapToGrid w:val="0"/>
          <w:spacing w:val="-4"/>
          <w:kern w:val="0"/>
          <w:szCs w:val="32"/>
        </w:rPr>
        <w:t>万元，与上年相比增加</w:t>
      </w:r>
      <w:r>
        <w:rPr>
          <w:rFonts w:hint="eastAsia" w:asciiTheme="minorEastAsia" w:hAnsiTheme="minorEastAsia" w:eastAsiaTheme="minorEastAsia"/>
          <w:snapToGrid w:val="0"/>
          <w:spacing w:val="-4"/>
          <w:kern w:val="0"/>
          <w:szCs w:val="32"/>
        </w:rPr>
        <w:t>35.97</w:t>
      </w:r>
      <w:r>
        <w:rPr>
          <w:rFonts w:asciiTheme="minorEastAsia" w:hAnsiTheme="minorEastAsia" w:eastAsiaTheme="minorEastAsia"/>
          <w:snapToGrid w:val="0"/>
          <w:spacing w:val="-4"/>
          <w:kern w:val="0"/>
          <w:szCs w:val="32"/>
        </w:rPr>
        <w:t>万元，增加</w:t>
      </w:r>
      <w:r>
        <w:rPr>
          <w:rFonts w:hint="eastAsia" w:asciiTheme="minorEastAsia" w:hAnsiTheme="minorEastAsia" w:eastAsiaTheme="minorEastAsia"/>
          <w:snapToGrid w:val="0"/>
          <w:spacing w:val="-4"/>
          <w:kern w:val="0"/>
          <w:szCs w:val="32"/>
        </w:rPr>
        <w:t>54.4</w:t>
      </w:r>
      <w:r>
        <w:rPr>
          <w:rFonts w:asciiTheme="minorEastAsia" w:hAnsiTheme="minorEastAsia" w:eastAsiaTheme="minorEastAsia"/>
          <w:snapToGrid w:val="0"/>
          <w:spacing w:val="-4"/>
          <w:kern w:val="0"/>
          <w:szCs w:val="32"/>
        </w:rPr>
        <w:t>%。主要原因是</w:t>
      </w:r>
      <w:r>
        <w:rPr>
          <w:rFonts w:hint="eastAsia" w:asciiTheme="minorEastAsia" w:hAnsiTheme="minorEastAsia" w:eastAsiaTheme="minorEastAsia"/>
          <w:szCs w:val="32"/>
        </w:rPr>
        <w:t>政策性增加了住房保障支出</w:t>
      </w:r>
      <w:r>
        <w:rPr>
          <w:rFonts w:asciiTheme="minorEastAsia" w:hAnsiTheme="minorEastAsia" w:eastAsiaTheme="minorEastAsia"/>
          <w:snapToGrid w:val="0"/>
          <w:spacing w:val="-4"/>
          <w:kern w:val="0"/>
          <w:szCs w:val="32"/>
        </w:rPr>
        <w:t>。</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六、财政拨款基本支出预算表情况说明</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本表反映部门年度财政拨款基本支出预算安排情况，按照政府收支分类科目的经济分类“款”级细化列示。</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常州市人民政府外事办公室2017年度财政拨款基本支出预算</w:t>
      </w:r>
      <w:r>
        <w:rPr>
          <w:rFonts w:hint="eastAsia" w:asciiTheme="minorEastAsia" w:hAnsiTheme="minorEastAsia" w:eastAsiaTheme="minorEastAsia"/>
          <w:szCs w:val="32"/>
        </w:rPr>
        <w:t>803.90</w:t>
      </w:r>
      <w:r>
        <w:rPr>
          <w:rFonts w:asciiTheme="minorEastAsia" w:hAnsiTheme="minorEastAsia" w:eastAsiaTheme="minorEastAsia"/>
          <w:szCs w:val="32"/>
        </w:rPr>
        <w:t>万元，其中：</w:t>
      </w:r>
    </w:p>
    <w:p>
      <w:pPr>
        <w:spacing w:line="570" w:lineRule="exact"/>
        <w:ind w:firstLine="640"/>
        <w:rPr>
          <w:rFonts w:asciiTheme="minorEastAsia" w:hAnsiTheme="minorEastAsia" w:eastAsiaTheme="minorEastAsia"/>
          <w:snapToGrid w:val="0"/>
          <w:spacing w:val="-4"/>
          <w:kern w:val="0"/>
          <w:szCs w:val="32"/>
        </w:rPr>
      </w:pPr>
      <w:r>
        <w:rPr>
          <w:rFonts w:asciiTheme="minorEastAsia" w:hAnsiTheme="minorEastAsia" w:eastAsiaTheme="minorEastAsia"/>
          <w:szCs w:val="32"/>
        </w:rPr>
        <w:t>（一）人员经费</w:t>
      </w:r>
      <w:r>
        <w:rPr>
          <w:rFonts w:hint="eastAsia" w:asciiTheme="minorEastAsia" w:hAnsiTheme="minorEastAsia" w:eastAsiaTheme="minorEastAsia"/>
          <w:szCs w:val="32"/>
        </w:rPr>
        <w:t>支出705.51</w:t>
      </w:r>
      <w:r>
        <w:rPr>
          <w:rFonts w:asciiTheme="minorEastAsia" w:hAnsiTheme="minorEastAsia" w:eastAsiaTheme="minorEastAsia"/>
          <w:szCs w:val="32"/>
        </w:rPr>
        <w:t>万元。主要包括：基本工资、津贴补贴、奖金、社会保障缴费、其他工资福利支出、离休费、退休费、住房公积金、提租补贴、</w:t>
      </w:r>
      <w:r>
        <w:rPr>
          <w:rFonts w:hint="eastAsia" w:asciiTheme="minorEastAsia" w:hAnsiTheme="minorEastAsia" w:eastAsiaTheme="minorEastAsia"/>
          <w:snapToGrid w:val="0"/>
          <w:spacing w:val="-4"/>
          <w:kern w:val="0"/>
          <w:szCs w:val="32"/>
        </w:rPr>
        <w:t>购房补贴</w:t>
      </w:r>
      <w:r>
        <w:rPr>
          <w:rFonts w:asciiTheme="minorEastAsia" w:hAnsiTheme="minorEastAsia" w:eastAsiaTheme="minorEastAsia"/>
          <w:snapToGrid w:val="0"/>
          <w:spacing w:val="-4"/>
          <w:kern w:val="0"/>
          <w:szCs w:val="32"/>
        </w:rPr>
        <w:t>、其他对个人和家庭的补助支出。</w:t>
      </w:r>
    </w:p>
    <w:p>
      <w:pPr>
        <w:spacing w:line="570" w:lineRule="exact"/>
        <w:ind w:firstLine="640"/>
        <w:rPr>
          <w:rFonts w:asciiTheme="minorEastAsia" w:hAnsiTheme="minorEastAsia" w:eastAsiaTheme="minorEastAsia"/>
          <w:i/>
          <w:szCs w:val="32"/>
        </w:rPr>
      </w:pPr>
      <w:r>
        <w:rPr>
          <w:rFonts w:asciiTheme="minorEastAsia" w:hAnsiTheme="minorEastAsia" w:eastAsiaTheme="minorEastAsia"/>
          <w:szCs w:val="32"/>
        </w:rPr>
        <w:t>（二）公用经费</w:t>
      </w:r>
      <w:r>
        <w:rPr>
          <w:rFonts w:hint="eastAsia" w:asciiTheme="minorEastAsia" w:hAnsiTheme="minorEastAsia" w:eastAsiaTheme="minorEastAsia"/>
          <w:szCs w:val="32"/>
        </w:rPr>
        <w:t>支出98.39</w:t>
      </w:r>
      <w:r>
        <w:rPr>
          <w:rFonts w:asciiTheme="minorEastAsia" w:hAnsiTheme="minorEastAsia" w:eastAsiaTheme="minorEastAsia"/>
          <w:szCs w:val="32"/>
        </w:rPr>
        <w:t>万元。主要包括：办公费、差旅费、会议费、培训费、公务接待费、工会经费、福利费、其他交通费用。</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七、政府性基金支出预算表情况说明</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本表反映部门年度政府性基金支出预算安排情况。</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常州市人民政府外事办公室2017年</w:t>
      </w:r>
      <w:r>
        <w:rPr>
          <w:rFonts w:hint="eastAsia" w:asciiTheme="minorEastAsia" w:hAnsiTheme="minorEastAsia" w:eastAsiaTheme="minorEastAsia"/>
          <w:szCs w:val="32"/>
        </w:rPr>
        <w:t>无</w:t>
      </w:r>
      <w:r>
        <w:rPr>
          <w:rFonts w:asciiTheme="minorEastAsia" w:hAnsiTheme="minorEastAsia" w:eastAsiaTheme="minorEastAsia"/>
          <w:szCs w:val="32"/>
        </w:rPr>
        <w:t>政府性基金支出预算。</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八、一般公共预算支出预算表情况说明</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本表反映部门年度一般公共预算支出预算安排情况，按照政府收支分类科目的功能分类“项”级细化列示。</w:t>
      </w:r>
    </w:p>
    <w:p>
      <w:pPr>
        <w:spacing w:line="570" w:lineRule="exact"/>
        <w:ind w:firstLine="640"/>
        <w:rPr>
          <w:rFonts w:asciiTheme="minorEastAsia" w:hAnsiTheme="minorEastAsia" w:eastAsiaTheme="minorEastAsia"/>
          <w:b/>
          <w:szCs w:val="32"/>
        </w:rPr>
      </w:pPr>
      <w:r>
        <w:rPr>
          <w:rFonts w:asciiTheme="minorEastAsia" w:hAnsiTheme="minorEastAsia" w:eastAsiaTheme="minorEastAsia"/>
          <w:szCs w:val="32"/>
        </w:rPr>
        <w:t>常州市人民政府外事办公室2017年一般公共预算财政拨款支出预算</w:t>
      </w:r>
      <w:r>
        <w:rPr>
          <w:rFonts w:hint="eastAsia" w:asciiTheme="minorEastAsia" w:hAnsiTheme="minorEastAsia" w:eastAsiaTheme="minorEastAsia"/>
          <w:szCs w:val="32"/>
        </w:rPr>
        <w:t>881.19</w:t>
      </w:r>
      <w:r>
        <w:rPr>
          <w:rFonts w:asciiTheme="minorEastAsia" w:hAnsiTheme="minorEastAsia" w:eastAsiaTheme="minorEastAsia"/>
          <w:szCs w:val="32"/>
        </w:rPr>
        <w:t>万元，与上年相比增加</w:t>
      </w:r>
      <w:r>
        <w:rPr>
          <w:rFonts w:hint="eastAsia" w:asciiTheme="minorEastAsia" w:hAnsiTheme="minorEastAsia" w:eastAsiaTheme="minorEastAsia"/>
          <w:szCs w:val="32"/>
        </w:rPr>
        <w:t>140.94</w:t>
      </w:r>
      <w:r>
        <w:rPr>
          <w:rFonts w:asciiTheme="minorEastAsia" w:hAnsiTheme="minorEastAsia" w:eastAsiaTheme="minorEastAsia"/>
          <w:szCs w:val="32"/>
        </w:rPr>
        <w:t>万元，增长</w:t>
      </w:r>
      <w:r>
        <w:rPr>
          <w:rFonts w:hint="eastAsia" w:asciiTheme="minorEastAsia" w:hAnsiTheme="minorEastAsia" w:eastAsiaTheme="minorEastAsia"/>
          <w:szCs w:val="32"/>
        </w:rPr>
        <w:t>19</w:t>
      </w:r>
      <w:r>
        <w:rPr>
          <w:rFonts w:asciiTheme="minorEastAsia" w:hAnsiTheme="minorEastAsia" w:eastAsiaTheme="minorEastAsia"/>
          <w:szCs w:val="32"/>
        </w:rPr>
        <w:t>%。主要原因是</w:t>
      </w:r>
      <w:r>
        <w:rPr>
          <w:rFonts w:hint="eastAsia" w:asciiTheme="minorEastAsia" w:hAnsiTheme="minorEastAsia" w:eastAsiaTheme="minorEastAsia"/>
          <w:szCs w:val="32"/>
        </w:rPr>
        <w:t>车改后增加了交通补贴支出以及政策性增资增加了工资福利支出与住房保障支出</w:t>
      </w:r>
      <w:r>
        <w:rPr>
          <w:rFonts w:asciiTheme="minorEastAsia" w:hAnsiTheme="minorEastAsia" w:eastAsiaTheme="minorEastAsia"/>
          <w:szCs w:val="32"/>
        </w:rPr>
        <w:t>。</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九、一般公共预算基本支出预算表情况说明</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本表反映部门年度一般公共预算基本支出预算安排情况，按照政府收支分类科目的经济分类“款”级细化列示。</w:t>
      </w:r>
    </w:p>
    <w:p>
      <w:pPr>
        <w:spacing w:line="570" w:lineRule="exact"/>
        <w:ind w:firstLine="640"/>
        <w:rPr>
          <w:rFonts w:asciiTheme="minorEastAsia" w:hAnsiTheme="minorEastAsia" w:eastAsiaTheme="minorEastAsia"/>
          <w:spacing w:val="8"/>
          <w:szCs w:val="32"/>
        </w:rPr>
      </w:pPr>
      <w:r>
        <w:rPr>
          <w:rFonts w:asciiTheme="minorEastAsia" w:hAnsiTheme="minorEastAsia" w:eastAsiaTheme="minorEastAsia"/>
          <w:szCs w:val="32"/>
        </w:rPr>
        <w:t>常州市人民政府外事办公室</w:t>
      </w:r>
      <w:r>
        <w:rPr>
          <w:rFonts w:asciiTheme="minorEastAsia" w:hAnsiTheme="minorEastAsia" w:eastAsiaTheme="minorEastAsia"/>
          <w:spacing w:val="8"/>
          <w:szCs w:val="32"/>
        </w:rPr>
        <w:t>2017年度一般公共预算财政拨款基本支出预算</w:t>
      </w:r>
      <w:r>
        <w:rPr>
          <w:rFonts w:hint="eastAsia" w:asciiTheme="minorEastAsia" w:hAnsiTheme="minorEastAsia" w:eastAsiaTheme="minorEastAsia"/>
          <w:spacing w:val="8"/>
          <w:szCs w:val="32"/>
        </w:rPr>
        <w:t>803.90</w:t>
      </w:r>
      <w:r>
        <w:rPr>
          <w:rFonts w:asciiTheme="minorEastAsia" w:hAnsiTheme="minorEastAsia" w:eastAsiaTheme="minorEastAsia"/>
          <w:spacing w:val="8"/>
          <w:szCs w:val="32"/>
        </w:rPr>
        <w:t>万元，其中：</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（一）人员经费</w:t>
      </w:r>
      <w:r>
        <w:rPr>
          <w:rFonts w:hint="eastAsia" w:asciiTheme="minorEastAsia" w:hAnsiTheme="minorEastAsia" w:eastAsiaTheme="minorEastAsia"/>
          <w:szCs w:val="32"/>
        </w:rPr>
        <w:t>支出705.51</w:t>
      </w:r>
      <w:r>
        <w:rPr>
          <w:rFonts w:asciiTheme="minorEastAsia" w:hAnsiTheme="minorEastAsia" w:eastAsiaTheme="minorEastAsia"/>
          <w:szCs w:val="32"/>
        </w:rPr>
        <w:t>万元。主要包括：基本工资、津贴补贴、奖金、社会保障缴费、其他工资福利支出、离休费、退休费、住房公积金、提租补贴、</w:t>
      </w:r>
      <w:r>
        <w:rPr>
          <w:rFonts w:hint="eastAsia" w:asciiTheme="minorEastAsia" w:hAnsiTheme="minorEastAsia" w:eastAsiaTheme="minorEastAsia"/>
          <w:szCs w:val="32"/>
        </w:rPr>
        <w:t>购房补贴</w:t>
      </w:r>
      <w:r>
        <w:rPr>
          <w:rFonts w:asciiTheme="minorEastAsia" w:hAnsiTheme="minorEastAsia" w:eastAsiaTheme="minorEastAsia"/>
          <w:szCs w:val="32"/>
        </w:rPr>
        <w:t>、其他对个人和家庭的补助支出。</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（二）公用经费</w:t>
      </w:r>
      <w:r>
        <w:rPr>
          <w:rFonts w:hint="eastAsia" w:asciiTheme="minorEastAsia" w:hAnsiTheme="minorEastAsia" w:eastAsiaTheme="minorEastAsia"/>
          <w:szCs w:val="32"/>
        </w:rPr>
        <w:t>支出98.39</w:t>
      </w:r>
      <w:r>
        <w:rPr>
          <w:rFonts w:asciiTheme="minorEastAsia" w:hAnsiTheme="minorEastAsia" w:eastAsiaTheme="minorEastAsia"/>
          <w:szCs w:val="32"/>
        </w:rPr>
        <w:t>万元。主要包括：办公费、差旅费、会议费、培训费、公务接待费、工会经费、福利费、其他交通费用。</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十、一般公共预算机关运行经费支出预算表情况说明</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本表反映部门年度一般公共预算机关运行经费支出预算安排情况，按照政府收支分类科目的经济分类“款”级细化列示。</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2017年本部门一般公共预算机关运行经费预算支出</w:t>
      </w:r>
      <w:r>
        <w:rPr>
          <w:rFonts w:hint="eastAsia" w:asciiTheme="minorEastAsia" w:hAnsiTheme="minorEastAsia" w:eastAsiaTheme="minorEastAsia"/>
          <w:szCs w:val="32"/>
        </w:rPr>
        <w:t>98.39</w:t>
      </w:r>
      <w:r>
        <w:rPr>
          <w:rFonts w:asciiTheme="minorEastAsia" w:hAnsiTheme="minorEastAsia" w:eastAsiaTheme="minorEastAsia"/>
          <w:szCs w:val="32"/>
        </w:rPr>
        <w:t>万元，比201</w:t>
      </w:r>
      <w:r>
        <w:rPr>
          <w:rFonts w:hint="eastAsia" w:asciiTheme="minorEastAsia" w:hAnsiTheme="minorEastAsia" w:eastAsiaTheme="minorEastAsia"/>
          <w:szCs w:val="32"/>
        </w:rPr>
        <w:t>6</w:t>
      </w:r>
      <w:r>
        <w:rPr>
          <w:rFonts w:asciiTheme="minorEastAsia" w:hAnsiTheme="minorEastAsia" w:eastAsiaTheme="minorEastAsia"/>
          <w:szCs w:val="32"/>
        </w:rPr>
        <w:t>年增加</w:t>
      </w:r>
      <w:r>
        <w:rPr>
          <w:rFonts w:hint="eastAsia" w:asciiTheme="minorEastAsia" w:hAnsiTheme="minorEastAsia" w:eastAsiaTheme="minorEastAsia"/>
          <w:szCs w:val="32"/>
        </w:rPr>
        <w:t>39.4</w:t>
      </w:r>
      <w:r>
        <w:rPr>
          <w:rFonts w:asciiTheme="minorEastAsia" w:hAnsiTheme="minorEastAsia" w:eastAsiaTheme="minorEastAsia"/>
          <w:szCs w:val="32"/>
        </w:rPr>
        <w:t>万元，增长</w:t>
      </w:r>
      <w:r>
        <w:rPr>
          <w:rFonts w:hint="eastAsia" w:asciiTheme="minorEastAsia" w:hAnsiTheme="minorEastAsia" w:eastAsiaTheme="minorEastAsia"/>
          <w:szCs w:val="32"/>
        </w:rPr>
        <w:t>66.8</w:t>
      </w:r>
      <w:r>
        <w:rPr>
          <w:rFonts w:asciiTheme="minorEastAsia" w:hAnsiTheme="minorEastAsia" w:eastAsiaTheme="minorEastAsia"/>
          <w:szCs w:val="32"/>
        </w:rPr>
        <w:t xml:space="preserve"> %。主要原因是</w:t>
      </w:r>
      <w:r>
        <w:rPr>
          <w:rFonts w:hint="eastAsia" w:asciiTheme="minorEastAsia" w:hAnsiTheme="minorEastAsia" w:eastAsiaTheme="minorEastAsia"/>
          <w:szCs w:val="32"/>
        </w:rPr>
        <w:t>车改后增加了交通补贴支出</w:t>
      </w:r>
      <w:r>
        <w:rPr>
          <w:rFonts w:asciiTheme="minorEastAsia" w:hAnsiTheme="minorEastAsia" w:eastAsiaTheme="minorEastAsia"/>
          <w:szCs w:val="32"/>
        </w:rPr>
        <w:t>。</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十一、一</w:t>
      </w:r>
      <w:r>
        <w:rPr>
          <w:rFonts w:hint="eastAsia" w:asciiTheme="minorEastAsia" w:hAnsiTheme="minorEastAsia" w:eastAsiaTheme="minorEastAsia"/>
          <w:szCs w:val="32"/>
        </w:rPr>
        <w:t>般公共预算“三公”经费</w:t>
      </w:r>
      <w:r>
        <w:rPr>
          <w:rFonts w:asciiTheme="minorEastAsia" w:hAnsiTheme="minorEastAsia" w:eastAsiaTheme="minorEastAsia"/>
          <w:szCs w:val="32"/>
        </w:rPr>
        <w:t>、会议费、培训费支出预算表情况说明</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本表反映部门年度一般公共预算资金安排的“三公”经费情况。</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常州市人民政府外事办公室201</w:t>
      </w:r>
      <w:r>
        <w:rPr>
          <w:rFonts w:hint="eastAsia" w:asciiTheme="minorEastAsia" w:hAnsiTheme="minorEastAsia" w:eastAsiaTheme="minorEastAsia"/>
          <w:szCs w:val="32"/>
        </w:rPr>
        <w:t>7</w:t>
      </w:r>
      <w:r>
        <w:rPr>
          <w:rFonts w:asciiTheme="minorEastAsia" w:hAnsiTheme="minorEastAsia" w:eastAsiaTheme="minorEastAsia"/>
          <w:szCs w:val="32"/>
        </w:rPr>
        <w:t>年度一般公共预算拨款安排的“三公”经费预</w:t>
      </w:r>
      <w:r>
        <w:rPr>
          <w:rFonts w:asciiTheme="minorEastAsia" w:hAnsiTheme="minorEastAsia" w:eastAsiaTheme="minorEastAsia"/>
          <w:spacing w:val="-4"/>
          <w:szCs w:val="32"/>
        </w:rPr>
        <w:t>算支出中，因公出国（境）费支出</w:t>
      </w:r>
      <w:r>
        <w:rPr>
          <w:rFonts w:hint="eastAsia" w:asciiTheme="minorEastAsia" w:hAnsiTheme="minorEastAsia" w:eastAsiaTheme="minorEastAsia"/>
          <w:spacing w:val="-4"/>
          <w:szCs w:val="32"/>
        </w:rPr>
        <w:t>24</w:t>
      </w:r>
      <w:r>
        <w:rPr>
          <w:rFonts w:asciiTheme="minorEastAsia" w:hAnsiTheme="minorEastAsia" w:eastAsiaTheme="minorEastAsia"/>
          <w:spacing w:val="-4"/>
          <w:szCs w:val="32"/>
        </w:rPr>
        <w:t>万元，占“三公”经费的</w:t>
      </w:r>
      <w:r>
        <w:rPr>
          <w:rFonts w:hint="eastAsia" w:asciiTheme="minorEastAsia" w:hAnsiTheme="minorEastAsia" w:eastAsiaTheme="minorEastAsia"/>
          <w:spacing w:val="-4"/>
          <w:szCs w:val="32"/>
        </w:rPr>
        <w:t>72.1</w:t>
      </w:r>
      <w:r>
        <w:rPr>
          <w:rFonts w:asciiTheme="minorEastAsia" w:hAnsiTheme="minorEastAsia" w:eastAsiaTheme="minorEastAsia"/>
          <w:szCs w:val="32"/>
        </w:rPr>
        <w:t>%；</w:t>
      </w:r>
      <w:r>
        <w:rPr>
          <w:rFonts w:hint="eastAsia" w:asciiTheme="minorEastAsia" w:hAnsiTheme="minorEastAsia" w:eastAsiaTheme="minorEastAsia"/>
          <w:szCs w:val="32"/>
        </w:rPr>
        <w:t>车改后无</w:t>
      </w:r>
      <w:r>
        <w:rPr>
          <w:rFonts w:asciiTheme="minorEastAsia" w:hAnsiTheme="minorEastAsia" w:eastAsiaTheme="minorEastAsia"/>
          <w:szCs w:val="32"/>
        </w:rPr>
        <w:t>公务用车购置及运行费支出；公务接待费支出</w:t>
      </w:r>
      <w:r>
        <w:rPr>
          <w:rFonts w:hint="eastAsia" w:asciiTheme="minorEastAsia" w:hAnsiTheme="minorEastAsia" w:eastAsiaTheme="minorEastAsia"/>
          <w:szCs w:val="32"/>
        </w:rPr>
        <w:t>9.29</w:t>
      </w:r>
      <w:r>
        <w:rPr>
          <w:rFonts w:asciiTheme="minorEastAsia" w:hAnsiTheme="minorEastAsia" w:eastAsiaTheme="minorEastAsia"/>
          <w:szCs w:val="32"/>
        </w:rPr>
        <w:t>万元，占“三公”经费的</w:t>
      </w:r>
      <w:r>
        <w:rPr>
          <w:rFonts w:hint="eastAsia" w:asciiTheme="minorEastAsia" w:hAnsiTheme="minorEastAsia" w:eastAsiaTheme="minorEastAsia"/>
          <w:szCs w:val="32"/>
        </w:rPr>
        <w:t>27.9</w:t>
      </w:r>
      <w:r>
        <w:rPr>
          <w:rFonts w:asciiTheme="minorEastAsia" w:hAnsiTheme="minorEastAsia" w:eastAsiaTheme="minorEastAsia"/>
          <w:szCs w:val="32"/>
        </w:rPr>
        <w:t>%。具体情况如下：</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1．因公出国（境）费预算支出</w:t>
      </w:r>
      <w:r>
        <w:rPr>
          <w:rFonts w:hint="eastAsia" w:asciiTheme="minorEastAsia" w:hAnsiTheme="minorEastAsia" w:eastAsiaTheme="minorEastAsia"/>
          <w:szCs w:val="32"/>
        </w:rPr>
        <w:t>24</w:t>
      </w:r>
      <w:r>
        <w:rPr>
          <w:rFonts w:asciiTheme="minorEastAsia" w:hAnsiTheme="minorEastAsia" w:eastAsiaTheme="minorEastAsia"/>
          <w:szCs w:val="32"/>
        </w:rPr>
        <w:t>万元，</w:t>
      </w:r>
      <w:r>
        <w:rPr>
          <w:rFonts w:hint="eastAsia" w:asciiTheme="minorEastAsia" w:hAnsiTheme="minorEastAsia" w:eastAsiaTheme="minorEastAsia"/>
          <w:szCs w:val="32"/>
        </w:rPr>
        <w:t>与</w:t>
      </w:r>
      <w:r>
        <w:rPr>
          <w:rFonts w:asciiTheme="minorEastAsia" w:hAnsiTheme="minorEastAsia" w:eastAsiaTheme="minorEastAsia"/>
          <w:szCs w:val="32"/>
        </w:rPr>
        <w:t>上年预算</w:t>
      </w:r>
      <w:r>
        <w:rPr>
          <w:rFonts w:hint="eastAsia" w:asciiTheme="minorEastAsia" w:hAnsiTheme="minorEastAsia" w:eastAsiaTheme="minorEastAsia"/>
          <w:szCs w:val="32"/>
        </w:rPr>
        <w:t>基本持平</w:t>
      </w:r>
      <w:r>
        <w:rPr>
          <w:rFonts w:asciiTheme="minorEastAsia" w:hAnsiTheme="minorEastAsia" w:eastAsiaTheme="minorEastAsia"/>
          <w:szCs w:val="32"/>
        </w:rPr>
        <w:t>。</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2．公务用车购置及运行费</w:t>
      </w:r>
      <w:r>
        <w:rPr>
          <w:rFonts w:hint="eastAsia" w:asciiTheme="minorEastAsia" w:hAnsiTheme="minorEastAsia" w:eastAsiaTheme="minorEastAsia"/>
          <w:szCs w:val="32"/>
        </w:rPr>
        <w:t>车改后无</w:t>
      </w:r>
      <w:r>
        <w:rPr>
          <w:rFonts w:asciiTheme="minorEastAsia" w:hAnsiTheme="minorEastAsia" w:eastAsiaTheme="minorEastAsia"/>
          <w:szCs w:val="32"/>
        </w:rPr>
        <w:t>预算支出。</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3．公务接待费预算支出</w:t>
      </w:r>
      <w:r>
        <w:rPr>
          <w:rFonts w:hint="eastAsia" w:asciiTheme="minorEastAsia" w:hAnsiTheme="minorEastAsia" w:eastAsiaTheme="minorEastAsia"/>
          <w:szCs w:val="32"/>
        </w:rPr>
        <w:t>9.29</w:t>
      </w:r>
      <w:r>
        <w:rPr>
          <w:rFonts w:asciiTheme="minorEastAsia" w:hAnsiTheme="minorEastAsia" w:eastAsiaTheme="minorEastAsia"/>
          <w:szCs w:val="32"/>
        </w:rPr>
        <w:t>万元，</w:t>
      </w:r>
      <w:r>
        <w:rPr>
          <w:rFonts w:hint="eastAsia" w:asciiTheme="minorEastAsia" w:hAnsiTheme="minorEastAsia" w:eastAsiaTheme="minorEastAsia"/>
          <w:szCs w:val="32"/>
        </w:rPr>
        <w:t>与</w:t>
      </w:r>
      <w:r>
        <w:rPr>
          <w:rFonts w:asciiTheme="minorEastAsia" w:hAnsiTheme="minorEastAsia" w:eastAsiaTheme="minorEastAsia"/>
          <w:szCs w:val="32"/>
        </w:rPr>
        <w:t>上年预算</w:t>
      </w:r>
      <w:r>
        <w:rPr>
          <w:rFonts w:hint="eastAsia" w:asciiTheme="minorEastAsia" w:hAnsiTheme="minorEastAsia" w:eastAsiaTheme="minorEastAsia"/>
          <w:szCs w:val="32"/>
        </w:rPr>
        <w:t>基本持平</w:t>
      </w:r>
      <w:r>
        <w:rPr>
          <w:rFonts w:asciiTheme="minorEastAsia" w:hAnsiTheme="minorEastAsia" w:eastAsiaTheme="minorEastAsia"/>
          <w:szCs w:val="32"/>
        </w:rPr>
        <w:t>。</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常州市人民政府外事办公室201</w:t>
      </w:r>
      <w:r>
        <w:rPr>
          <w:rFonts w:hint="eastAsia" w:asciiTheme="minorEastAsia" w:hAnsiTheme="minorEastAsia" w:eastAsiaTheme="minorEastAsia"/>
          <w:szCs w:val="32"/>
        </w:rPr>
        <w:t>7</w:t>
      </w:r>
      <w:r>
        <w:rPr>
          <w:rFonts w:asciiTheme="minorEastAsia" w:hAnsiTheme="minorEastAsia" w:eastAsiaTheme="minorEastAsia"/>
          <w:szCs w:val="32"/>
        </w:rPr>
        <w:t>年度一般公共预算拨款安排的会议费预算支出</w:t>
      </w:r>
      <w:r>
        <w:rPr>
          <w:rFonts w:hint="eastAsia" w:asciiTheme="minorEastAsia" w:hAnsiTheme="minorEastAsia" w:eastAsiaTheme="minorEastAsia"/>
          <w:szCs w:val="32"/>
        </w:rPr>
        <w:t>2.85</w:t>
      </w:r>
      <w:r>
        <w:rPr>
          <w:rFonts w:asciiTheme="minorEastAsia" w:hAnsiTheme="minorEastAsia" w:eastAsiaTheme="minorEastAsia"/>
          <w:szCs w:val="32"/>
        </w:rPr>
        <w:t>万元，</w:t>
      </w:r>
      <w:r>
        <w:rPr>
          <w:rFonts w:hint="eastAsia" w:asciiTheme="minorEastAsia" w:hAnsiTheme="minorEastAsia" w:eastAsiaTheme="minorEastAsia"/>
          <w:szCs w:val="32"/>
        </w:rPr>
        <w:t>与</w:t>
      </w:r>
      <w:r>
        <w:rPr>
          <w:rFonts w:asciiTheme="minorEastAsia" w:hAnsiTheme="minorEastAsia" w:eastAsiaTheme="minorEastAsia"/>
          <w:szCs w:val="32"/>
        </w:rPr>
        <w:t>上年预算</w:t>
      </w:r>
      <w:r>
        <w:rPr>
          <w:rFonts w:hint="eastAsia" w:asciiTheme="minorEastAsia" w:hAnsiTheme="minorEastAsia" w:eastAsiaTheme="minorEastAsia"/>
          <w:szCs w:val="32"/>
        </w:rPr>
        <w:t>基本持平</w:t>
      </w:r>
      <w:r>
        <w:rPr>
          <w:rFonts w:asciiTheme="minorEastAsia" w:hAnsiTheme="minorEastAsia" w:eastAsiaTheme="minorEastAsia"/>
          <w:szCs w:val="32"/>
        </w:rPr>
        <w:t>。</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常州市人民政府外事办公室201</w:t>
      </w:r>
      <w:r>
        <w:rPr>
          <w:rFonts w:hint="eastAsia" w:asciiTheme="minorEastAsia" w:hAnsiTheme="minorEastAsia" w:eastAsiaTheme="minorEastAsia"/>
          <w:szCs w:val="32"/>
        </w:rPr>
        <w:t>7</w:t>
      </w:r>
      <w:r>
        <w:rPr>
          <w:rFonts w:asciiTheme="minorEastAsia" w:hAnsiTheme="minorEastAsia" w:eastAsiaTheme="minorEastAsia"/>
          <w:szCs w:val="32"/>
        </w:rPr>
        <w:t>年度一般公共预算拨款安排的培训费预算支出</w:t>
      </w:r>
      <w:r>
        <w:rPr>
          <w:rFonts w:hint="eastAsia" w:asciiTheme="minorEastAsia" w:hAnsiTheme="minorEastAsia" w:eastAsiaTheme="minorEastAsia"/>
          <w:szCs w:val="32"/>
        </w:rPr>
        <w:t>4.98</w:t>
      </w:r>
      <w:r>
        <w:rPr>
          <w:rFonts w:asciiTheme="minorEastAsia" w:hAnsiTheme="minorEastAsia" w:eastAsiaTheme="minorEastAsia"/>
          <w:szCs w:val="32"/>
        </w:rPr>
        <w:t>万元，本年数小于上年预算</w:t>
      </w:r>
      <w:r>
        <w:rPr>
          <w:rFonts w:hint="eastAsia" w:asciiTheme="minorEastAsia" w:hAnsiTheme="minorEastAsia" w:eastAsiaTheme="minorEastAsia"/>
          <w:szCs w:val="32"/>
        </w:rPr>
        <w:t>9.86万元，</w:t>
      </w:r>
      <w:r>
        <w:rPr>
          <w:rFonts w:asciiTheme="minorEastAsia" w:hAnsiTheme="minorEastAsia" w:eastAsiaTheme="minorEastAsia"/>
          <w:szCs w:val="32"/>
        </w:rPr>
        <w:t>主要原因</w:t>
      </w:r>
      <w:r>
        <w:rPr>
          <w:rFonts w:hint="eastAsia" w:asciiTheme="minorEastAsia" w:hAnsiTheme="minorEastAsia" w:eastAsiaTheme="minorEastAsia"/>
          <w:szCs w:val="32"/>
        </w:rPr>
        <w:t>是本年度未再安排系统业务培训</w:t>
      </w:r>
      <w:r>
        <w:rPr>
          <w:rFonts w:asciiTheme="minorEastAsia" w:hAnsiTheme="minorEastAsia" w:eastAsiaTheme="minorEastAsia"/>
          <w:szCs w:val="32"/>
        </w:rPr>
        <w:t>预算。</w:t>
      </w:r>
    </w:p>
    <w:p>
      <w:pPr>
        <w:spacing w:beforeLines="50" w:afterLines="50" w:line="570" w:lineRule="exact"/>
        <w:ind w:firstLine="0" w:firstLineChars="0"/>
        <w:jc w:val="center"/>
        <w:rPr>
          <w:rFonts w:eastAsia="黑体"/>
          <w:sz w:val="44"/>
          <w:szCs w:val="44"/>
        </w:rPr>
      </w:pPr>
      <w:r>
        <w:rPr>
          <w:rFonts w:hAnsi="黑体" w:eastAsia="黑体"/>
          <w:sz w:val="44"/>
          <w:szCs w:val="44"/>
        </w:rPr>
        <w:t>四</w:t>
      </w:r>
      <w:r>
        <w:rPr>
          <w:rFonts w:hint="eastAsia" w:hAnsi="黑体" w:eastAsia="黑体"/>
          <w:sz w:val="44"/>
          <w:szCs w:val="44"/>
        </w:rPr>
        <w:t>、</w:t>
      </w:r>
      <w:r>
        <w:rPr>
          <w:rFonts w:hAnsi="黑体" w:eastAsia="黑体"/>
          <w:sz w:val="44"/>
          <w:szCs w:val="44"/>
        </w:rPr>
        <w:t>名词解释</w:t>
      </w:r>
    </w:p>
    <w:p>
      <w:pPr>
        <w:spacing w:line="570" w:lineRule="exact"/>
        <w:ind w:firstLine="640"/>
        <w:rPr>
          <w:rFonts w:asciiTheme="minorEastAsia" w:hAnsiTheme="minorEastAsia" w:eastAsiaTheme="minorEastAsia"/>
          <w:szCs w:val="32"/>
        </w:rPr>
      </w:pPr>
      <w:r>
        <w:rPr>
          <w:rFonts w:hint="eastAsia" w:asciiTheme="minorEastAsia" w:hAnsiTheme="minorEastAsia" w:eastAsiaTheme="minorEastAsia"/>
          <w:szCs w:val="32"/>
        </w:rPr>
        <w:t>一、财政拨款：</w:t>
      </w:r>
      <w:r>
        <w:rPr>
          <w:rFonts w:asciiTheme="minorEastAsia" w:hAnsiTheme="minorEastAsia" w:eastAsiaTheme="minorEastAsia"/>
          <w:szCs w:val="32"/>
        </w:rPr>
        <w:t>指由一般公共预算、政府性基金预算安排的财政拨款数。</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二、一般公共预算：包括公共财政拨款（补助）资金、专项收入。</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三、财政专户管理资金：包括专户管理行政事业性收费（主要是教育收费）。</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四、其他资金：包括经营收入、其他收入等。</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五、基本支出：包括人员经费、商品和服务支出（定额）。其中，人员经费包括工资福利支出、对个人和家庭的补助。</w:t>
      </w:r>
    </w:p>
    <w:p>
      <w:pPr>
        <w:spacing w:line="570" w:lineRule="exact"/>
        <w:ind w:firstLine="640"/>
        <w:rPr>
          <w:rFonts w:asciiTheme="minorEastAsia" w:hAnsiTheme="minorEastAsia" w:eastAsiaTheme="minorEastAsia"/>
          <w:szCs w:val="32"/>
        </w:rPr>
      </w:pPr>
      <w:r>
        <w:rPr>
          <w:rFonts w:asciiTheme="minorEastAsia" w:hAnsiTheme="minorEastAsia" w:eastAsiaTheme="minorEastAsia"/>
          <w:szCs w:val="32"/>
        </w:rPr>
        <w:t>六、项目支出：包括编入部门预算的单位发展项目、市直发展项目支出安排数等。</w:t>
      </w:r>
    </w:p>
    <w:p>
      <w:pPr>
        <w:spacing w:line="570" w:lineRule="exact"/>
        <w:ind w:firstLine="640"/>
        <w:rPr>
          <w:rFonts w:asciiTheme="minorEastAsia" w:hAnsiTheme="minorEastAsia" w:eastAsiaTheme="minorEastAsia"/>
          <w:szCs w:val="32"/>
        </w:rPr>
      </w:pPr>
      <w:r>
        <w:rPr>
          <w:rFonts w:hint="eastAsia" w:asciiTheme="minorEastAsia" w:hAnsiTheme="minorEastAsia" w:eastAsiaTheme="minorEastAsia"/>
          <w:szCs w:val="32"/>
        </w:rPr>
        <w:t>七、“三公”经费：</w:t>
      </w:r>
      <w:r>
        <w:rPr>
          <w:rFonts w:asciiTheme="minorEastAsia" w:hAnsiTheme="minorEastAsia" w:eastAsiaTheme="minorEastAsia"/>
          <w:szCs w:val="32"/>
        </w:rPr>
        <w:t>指部门用一般公共预算财政拨款安排的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w:t>
      </w:r>
    </w:p>
    <w:p>
      <w:pPr>
        <w:spacing w:line="570" w:lineRule="exact"/>
        <w:ind w:firstLine="640"/>
        <w:rPr>
          <w:szCs w:val="32"/>
        </w:rPr>
      </w:pPr>
      <w:r>
        <w:rPr>
          <w:rFonts w:asciiTheme="minorEastAsia" w:hAnsiTheme="minorEastAsia" w:eastAsiaTheme="minorEastAsia"/>
          <w:szCs w:val="32"/>
        </w:rPr>
        <w:t>八、机关运行经费：指部门的公用经费，包括办公及印刷费、邮电费、差旅费、会议费、福利费、日常维修费、专用材料及一般设备购置费、办公用房水电费、办公用房取暖费、办公用房物业管理费、公务用车运行维护费及其他费用。</w:t>
      </w:r>
    </w:p>
    <w:sectPr>
      <w:pgSz w:w="11906" w:h="16838"/>
      <w:pgMar w:top="1418" w:right="1134" w:bottom="1418" w:left="1701" w:header="851" w:footer="992" w:gutter="0"/>
      <w:cols w:space="425"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258B1"/>
    <w:rsid w:val="00080648"/>
    <w:rsid w:val="000B459C"/>
    <w:rsid w:val="000D5B07"/>
    <w:rsid w:val="000E04E8"/>
    <w:rsid w:val="000F4D43"/>
    <w:rsid w:val="0011035B"/>
    <w:rsid w:val="001116F0"/>
    <w:rsid w:val="00137939"/>
    <w:rsid w:val="00166D96"/>
    <w:rsid w:val="00180D66"/>
    <w:rsid w:val="00195ED3"/>
    <w:rsid w:val="001A2A5F"/>
    <w:rsid w:val="001A6E64"/>
    <w:rsid w:val="001B7894"/>
    <w:rsid w:val="001D770B"/>
    <w:rsid w:val="001E00B4"/>
    <w:rsid w:val="00202C67"/>
    <w:rsid w:val="00277E47"/>
    <w:rsid w:val="002E1ECE"/>
    <w:rsid w:val="002E5F05"/>
    <w:rsid w:val="003152CD"/>
    <w:rsid w:val="0032712D"/>
    <w:rsid w:val="00337452"/>
    <w:rsid w:val="003615A7"/>
    <w:rsid w:val="0037432F"/>
    <w:rsid w:val="00385123"/>
    <w:rsid w:val="00386BCC"/>
    <w:rsid w:val="00390DF0"/>
    <w:rsid w:val="003A156A"/>
    <w:rsid w:val="003C566F"/>
    <w:rsid w:val="003D1417"/>
    <w:rsid w:val="00414AA7"/>
    <w:rsid w:val="00414B62"/>
    <w:rsid w:val="004B5466"/>
    <w:rsid w:val="004F0B96"/>
    <w:rsid w:val="005173AA"/>
    <w:rsid w:val="00544B0B"/>
    <w:rsid w:val="0057123C"/>
    <w:rsid w:val="00581FE2"/>
    <w:rsid w:val="005D4B55"/>
    <w:rsid w:val="005E19F7"/>
    <w:rsid w:val="0062447E"/>
    <w:rsid w:val="00640E28"/>
    <w:rsid w:val="00647732"/>
    <w:rsid w:val="006840C3"/>
    <w:rsid w:val="00686598"/>
    <w:rsid w:val="006D7FA8"/>
    <w:rsid w:val="00741B59"/>
    <w:rsid w:val="0077172B"/>
    <w:rsid w:val="00843BFD"/>
    <w:rsid w:val="00851291"/>
    <w:rsid w:val="00856A14"/>
    <w:rsid w:val="008870FB"/>
    <w:rsid w:val="0089370B"/>
    <w:rsid w:val="008A49AF"/>
    <w:rsid w:val="008C6961"/>
    <w:rsid w:val="00900C82"/>
    <w:rsid w:val="009109DA"/>
    <w:rsid w:val="00913F91"/>
    <w:rsid w:val="009258B1"/>
    <w:rsid w:val="00976004"/>
    <w:rsid w:val="00994B03"/>
    <w:rsid w:val="009C1C53"/>
    <w:rsid w:val="009E37A7"/>
    <w:rsid w:val="009F4FC1"/>
    <w:rsid w:val="00A069F5"/>
    <w:rsid w:val="00A47E61"/>
    <w:rsid w:val="00A527D4"/>
    <w:rsid w:val="00A529B2"/>
    <w:rsid w:val="00A56057"/>
    <w:rsid w:val="00A62FDC"/>
    <w:rsid w:val="00AB5C40"/>
    <w:rsid w:val="00AB6141"/>
    <w:rsid w:val="00AF7306"/>
    <w:rsid w:val="00B07778"/>
    <w:rsid w:val="00B16BBB"/>
    <w:rsid w:val="00B20754"/>
    <w:rsid w:val="00B4328F"/>
    <w:rsid w:val="00B52974"/>
    <w:rsid w:val="00B82B07"/>
    <w:rsid w:val="00BB3607"/>
    <w:rsid w:val="00BB3E67"/>
    <w:rsid w:val="00BC5CD8"/>
    <w:rsid w:val="00BF5F6F"/>
    <w:rsid w:val="00C05439"/>
    <w:rsid w:val="00C20CA0"/>
    <w:rsid w:val="00C350AE"/>
    <w:rsid w:val="00C361D9"/>
    <w:rsid w:val="00C95C1C"/>
    <w:rsid w:val="00CA5C08"/>
    <w:rsid w:val="00CC75DF"/>
    <w:rsid w:val="00CD4C83"/>
    <w:rsid w:val="00CF0F42"/>
    <w:rsid w:val="00D17A96"/>
    <w:rsid w:val="00D8027E"/>
    <w:rsid w:val="00D90B0A"/>
    <w:rsid w:val="00D916DD"/>
    <w:rsid w:val="00DA4060"/>
    <w:rsid w:val="00E276E0"/>
    <w:rsid w:val="00E40FBB"/>
    <w:rsid w:val="00E47176"/>
    <w:rsid w:val="00EA513C"/>
    <w:rsid w:val="00EA646B"/>
    <w:rsid w:val="00ED3CB7"/>
    <w:rsid w:val="00F01DD4"/>
    <w:rsid w:val="00F110DC"/>
    <w:rsid w:val="00F30D3E"/>
    <w:rsid w:val="00F40B24"/>
    <w:rsid w:val="00F50514"/>
    <w:rsid w:val="00F52CA4"/>
    <w:rsid w:val="00F56F0E"/>
    <w:rsid w:val="00F635C0"/>
    <w:rsid w:val="00FA4687"/>
    <w:rsid w:val="00FB40FC"/>
    <w:rsid w:val="00FC53A9"/>
    <w:rsid w:val="00FD05C5"/>
    <w:rsid w:val="00FE4955"/>
    <w:rsid w:val="00FE6E03"/>
    <w:rsid w:val="DAFFEB89"/>
    <w:rsid w:val="EF6F7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rPr>
  </w:style>
  <w:style w:type="character" w:customStyle="1" w:styleId="6">
    <w:name w:val="页眉 Char"/>
    <w:basedOn w:val="5"/>
    <w:link w:val="3"/>
    <w:qFormat/>
    <w:uiPriority w:val="0"/>
    <w:rPr>
      <w:rFonts w:ascii="Times New Roman" w:hAnsi="Times New Roman" w:eastAsia="仿宋_GB2312" w:cs="Times New Roman"/>
      <w:sz w:val="18"/>
      <w:szCs w:val="20"/>
    </w:rPr>
  </w:style>
  <w:style w:type="character" w:customStyle="1" w:styleId="7">
    <w:name w:val="页脚 Char"/>
    <w:basedOn w:val="5"/>
    <w:link w:val="2"/>
    <w:qFormat/>
    <w:uiPriority w:val="0"/>
    <w:rPr>
      <w:rFonts w:ascii="Times New Roman" w:hAnsi="Times New Roman" w:eastAsia="仿宋_GB2312" w:cs="Times New Roman"/>
      <w:sz w:val="18"/>
      <w:szCs w:val="20"/>
    </w:rPr>
  </w:style>
  <w:style w:type="paragraph" w:styleId="8">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1</Pages>
  <Words>1823</Words>
  <Characters>10392</Characters>
  <Lines>86</Lines>
  <Paragraphs>24</Paragraphs>
  <TotalTime>1700</TotalTime>
  <ScaleCrop>false</ScaleCrop>
  <LinksUpToDate>false</LinksUpToDate>
  <CharactersWithSpaces>12191</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2016-08-22T17:37:00Z</dcterms:created>
  <dc:creator>USER-</dc:creator>
  <cp:lastModifiedBy>kylin</cp:lastModifiedBy>
  <dcterms:modified xsi:type="dcterms:W3CDTF">2022-03-29T09:06:21Z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