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30" w:lineRule="exact"/>
        <w:jc w:val="center"/>
        <w:rPr>
          <w:rFonts w:hint="eastAsia" w:ascii="Times New Roman" w:hAnsi="Times New Roman" w:eastAsia="方正仿宋_GBK"/>
          <w:color w:val="000000"/>
          <w:sz w:val="32"/>
          <w:szCs w:val="32"/>
        </w:rPr>
      </w:pPr>
    </w:p>
    <w:p>
      <w:pPr>
        <w:adjustRightInd w:val="0"/>
        <w:snapToGrid w:val="0"/>
        <w:spacing w:line="600" w:lineRule="exact"/>
        <w:jc w:val="center"/>
        <w:rPr>
          <w:rFonts w:hint="eastAsia" w:ascii="方正小标宋_GBK" w:eastAsia="方正小标宋_GBK"/>
          <w:sz w:val="48"/>
          <w:szCs w:val="48"/>
        </w:rPr>
      </w:pPr>
      <w:r>
        <w:rPr>
          <w:rFonts w:hint="eastAsia" w:ascii="方正小标宋_GBK" w:eastAsia="方正小标宋_GBK"/>
          <w:sz w:val="48"/>
          <w:szCs w:val="48"/>
        </w:rPr>
        <w:t>美丽常州建设总体规划（2021-2035年）</w:t>
      </w:r>
    </w:p>
    <w:p>
      <w:pPr>
        <w:overflowPunct w:val="0"/>
        <w:autoSpaceDE w:val="0"/>
        <w:autoSpaceDN w:val="0"/>
        <w:adjustRightInd w:val="0"/>
        <w:snapToGrid w:val="0"/>
        <w:spacing w:line="570" w:lineRule="exact"/>
        <w:jc w:val="center"/>
        <w:rPr>
          <w:rFonts w:hint="eastAsia" w:ascii="方正小标宋_GBK" w:eastAsia="方正小标宋_GBK"/>
        </w:rPr>
      </w:pPr>
    </w:p>
    <w:p>
      <w:pPr>
        <w:overflowPunct w:val="0"/>
        <w:autoSpaceDE w:val="0"/>
        <w:autoSpaceDN w:val="0"/>
        <w:adjustRightInd w:val="0"/>
        <w:snapToGrid w:val="0"/>
        <w:spacing w:line="570" w:lineRule="exact"/>
        <w:jc w:val="center"/>
        <w:rPr>
          <w:rFonts w:hint="eastAsia" w:ascii="方正小标宋_GBK" w:eastAsia="方正小标宋_GBK"/>
        </w:rPr>
      </w:pPr>
    </w:p>
    <w:p>
      <w:pPr>
        <w:pStyle w:val="2"/>
        <w:keepNext w:val="0"/>
        <w:keepLines w:val="0"/>
        <w:overflowPunct w:val="0"/>
        <w:autoSpaceDE w:val="0"/>
        <w:autoSpaceDN w:val="0"/>
        <w:adjustRightInd w:val="0"/>
        <w:snapToGrid w:val="0"/>
        <w:spacing w:before="0" w:after="0" w:line="570" w:lineRule="exact"/>
        <w:jc w:val="center"/>
        <w:rPr>
          <w:rFonts w:hint="eastAsia" w:ascii="方正小标宋_GBK" w:eastAsia="方正小标宋_GBK"/>
          <w:b w:val="0"/>
        </w:rPr>
      </w:pPr>
      <w:bookmarkStart w:id="0" w:name="_Toc75186629"/>
      <w:bookmarkStart w:id="1" w:name="_Toc70682300"/>
      <w:bookmarkStart w:id="2" w:name="_Toc80534520"/>
      <w:bookmarkStart w:id="3" w:name="_Toc70629358"/>
      <w:bookmarkStart w:id="4" w:name="_Toc81592671"/>
      <w:bookmarkStart w:id="5" w:name="_Toc75191019"/>
      <w:bookmarkStart w:id="6" w:name="_Toc11817"/>
      <w:bookmarkStart w:id="7" w:name="_Toc80633743"/>
      <w:bookmarkStart w:id="8" w:name="_Toc68876586"/>
      <w:bookmarkStart w:id="9" w:name="_Toc70588208"/>
      <w:r>
        <w:rPr>
          <w:rFonts w:hint="eastAsia" w:ascii="方正小标宋_GBK" w:eastAsia="方正小标宋_GBK"/>
          <w:b w:val="0"/>
        </w:rPr>
        <w:t>前    言</w:t>
      </w:r>
      <w:bookmarkEnd w:id="0"/>
      <w:bookmarkEnd w:id="1"/>
      <w:bookmarkEnd w:id="2"/>
      <w:bookmarkEnd w:id="3"/>
      <w:bookmarkEnd w:id="4"/>
      <w:bookmarkEnd w:id="5"/>
      <w:bookmarkEnd w:id="6"/>
      <w:bookmarkEnd w:id="7"/>
      <w:bookmarkEnd w:id="8"/>
      <w:bookmarkEnd w:id="9"/>
    </w:p>
    <w:p>
      <w:pPr>
        <w:overflowPunct w:val="0"/>
        <w:autoSpaceDE w:val="0"/>
        <w:autoSpaceDN w:val="0"/>
        <w:adjustRightInd w:val="0"/>
        <w:snapToGrid w:val="0"/>
        <w:spacing w:line="570" w:lineRule="exact"/>
        <w:jc w:val="center"/>
        <w:rPr>
          <w:rFonts w:hint="eastAsia" w:ascii="方正小标宋_GBK" w:eastAsia="方正小标宋_GBK"/>
        </w:rPr>
      </w:pP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z w:val="32"/>
          <w:szCs w:val="32"/>
        </w:rPr>
        <w:t>常州位于苏南腹心，北临长江，南接太湖，平原广袤兼有山丘平圩，京杭大运河穿城而过，滆湖、长荡湖、天目湖镶嵌其间，形成蓝绿交织的山水格局。远山近水的自然禀赋，塑造了全市婉转灵动的江南水乡特色。这里历史悠久，人文荟萃，产业兴旺，是长三角重要的工业制造基地和生态宜居城市，正在阔步迈向“国际化智造名城，长三角中轴枢纽”。</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ascii="Times New Roman" w:hAnsi="Times New Roman" w:eastAsia="方正仿宋_GBK"/>
          <w:sz w:val="32"/>
          <w:szCs w:val="32"/>
        </w:rPr>
        <w:t>为深入贯彻党的十九大精神，全面落实党中央建设美丽中国的总体要求和《美丽江苏建设总体规划（2021-2035年）》，根据《常州市国民经济和社会发展第十四个五年规划和二〇三五年远景目标纲要》《</w:t>
      </w:r>
      <w:bookmarkStart w:id="10" w:name="_Hlk82522772"/>
      <w:r>
        <w:rPr>
          <w:rFonts w:ascii="Times New Roman" w:hAnsi="Times New Roman" w:eastAsia="方正仿宋_GBK"/>
          <w:sz w:val="32"/>
          <w:szCs w:val="32"/>
        </w:rPr>
        <w:t>中共常州市委常州市人民政府关于大力推进美丽常州建设的实施意见</w:t>
      </w:r>
      <w:bookmarkEnd w:id="10"/>
      <w:r>
        <w:rPr>
          <w:rFonts w:ascii="Times New Roman" w:hAnsi="Times New Roman" w:eastAsia="方正仿宋_GBK"/>
          <w:sz w:val="32"/>
          <w:szCs w:val="32"/>
        </w:rPr>
        <w:t>》，编制《美丽常州建设总体规划（2021-2035年）》。</w:t>
      </w:r>
    </w:p>
    <w:p>
      <w:pPr>
        <w:overflowPunct w:val="0"/>
        <w:autoSpaceDE w:val="0"/>
        <w:autoSpaceDN w:val="0"/>
        <w:adjustRightInd w:val="0"/>
        <w:snapToGrid w:val="0"/>
        <w:spacing w:line="570" w:lineRule="exact"/>
        <w:ind w:firstLine="641"/>
        <w:rPr>
          <w:rFonts w:hint="eastAsia" w:ascii="方正小标宋_GBK" w:eastAsia="方正小标宋_GBK"/>
          <w:sz w:val="44"/>
          <w:szCs w:val="44"/>
        </w:rPr>
      </w:pPr>
      <w:r>
        <w:rPr>
          <w:rFonts w:ascii="Times New Roman" w:hAnsi="Times New Roman" w:eastAsia="方正仿宋_GBK"/>
          <w:sz w:val="32"/>
          <w:szCs w:val="32"/>
        </w:rPr>
        <w:t>本规划全面落实“532”发展战略，</w:t>
      </w:r>
      <w:r>
        <w:rPr>
          <w:rFonts w:ascii="Times New Roman" w:hAnsi="Times New Roman" w:eastAsia="方正仿宋_GBK"/>
          <w:snapToGrid w:val="0"/>
          <w:kern w:val="0"/>
          <w:sz w:val="32"/>
          <w:szCs w:val="32"/>
        </w:rPr>
        <w:t>紧扣“枕江临湖的锦绣龙城，宜居幸福的常乐之州”定位，围绕展现常州空间格局之美、自然生态之美、绿色发展之美、城乡协调之美、人文特色之美、文明和谐之美，</w:t>
      </w:r>
      <w:r>
        <w:rPr>
          <w:rFonts w:ascii="Times New Roman" w:hAnsi="Times New Roman" w:eastAsia="方正仿宋_GBK"/>
          <w:sz w:val="32"/>
          <w:szCs w:val="32"/>
        </w:rPr>
        <w:t>提出打造美丽江苏常州样板的重要意义、总体要求、发展目标与重点任务，</w:t>
      </w:r>
      <w:r>
        <w:rPr>
          <w:rFonts w:ascii="Times New Roman" w:hAnsi="Times New Roman" w:eastAsia="方正仿宋_GBK"/>
          <w:snapToGrid w:val="0"/>
          <w:kern w:val="0"/>
          <w:sz w:val="32"/>
          <w:szCs w:val="32"/>
        </w:rPr>
        <w:t>让</w:t>
      </w:r>
      <w:r>
        <w:rPr>
          <w:rFonts w:ascii="Times New Roman" w:hAnsi="Times New Roman" w:eastAsia="方正仿宋_GBK"/>
          <w:sz w:val="32"/>
          <w:szCs w:val="32"/>
        </w:rPr>
        <w:t>美丽常州</w:t>
      </w:r>
      <w:r>
        <w:rPr>
          <w:rFonts w:ascii="Times New Roman" w:hAnsi="Times New Roman" w:eastAsia="方正仿宋_GBK"/>
          <w:snapToGrid w:val="0"/>
          <w:kern w:val="0"/>
          <w:sz w:val="32"/>
          <w:szCs w:val="32"/>
        </w:rPr>
        <w:t>成为常州基本实现社会主义现代化的鲜明底色</w:t>
      </w:r>
      <w:r>
        <w:rPr>
          <w:rFonts w:ascii="Times New Roman" w:hAnsi="Times New Roman" w:eastAsia="方正仿宋_GBK"/>
          <w:sz w:val="32"/>
          <w:szCs w:val="32"/>
        </w:rPr>
        <w:t>。本规划是指导当前和今后较长一个时期美丽常州建设总的行动纲领，也是全市编制相关规划、制定相关政策的重要依据。规划近期为2021-2025年，规划中远期为2026-2035年。</w:t>
      </w:r>
    </w:p>
    <w:p>
      <w:pPr>
        <w:overflowPunct w:val="0"/>
        <w:autoSpaceDE w:val="0"/>
        <w:autoSpaceDN w:val="0"/>
        <w:adjustRightInd w:val="0"/>
        <w:snapToGrid w:val="0"/>
        <w:spacing w:line="570" w:lineRule="exact"/>
        <w:jc w:val="center"/>
        <w:rPr>
          <w:rFonts w:hint="eastAsia" w:ascii="方正小标宋_GBK" w:hAnsi="Times New Roman" w:eastAsia="方正小标宋_GBK"/>
          <w:color w:val="000000"/>
          <w:sz w:val="44"/>
          <w:szCs w:val="44"/>
        </w:rPr>
      </w:pPr>
      <w:r>
        <w:rPr>
          <w:rFonts w:ascii="Times New Roman" w:hAnsi="Times New Roman" w:eastAsia="方正仿宋_GBK"/>
          <w:color w:val="000000"/>
          <w:sz w:val="32"/>
          <w:szCs w:val="32"/>
        </w:rPr>
        <w:br w:type="page"/>
      </w:r>
    </w:p>
    <w:p>
      <w:pPr>
        <w:pStyle w:val="2"/>
        <w:keepNext w:val="0"/>
        <w:keepLines w:val="0"/>
        <w:overflowPunct w:val="0"/>
        <w:autoSpaceDE w:val="0"/>
        <w:autoSpaceDN w:val="0"/>
        <w:adjustRightInd w:val="0"/>
        <w:snapToGrid w:val="0"/>
        <w:spacing w:before="0" w:after="0" w:line="570" w:lineRule="exact"/>
        <w:jc w:val="center"/>
        <w:rPr>
          <w:rFonts w:hint="eastAsia" w:ascii="方正小标宋_GBK" w:hAnsi="Times New Roman" w:eastAsia="方正小标宋_GBK"/>
          <w:b w:val="0"/>
        </w:rPr>
      </w:pPr>
      <w:bookmarkStart w:id="11" w:name="_Toc80534519"/>
      <w:bookmarkStart w:id="12" w:name="_Toc81592670"/>
      <w:bookmarkStart w:id="13" w:name="_Toc70629357"/>
      <w:bookmarkStart w:id="14" w:name="_Toc70682299"/>
      <w:bookmarkStart w:id="15" w:name="_Toc80633742"/>
      <w:bookmarkStart w:id="16" w:name="_Toc75186628"/>
      <w:bookmarkStart w:id="17" w:name="_Toc70588207"/>
      <w:r>
        <w:rPr>
          <w:rFonts w:hint="eastAsia" w:ascii="方正小标宋_GBK" w:hAnsi="Times New Roman" w:eastAsia="方正小标宋_GBK"/>
          <w:b w:val="0"/>
        </w:rPr>
        <w:t>目    录</w:t>
      </w:r>
      <w:bookmarkEnd w:id="11"/>
      <w:bookmarkEnd w:id="12"/>
      <w:bookmarkEnd w:id="13"/>
      <w:bookmarkEnd w:id="14"/>
      <w:bookmarkEnd w:id="15"/>
      <w:bookmarkEnd w:id="16"/>
      <w:bookmarkEnd w:id="17"/>
    </w:p>
    <w:p>
      <w:pPr>
        <w:adjustRightInd w:val="0"/>
        <w:snapToGrid w:val="0"/>
        <w:spacing w:line="570" w:lineRule="exact"/>
        <w:jc w:val="center"/>
        <w:rPr>
          <w:rFonts w:hint="eastAsia" w:ascii="方正小标宋_GBK" w:eastAsia="方正小标宋_GBK"/>
          <w:sz w:val="44"/>
          <w:szCs w:val="44"/>
        </w:rPr>
      </w:pP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第一章</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立足时代新起点，展现魅力龙城新风貌</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重大意义</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发展形势</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现实基础</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第二章</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深化强富美高新实践，打造美丽江苏常州样板</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指导思想</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基本原则</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 xml:space="preserve"> 2035年远景目标</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第四节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“十四五”发展目标</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pacing w:val="-12"/>
          <w:sz w:val="32"/>
          <w:szCs w:val="32"/>
        </w:rPr>
      </w:pPr>
      <w:r>
        <w:rPr>
          <w:rFonts w:ascii="Times New Roman" w:hAnsi="Times New Roman" w:eastAsia="方正仿宋_GBK"/>
          <w:b w:val="0"/>
          <w:bCs w:val="0"/>
          <w:spacing w:val="-12"/>
          <w:sz w:val="32"/>
          <w:szCs w:val="32"/>
        </w:rPr>
        <w:t>第三章</w:t>
      </w:r>
      <w:r>
        <w:rPr>
          <w:rFonts w:hint="eastAsia" w:ascii="Times New Roman" w:hAnsi="Times New Roman" w:eastAsia="方正仿宋_GBK"/>
          <w:b w:val="0"/>
          <w:bCs w:val="0"/>
          <w:spacing w:val="-12"/>
          <w:sz w:val="32"/>
          <w:szCs w:val="32"/>
        </w:rPr>
        <w:t xml:space="preserve">  </w:t>
      </w:r>
      <w:r>
        <w:rPr>
          <w:rFonts w:ascii="Times New Roman" w:hAnsi="Times New Roman" w:eastAsia="方正仿宋_GBK"/>
          <w:b w:val="0"/>
          <w:bCs w:val="0"/>
          <w:spacing w:val="-12"/>
          <w:sz w:val="32"/>
          <w:szCs w:val="32"/>
        </w:rPr>
        <w:t>描绘三生融合和谐蓝图，彰显四沿联动的空间格局之美</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构建锦绣龙城发展新格局</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推动区域融合发展露新颜</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塑造区域空间特色新优势</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pacing w:val="-12"/>
          <w:sz w:val="32"/>
          <w:szCs w:val="32"/>
        </w:rPr>
      </w:pPr>
      <w:r>
        <w:rPr>
          <w:rFonts w:ascii="Times New Roman" w:hAnsi="Times New Roman" w:eastAsia="方正仿宋_GBK"/>
          <w:b w:val="0"/>
          <w:bCs w:val="0"/>
          <w:spacing w:val="-12"/>
          <w:sz w:val="32"/>
          <w:szCs w:val="32"/>
        </w:rPr>
        <w:t>第四章</w:t>
      </w:r>
      <w:r>
        <w:rPr>
          <w:rFonts w:hint="eastAsia" w:ascii="Times New Roman" w:hAnsi="Times New Roman" w:eastAsia="方正仿宋_GBK"/>
          <w:b w:val="0"/>
          <w:bCs w:val="0"/>
          <w:spacing w:val="-12"/>
          <w:sz w:val="32"/>
          <w:szCs w:val="32"/>
        </w:rPr>
        <w:t xml:space="preserve">  </w:t>
      </w:r>
      <w:r>
        <w:rPr>
          <w:rFonts w:ascii="Times New Roman" w:hAnsi="Times New Roman" w:eastAsia="方正仿宋_GBK"/>
          <w:b w:val="0"/>
          <w:bCs w:val="0"/>
          <w:spacing w:val="-12"/>
          <w:sz w:val="32"/>
          <w:szCs w:val="32"/>
        </w:rPr>
        <w:t>绘就锦绣绿城满目青翠，绽放江山如画的自然生态之美</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彰显城市山水独特魅力</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提升生态环境发展质量</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构筑生态发展绿色屏障</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pacing w:val="-16"/>
          <w:sz w:val="32"/>
          <w:szCs w:val="32"/>
        </w:rPr>
      </w:pPr>
      <w:r>
        <w:rPr>
          <w:rFonts w:ascii="Times New Roman" w:hAnsi="Times New Roman" w:eastAsia="方正仿宋_GBK"/>
          <w:b w:val="0"/>
          <w:bCs w:val="0"/>
          <w:spacing w:val="-16"/>
          <w:sz w:val="32"/>
          <w:szCs w:val="32"/>
        </w:rPr>
        <w:t>第五章</w:t>
      </w:r>
      <w:r>
        <w:rPr>
          <w:rFonts w:hint="eastAsia" w:ascii="Times New Roman" w:hAnsi="Times New Roman" w:eastAsia="方正仿宋_GBK"/>
          <w:b w:val="0"/>
          <w:bCs w:val="0"/>
          <w:spacing w:val="-16"/>
          <w:sz w:val="32"/>
          <w:szCs w:val="32"/>
        </w:rPr>
        <w:t xml:space="preserve">  </w:t>
      </w:r>
      <w:r>
        <w:rPr>
          <w:rFonts w:ascii="Times New Roman" w:hAnsi="Times New Roman" w:eastAsia="方正仿宋_GBK"/>
          <w:b w:val="0"/>
          <w:bCs w:val="0"/>
          <w:spacing w:val="-16"/>
          <w:sz w:val="32"/>
          <w:szCs w:val="32"/>
        </w:rPr>
        <w:t>深入践行“两山”发展理念，打造低碳循环的绿色发展之美</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构建绿色协同创新体系</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探索碳达峰碳中和路径</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提升产业绿色发展水平</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第四节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创新生态经济发展模式</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pacing w:val="-12"/>
          <w:sz w:val="32"/>
          <w:szCs w:val="32"/>
        </w:rPr>
      </w:pPr>
      <w:r>
        <w:rPr>
          <w:rFonts w:ascii="Times New Roman" w:hAnsi="Times New Roman" w:eastAsia="方正仿宋_GBK"/>
          <w:b w:val="0"/>
          <w:bCs w:val="0"/>
          <w:spacing w:val="-12"/>
          <w:sz w:val="32"/>
          <w:szCs w:val="32"/>
        </w:rPr>
        <w:t>第六章</w:t>
      </w:r>
      <w:r>
        <w:rPr>
          <w:rFonts w:hint="eastAsia" w:ascii="Times New Roman" w:hAnsi="Times New Roman" w:eastAsia="方正仿宋_GBK"/>
          <w:b w:val="0"/>
          <w:bCs w:val="0"/>
          <w:spacing w:val="-12"/>
          <w:sz w:val="32"/>
          <w:szCs w:val="32"/>
        </w:rPr>
        <w:t xml:space="preserve">  </w:t>
      </w:r>
      <w:r>
        <w:rPr>
          <w:rFonts w:ascii="Times New Roman" w:hAnsi="Times New Roman" w:eastAsia="方正仿宋_GBK"/>
          <w:b w:val="0"/>
          <w:bCs w:val="0"/>
          <w:spacing w:val="-12"/>
          <w:sz w:val="32"/>
          <w:szCs w:val="32"/>
        </w:rPr>
        <w:t>实现人居环境秀美怡然，统筹诗意栖居的城乡协调之美</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匠心织就城市靓丽面貌</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妙笔谱写镇乡发展华章</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精心营造城乡宜居体验</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第四节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蓄力畅通路网纵横八方</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pacing w:val="-12"/>
          <w:sz w:val="32"/>
          <w:szCs w:val="32"/>
        </w:rPr>
      </w:pPr>
      <w:r>
        <w:rPr>
          <w:rFonts w:ascii="Times New Roman" w:hAnsi="Times New Roman" w:eastAsia="方正仿宋_GBK"/>
          <w:b w:val="0"/>
          <w:bCs w:val="0"/>
          <w:spacing w:val="-12"/>
          <w:sz w:val="32"/>
          <w:szCs w:val="32"/>
        </w:rPr>
        <w:t>第七章</w:t>
      </w:r>
      <w:r>
        <w:rPr>
          <w:rFonts w:hint="eastAsia" w:ascii="Times New Roman" w:hAnsi="Times New Roman" w:eastAsia="方正仿宋_GBK"/>
          <w:b w:val="0"/>
          <w:bCs w:val="0"/>
          <w:spacing w:val="-12"/>
          <w:sz w:val="32"/>
          <w:szCs w:val="32"/>
        </w:rPr>
        <w:t xml:space="preserve">  </w:t>
      </w:r>
      <w:r>
        <w:rPr>
          <w:rFonts w:ascii="Times New Roman" w:hAnsi="Times New Roman" w:eastAsia="方正仿宋_GBK"/>
          <w:b w:val="0"/>
          <w:bCs w:val="0"/>
          <w:spacing w:val="-12"/>
          <w:sz w:val="32"/>
          <w:szCs w:val="32"/>
        </w:rPr>
        <w:t>塑造城市文化独特风韵，再现内涵丰富的人文特色之美</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保留城市记忆传承历史文脉</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丰富多元体验提升文旅融合</w:t>
      </w:r>
      <w:r>
        <w:rPr>
          <w:rFonts w:ascii="Times New Roman" w:hAnsi="Times New Roman" w:eastAsia="方正仿宋_GBK"/>
          <w:b w:val="0"/>
          <w:bCs w:val="0"/>
          <w:sz w:val="32"/>
          <w:szCs w:val="32"/>
        </w:rPr>
        <w:tab/>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满足美好期待丰富精神生活</w:t>
      </w:r>
      <w:r>
        <w:rPr>
          <w:rFonts w:ascii="Times New Roman" w:hAnsi="Times New Roman" w:eastAsia="方正仿宋_GBK"/>
          <w:b w:val="0"/>
          <w:bCs w:val="0"/>
          <w:sz w:val="32"/>
          <w:szCs w:val="32"/>
        </w:rPr>
        <w:tab/>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pacing w:val="-12"/>
          <w:sz w:val="32"/>
          <w:szCs w:val="32"/>
        </w:rPr>
      </w:pPr>
      <w:r>
        <w:rPr>
          <w:rFonts w:ascii="Times New Roman" w:hAnsi="Times New Roman" w:eastAsia="方正仿宋_GBK"/>
          <w:b w:val="0"/>
          <w:bCs w:val="0"/>
          <w:spacing w:val="-12"/>
          <w:sz w:val="32"/>
          <w:szCs w:val="32"/>
        </w:rPr>
        <w:t>第八章</w:t>
      </w:r>
      <w:r>
        <w:rPr>
          <w:rFonts w:hint="eastAsia" w:ascii="Times New Roman" w:hAnsi="Times New Roman" w:eastAsia="方正仿宋_GBK"/>
          <w:b w:val="0"/>
          <w:bCs w:val="0"/>
          <w:spacing w:val="-12"/>
          <w:sz w:val="32"/>
          <w:szCs w:val="32"/>
        </w:rPr>
        <w:t xml:space="preserve">  </w:t>
      </w:r>
      <w:r>
        <w:rPr>
          <w:rFonts w:ascii="Times New Roman" w:hAnsi="Times New Roman" w:eastAsia="方正仿宋_GBK"/>
          <w:b w:val="0"/>
          <w:bCs w:val="0"/>
          <w:spacing w:val="-12"/>
          <w:sz w:val="32"/>
          <w:szCs w:val="32"/>
        </w:rPr>
        <w:t>引领社会风尚明德惟馨，营造共建共治的文明和谐之美</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坚持高尚品行倡导社会新风</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增进民生福祉提升幸福质感</w:t>
      </w:r>
    </w:p>
    <w:p>
      <w:pPr>
        <w:pStyle w:val="2"/>
        <w:keepNext w:val="0"/>
        <w:keepLines w:val="0"/>
        <w:overflowPunct w:val="0"/>
        <w:autoSpaceDE w:val="0"/>
        <w:autoSpaceDN w:val="0"/>
        <w:adjustRightInd w:val="0"/>
        <w:snapToGrid w:val="0"/>
        <w:spacing w:before="0" w:after="0" w:line="570" w:lineRule="exact"/>
        <w:ind w:firstLine="641"/>
        <w:rPr>
          <w:rFonts w:hint="eastAsia"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营造祥和氛围实现安居乐业</w:t>
      </w:r>
      <w:r>
        <w:rPr>
          <w:rFonts w:ascii="Times New Roman" w:hAnsi="Times New Roman" w:eastAsia="方正仿宋_GBK"/>
          <w:b w:val="0"/>
          <w:bCs w:val="0"/>
          <w:sz w:val="32"/>
          <w:szCs w:val="32"/>
        </w:rPr>
        <w:tab/>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第九章</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加强制度保障建设，绘就美丽常州建设新篇章</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第一节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加强组织领导</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第二节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创新体制机制</w:t>
      </w:r>
    </w:p>
    <w:p>
      <w:pPr>
        <w:pStyle w:val="2"/>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bCs w:val="0"/>
          <w:sz w:val="32"/>
          <w:szCs w:val="32"/>
        </w:rPr>
      </w:pPr>
      <w:r>
        <w:rPr>
          <w:rFonts w:ascii="Times New Roman" w:hAnsi="Times New Roman" w:eastAsia="方正仿宋_GBK"/>
          <w:b w:val="0"/>
          <w:bCs w:val="0"/>
          <w:sz w:val="32"/>
          <w:szCs w:val="32"/>
        </w:rPr>
        <w:t>第三节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强化法治建设</w:t>
      </w:r>
    </w:p>
    <w:p>
      <w:pPr>
        <w:pStyle w:val="2"/>
        <w:keepNext w:val="0"/>
        <w:keepLines w:val="0"/>
        <w:overflowPunct w:val="0"/>
        <w:autoSpaceDE w:val="0"/>
        <w:autoSpaceDN w:val="0"/>
        <w:adjustRightInd w:val="0"/>
        <w:snapToGrid w:val="0"/>
        <w:spacing w:before="0" w:after="0" w:line="570" w:lineRule="exact"/>
        <w:ind w:firstLine="641"/>
        <w:rPr>
          <w:rFonts w:hint="eastAsia" w:ascii="Times New Roman" w:hAnsi="Times New Roman" w:eastAsia="方正仿宋_GBK"/>
          <w:b w:val="0"/>
          <w:bCs w:val="0"/>
          <w:sz w:val="32"/>
          <w:szCs w:val="32"/>
        </w:rPr>
      </w:pPr>
      <w:r>
        <w:rPr>
          <w:rFonts w:ascii="Times New Roman" w:hAnsi="Times New Roman" w:eastAsia="方正仿宋_GBK"/>
          <w:b w:val="0"/>
          <w:bCs w:val="0"/>
          <w:sz w:val="32"/>
          <w:szCs w:val="32"/>
        </w:rPr>
        <w:t>第四节</w:t>
      </w:r>
      <w:r>
        <w:rPr>
          <w:rFonts w:hint="eastAsia" w:ascii="Times New Roman" w:hAnsi="Times New Roman" w:eastAsia="方正仿宋_GBK"/>
          <w:b w:val="0"/>
          <w:bCs w:val="0"/>
          <w:sz w:val="32"/>
          <w:szCs w:val="32"/>
        </w:rPr>
        <w:t xml:space="preserve">  </w:t>
      </w:r>
      <w:r>
        <w:rPr>
          <w:rFonts w:ascii="Times New Roman" w:hAnsi="Times New Roman" w:eastAsia="方正仿宋_GBK"/>
          <w:b w:val="0"/>
          <w:bCs w:val="0"/>
          <w:sz w:val="32"/>
          <w:szCs w:val="32"/>
        </w:rPr>
        <w:t>引导公众参与</w:t>
      </w:r>
    </w:p>
    <w:p>
      <w:pPr>
        <w:overflowPunct w:val="0"/>
        <w:autoSpaceDE w:val="0"/>
        <w:autoSpaceDN w:val="0"/>
        <w:adjustRightInd w:val="0"/>
        <w:snapToGrid w:val="0"/>
        <w:spacing w:line="570" w:lineRule="exact"/>
        <w:jc w:val="center"/>
        <w:rPr>
          <w:rFonts w:hint="eastAsia"/>
        </w:rPr>
      </w:pPr>
      <w:r>
        <w:br w:type="page"/>
      </w:r>
      <w:bookmarkStart w:id="18" w:name="_Toc81592672"/>
    </w:p>
    <w:p>
      <w:pPr>
        <w:overflowPunct w:val="0"/>
        <w:autoSpaceDE w:val="0"/>
        <w:autoSpaceDN w:val="0"/>
        <w:adjustRightInd w:val="0"/>
        <w:snapToGrid w:val="0"/>
        <w:spacing w:line="570" w:lineRule="exact"/>
        <w:jc w:val="center"/>
        <w:rPr>
          <w:rFonts w:hint="eastAsia" w:ascii="方正小标宋_GBK" w:hAnsi="Times New Roman" w:eastAsia="方正小标宋_GBK"/>
          <w:spacing w:val="-8"/>
          <w:sz w:val="44"/>
          <w:szCs w:val="44"/>
        </w:rPr>
      </w:pPr>
      <w:r>
        <w:rPr>
          <w:rFonts w:hint="eastAsia" w:ascii="方正小标宋_GBK" w:hAnsi="Times New Roman" w:eastAsia="方正小标宋_GBK"/>
          <w:spacing w:val="-8"/>
          <w:sz w:val="44"/>
          <w:szCs w:val="44"/>
        </w:rPr>
        <w:t>第一章  立足时代新起点，展现魅力龙城新风貌</w:t>
      </w:r>
      <w:bookmarkEnd w:id="18"/>
    </w:p>
    <w:p>
      <w:pPr>
        <w:overflowPunct w:val="0"/>
        <w:autoSpaceDE w:val="0"/>
        <w:autoSpaceDN w:val="0"/>
        <w:adjustRightInd w:val="0"/>
        <w:snapToGrid w:val="0"/>
        <w:spacing w:line="570" w:lineRule="exact"/>
        <w:jc w:val="center"/>
        <w:rPr>
          <w:rFonts w:hint="eastAsia" w:ascii="方正小标宋_GBK" w:hAnsi="Times New Roman" w:eastAsia="方正小标宋_GBK"/>
          <w:spacing w:val="-8"/>
          <w:sz w:val="44"/>
          <w:szCs w:val="44"/>
        </w:rPr>
      </w:pPr>
    </w:p>
    <w:p>
      <w:pPr>
        <w:pStyle w:val="3"/>
        <w:keepNext w:val="0"/>
        <w:keepLines w:val="0"/>
        <w:overflowPunct w:val="0"/>
        <w:autoSpaceDE w:val="0"/>
        <w:autoSpaceDN w:val="0"/>
        <w:adjustRightInd w:val="0"/>
        <w:snapToGrid w:val="0"/>
        <w:spacing w:before="0" w:after="240" w:line="570" w:lineRule="exact"/>
        <w:jc w:val="center"/>
        <w:rPr>
          <w:rFonts w:ascii="Times New Roman" w:hAnsi="Times New Roman" w:eastAsia="方正黑体_GBK"/>
          <w:b w:val="0"/>
        </w:rPr>
      </w:pPr>
      <w:bookmarkStart w:id="19" w:name="_Toc81592673"/>
      <w:r>
        <w:rPr>
          <w:rFonts w:ascii="Times New Roman" w:hAnsi="Times New Roman" w:eastAsia="方正黑体_GBK"/>
          <w:b w:val="0"/>
        </w:rPr>
        <w:t>第一节  重大意义</w:t>
      </w:r>
      <w:bookmarkEnd w:id="19"/>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仿宋_GBK"/>
          <w:sz w:val="32"/>
          <w:szCs w:val="32"/>
        </w:rPr>
        <w:t>党的十八大以来，绿色发展、绿色生活理念深入人心，中国经济社会发展更加充满活力，生态文明建设在中华民族伟大复兴征程中越发重要。建设美丽中国，是习近平总书记亲自布局的重大举措，是实现中国“两个一百年”奋斗目标的新路径，也是稳固大国地位和实现中华民族伟大复兴中国梦的必然要求。2014年，习近平总书记擘画“强富美高”新江苏建设宏伟蓝图，将“环境美”和“社会文明程度高”作为新江苏发展的重要目标。推进美丽江苏建设，是习近平总书记描绘的美丽中国蓝图在江苏大地上的生动实践，是全省人民的期盼和梦想，也是一项事关全局的重大战略任务。</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仿宋_GBK"/>
          <w:sz w:val="32"/>
          <w:szCs w:val="32"/>
        </w:rPr>
        <w:t>常州地处长江三角洲中心地带，三省通衢、内联外畅，经济实力居全省前列，社会发展水平较高，历史文化积淀深厚，美丽城市建设基础坚实。市委十二届十次全会明确，到2035年，全面建成生态宜居、城乡融合、特色鲜明、文明和谐、绿色创新的美丽常州。深入推进美丽常州建设，有利于落实“532”发展战略，加快建设长三角交通中轴、创新中轴、产业中轴、生态中轴、文旅中轴，高标准打造长三角产业科技创新中心、现代物流中心、休闲度假中心，不断提升城乡融合发展示范区、统筹发展和安全示范区建设水平；有利于满足人民对美好生活的需求，推动高质量发展走在前列，构筑基本实现社会主义现代化的鲜明底色；有利于统筹推进经济生态化与生态经济化，实现社会良性发展；有利于提升城乡品质，保护传承历史文化，彰显常州自然山水、人居风貌和文化特色。必须牢固树立生态优先、绿色发展导向，全面推进“美丽常州”建设，把美丽、健康、生态、宜居贯穿城乡产业发展、规划建设管理、人民美好生活全过程，推进生态文明建设再上新台阶，着力打造美丽江苏常州样板。</w:t>
      </w:r>
    </w:p>
    <w:p>
      <w:pPr>
        <w:pStyle w:val="3"/>
        <w:keepNext w:val="0"/>
        <w:keepLines w:val="0"/>
        <w:overflowPunct w:val="0"/>
        <w:autoSpaceDE w:val="0"/>
        <w:autoSpaceDN w:val="0"/>
        <w:adjustRightInd w:val="0"/>
        <w:snapToGrid w:val="0"/>
        <w:spacing w:before="240" w:after="240" w:line="570" w:lineRule="exact"/>
        <w:jc w:val="center"/>
        <w:rPr>
          <w:rFonts w:ascii="Times New Roman" w:hAnsi="Times New Roman" w:eastAsia="方正黑体_GBK"/>
          <w:b w:val="0"/>
        </w:rPr>
      </w:pPr>
      <w:bookmarkStart w:id="20" w:name="_Toc81592674"/>
      <w:r>
        <w:rPr>
          <w:rFonts w:ascii="Times New Roman" w:hAnsi="Times New Roman" w:eastAsia="方正黑体_GBK"/>
          <w:b w:val="0"/>
        </w:rPr>
        <w:t>第二节  发展形势</w:t>
      </w:r>
      <w:bookmarkEnd w:id="20"/>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Style w:val="6"/>
          <w:rFonts w:eastAsia="方正仿宋_GBK"/>
          <w:szCs w:val="32"/>
        </w:rPr>
        <w:t>从国际看，</w:t>
      </w:r>
      <w:r>
        <w:rPr>
          <w:rFonts w:ascii="Times New Roman" w:hAnsi="Times New Roman" w:eastAsia="方正仿宋_GBK"/>
          <w:sz w:val="32"/>
          <w:szCs w:val="32"/>
        </w:rPr>
        <w:t>绿色发展大势和全球环境治理体系深刻变革，各国相互联系、相互依存日益加深，绿色低碳发展成为人类命运共同体构建重要途径。新一轮科技革命和产业变革深入发展，为引领产业绿色升级、经济绿色转型指明方向、提供重要机遇。同时，全球新冠肺炎疫情大流行带来巨大变量，经济全球化遭遇逆流，经济绿色复苏乏力，世界进入动荡变革期，对我国实现跨越式发展、建成绿色低碳循环发展经济体系产生制约。</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Style w:val="6"/>
          <w:rFonts w:eastAsia="方正仿宋_GBK"/>
          <w:szCs w:val="32"/>
        </w:rPr>
        <w:t>从国内看，</w:t>
      </w:r>
      <w:r>
        <w:rPr>
          <w:rFonts w:ascii="Times New Roman" w:hAnsi="Times New Roman" w:eastAsia="方正仿宋_GBK"/>
          <w:sz w:val="32"/>
          <w:szCs w:val="32"/>
        </w:rPr>
        <w:t>党的十八大以来，以习近平同志为核心的党中央深刻总结人类文明发展规律，顺应人民群众日益增长的对良好生态环境的新期待，推动中国绿色发展道路越走越宽。在第七十五届联合国大会上，习近平总书记指出中国二氧化碳排放力争于2030年前达到峰值，努力争取2060年前实现碳中和，强化了我国在坚持绿色发展、低碳转型、高质量发展等方面的工作部署，持续推动人与自然和谐发展的美丽中国建设进程。</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Style w:val="6"/>
          <w:rFonts w:eastAsia="方正仿宋_GBK"/>
          <w:szCs w:val="32"/>
        </w:rPr>
        <w:t>从省市看，</w:t>
      </w:r>
      <w:r>
        <w:rPr>
          <w:rFonts w:ascii="Times New Roman" w:hAnsi="Times New Roman" w:eastAsia="方正仿宋_GBK"/>
          <w:sz w:val="32"/>
          <w:szCs w:val="32"/>
        </w:rPr>
        <w:t>新形势下深入推进美丽江苏建设，是省委十三届八次全会作出的一项重大决策，既是省委、省政府全面贯彻习近平总书记对江苏工作重要讲话指示精神的实际行动，也体现了江苏在美丽中国建设中作出积极贡献的责任担当。“十四五”时期，长江大保护深入推进、大运河文化带建设加快推进、绿色低碳循环发展全面推进，常州进入以创新转型加速攻坚、城乡区域深度融合、民生保障品质提升、改革开放持续深化、美丽常州加快建设为主要特征的新发展阶段。市委十二届十次全会强调，要打造美丽江苏常州样板，推动高质量发展走在前列。市委十二届十一次全会建议，将“美丽常州建设展现新面貌”列为全市“十四五“时期发展目标之一，为推进美丽常州建设指明方向。</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美丽常州建设正处于重要战略机遇期，但同时也要清醒地看到：发展不平衡不充分问题仍然突出，绿色发展体系还不完善、绿色发展机制还不健全；生态环境质量改善基础不牢，天蓝、地绿、水清的宜居环境距市民期待仍有差距；城市能级还有待提升，区域发展不够平衡、城乡融合发展进程不快等问题依然存在。随着经济社会发展进入新阶段，人民群众对美好生活、幸福家园的新期待、新要求更加强烈，协同推进经济发展与生态环境保护的需求更加紧迫。深入推进美丽常州建设，是切实解决这些短板和问题、推动常州率先实现社会主义现代化的必要途径。</w:t>
      </w:r>
    </w:p>
    <w:p>
      <w:pPr>
        <w:pStyle w:val="3"/>
        <w:keepNext w:val="0"/>
        <w:keepLines w:val="0"/>
        <w:overflowPunct w:val="0"/>
        <w:autoSpaceDE w:val="0"/>
        <w:autoSpaceDN w:val="0"/>
        <w:adjustRightInd w:val="0"/>
        <w:snapToGrid w:val="0"/>
        <w:spacing w:before="240" w:after="240" w:line="570" w:lineRule="exact"/>
        <w:jc w:val="center"/>
        <w:rPr>
          <w:rFonts w:ascii="Times New Roman" w:hAnsi="Times New Roman" w:eastAsia="方正黑体_GBK"/>
          <w:b w:val="0"/>
        </w:rPr>
      </w:pPr>
      <w:bookmarkStart w:id="21" w:name="_Toc81592675"/>
      <w:r>
        <w:rPr>
          <w:rFonts w:ascii="Times New Roman" w:hAnsi="Times New Roman" w:eastAsia="方正黑体_GBK"/>
          <w:b w:val="0"/>
        </w:rPr>
        <w:t>第三节  现实基础</w:t>
      </w:r>
      <w:bookmarkEnd w:id="2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近年来，常州市深入贯彻落实中央、省委生态文明建设各项部署，紧紧围绕推动“强富美高”新江苏建设，把生态文明建设放在突出地位，统筹推进“产业兴旺”和“生态宜居”协同发展，注重挖掘历史文化资源，推动基础设施提档升级，充分放大山水之美、生态之美、人文之美的优势，“宜居之城”和“常乐之州”城市标识不断彰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Style w:val="6"/>
          <w:rFonts w:eastAsia="方正仿宋_GBK"/>
          <w:szCs w:val="32"/>
        </w:rPr>
        <w:t>自然资源优势得天独厚。</w:t>
      </w:r>
      <w:r>
        <w:rPr>
          <w:rFonts w:ascii="Times New Roman" w:hAnsi="Times New Roman" w:eastAsia="方正仿宋_GBK"/>
          <w:sz w:val="32"/>
          <w:szCs w:val="32"/>
        </w:rPr>
        <w:t>常州位于苏南腹心，北临长江，南接太湖，自古是“三吴襟带之邦，百越舟船之会”的交通枢纽。平原广袤兼有山丘平圩，京杭大运河穿城而过，滆湖、长荡湖、天目湖镶嵌其间，形成蓝绿交织的山水格局。远山近水的自然禀赋，塑造了全市婉转灵动的江南水乡特色，先后摘取“国家生态市”“国家森林城市”“全国绿化模范城市”等桂冠。溧阳创成国家全域旅游示范区，天目湖旅游度假区创成国家级旅游度假区，南山竹海被誉为长三角地区“最美净土”。金坛创成省级全域旅游示范区，茅山、长荡湖旅游度假区创成省级旅游度假区，茅山入选国家林业局公布的“中国森林氧吧”名录，属于全省首创。武进太湖湾旅游度假区晋升国家级。亲水融绿的独特城市风貌为美丽常州建设提供了优越的自然条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Style w:val="6"/>
          <w:rFonts w:eastAsia="方正仿宋_GBK"/>
          <w:szCs w:val="32"/>
        </w:rPr>
        <w:t>历史文化底蕴源远流长。</w:t>
      </w:r>
      <w:r>
        <w:rPr>
          <w:rFonts w:ascii="Times New Roman" w:hAnsi="Times New Roman" w:eastAsia="方正仿宋_GBK"/>
          <w:sz w:val="32"/>
          <w:szCs w:val="32"/>
        </w:rPr>
        <w:t>常州是吴文化、齐梁文化的重要发源地，历史人文荟萃，从吴公子季札，到“常州三杰”瞿秋白、张太雷、恽代英，再到数学家华罗庚，素有“千载读书地”“文人甲天下”的美誉。境内名胜古迹众多，中国大运河常州城区段为世界文化遗产。拥有全国重点文物保护单位12处，历史文化街区4片，中国历史文化名镇1座，中国历史文化名村3座。厚重鼎盛的文化传承为美丽常州建设提供了强大的精神支柱。</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Style w:val="6"/>
          <w:rFonts w:eastAsia="方正仿宋_GBK"/>
          <w:szCs w:val="32"/>
        </w:rPr>
        <w:t>经济社会发展成效显著。</w:t>
      </w:r>
      <w:r>
        <w:rPr>
          <w:rFonts w:ascii="Times New Roman" w:hAnsi="Times New Roman" w:eastAsia="方正仿宋_GBK"/>
          <w:sz w:val="32"/>
          <w:szCs w:val="32"/>
        </w:rPr>
        <w:t>五年间，全市地区生产总值跨过两个千亿元台阶，2020年地区生产总值达7805.3亿元，年均增长7%左右，综合实力位居全国26位；人均地区生产总值超过2.4万美元，位居全国前10位；一般公共预算收入达616.6亿元，是“十二五”期末的1.3倍，位居全国前30位。常州名列国家创新型城市第16位、全国先进制造业城市第17位、中国城市综合经济竞争力第18位。智能制造装备、新材料、新一代信息技术等产业保持较好发展态势，战略性新兴产业十大产业链占比达到45%左右，智能制造装备产业入选首批国家战略性新兴产业集群，新型碳材料产业入围全国先进制造业集群，老工业基地调整改造连续两年获国务院督查激励表彰，中国工业大奖、工业强基工程项目、制造业单项冠军数量均列全国地级市第一。经济实力、居民收入以及城市综合竞争力的提高，为美丽常州建设提供了可靠经济支撑。</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Style w:val="6"/>
          <w:rFonts w:eastAsia="方正仿宋_GBK"/>
          <w:szCs w:val="32"/>
        </w:rPr>
        <w:t>生态环境质量改善显著。</w:t>
      </w:r>
      <w:r>
        <w:rPr>
          <w:rFonts w:ascii="Times New Roman" w:hAnsi="Times New Roman" w:eastAsia="方正仿宋_GBK"/>
          <w:sz w:val="32"/>
          <w:szCs w:val="32"/>
        </w:rPr>
        <w:t>坚持“绿水青山就是金山银山”理念，跻身国家低碳试点城市、国家建筑垃圾资源化利用试点城市、国家餐厨废弃物资源化利用试点城市。国土绿化行动取得明显成效，“十三五”期间，全市完成成片造林8.6万亩，现有有林地面积达104余万亩，林木覆盖率达26.62%。大力开展湿地保护，全市湿地保有量7.44万公顷，自然湿地保护率达57.7%。大力推进长江大保护，沿江一公里范围内低质低效化工企业全部签约关停，“重化围江”难题得到有效破解，沿江生态环境发生转折性变化。环境污染综合治理成效显著，市区PM</w:t>
      </w:r>
      <w:r>
        <w:rPr>
          <w:rFonts w:ascii="Times New Roman" w:hAnsi="Times New Roman" w:eastAsia="方正仿宋_GBK"/>
          <w:sz w:val="32"/>
          <w:szCs w:val="32"/>
          <w:vertAlign w:val="subscript"/>
        </w:rPr>
        <w:t>2.5</w:t>
      </w:r>
      <w:r>
        <w:rPr>
          <w:rFonts w:ascii="Times New Roman" w:hAnsi="Times New Roman" w:eastAsia="方正仿宋_GBK"/>
          <w:sz w:val="32"/>
          <w:szCs w:val="32"/>
        </w:rPr>
        <w:t>浓度比2015年下降29.8%，国省考断面水质优Ⅲ比例提高42个百分点。绿色制造体系加快构建，新增国家级绿色工厂23家、绿色园区2家、绿色供应链管理示范企业2家，省级绿色工厂9家，单位GDP能耗下降20.3%左右。新北区成为全市首家国家级绿色园区和国家级资源循环利用基地，滨江经济开发区列入园区污染第三方治理国家试点，金坛创成省级生态文明建设示范区，溧阳创成全国“绿水青山就是金山银山”实践创新基地。全市用实际行动践行绿色发展理念，优良的生态环境为美丽常州建设奠定了绿色底色。</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Style w:val="6"/>
          <w:rFonts w:eastAsia="方正仿宋_GBK"/>
          <w:szCs w:val="32"/>
        </w:rPr>
        <w:t>城乡建设事业量质并举。</w:t>
      </w:r>
      <w:r>
        <w:rPr>
          <w:rFonts w:ascii="Times New Roman" w:hAnsi="Times New Roman" w:eastAsia="方正仿宋_GBK"/>
          <w:sz w:val="32"/>
          <w:szCs w:val="32"/>
        </w:rPr>
        <w:t>城乡发展更加全面均衡，城乡居民人均可支配收入年均增长8%左右，收入比缩小到1.87，是全国收入差距较小的地区之一，位列2020中国地级市全面小康指数第11位，荣获中国人居环境综合奖。大力推进高铁新城规划建设，整体推进7.4平方公里的老城厢复兴发展，高质量推进16个老旧小区改造和14条道路提升工程。交通基础设施建设不断完善，常宜高速、溧高高速建成通车，轨道交通1号线建成通车，轨道交通2号线全线“轨通”“电通”。在全省率先推进全域美丽乡村建设，农村人居环境整治三年行动顺利完成，建成14个美丽乡村示范点，获评省级特色田园乡村25个，创成全省首批“四好农村路”示范市，溧阳“1号公路”获评“全国美丽乡村路”，国家现代农业示范区建设水平位居全省前列。美丽城乡建设的高质量发展为美丽常州建设提供了良好的载体基础。</w:t>
      </w:r>
    </w:p>
    <w:p>
      <w:pPr>
        <w:overflowPunct w:val="0"/>
        <w:autoSpaceDE w:val="0"/>
        <w:autoSpaceDN w:val="0"/>
        <w:adjustRightInd w:val="0"/>
        <w:snapToGrid w:val="0"/>
        <w:spacing w:line="570" w:lineRule="exact"/>
        <w:ind w:firstLine="641"/>
      </w:pPr>
      <w:r>
        <w:rPr>
          <w:rStyle w:val="6"/>
          <w:rFonts w:eastAsia="方正仿宋_GBK"/>
          <w:szCs w:val="32"/>
        </w:rPr>
        <w:t>社会文明程度稳步提高。</w:t>
      </w:r>
      <w:r>
        <w:rPr>
          <w:rFonts w:ascii="Times New Roman" w:hAnsi="Times New Roman" w:eastAsia="方正仿宋_GBK"/>
          <w:sz w:val="32"/>
          <w:szCs w:val="32"/>
        </w:rPr>
        <w:t>深入推进社会公德、职业道德、家庭美德、个人品德建设，大力弘扬“勇争一流，耻为二手”的常州精神，建成全域文明城市，社会文明程度测评指数全省第一，全国文明城市“四连冠”。基层综合性文化服务中心实现全覆盖，“道德讲堂”创成全国精神文明建设品牌。优质医疗服务供给持续增加，为全国健康城市建设示范市。加快优质教育均等化，教育现代化水平连续七年位居全省第一方阵。居民综合阅读率超过95%，创成省“书香城市”建设示范市。大运河文化带建设取得阶段性成果，“常走大运”形成全国品牌。创新社会治理深入推进，法治、平安与社会信用建设全国领先，成为全省唯一蝉联全国综治领域最高奖“长安杯”的设区市。统筹推进“三中心合一”，网格化社会治理“常州标准”加快形成。较高的社会文明程度为美丽常州建设筑牢了基本保障。</w:t>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bookmarkStart w:id="22" w:name="_Toc81592676"/>
      <w:r>
        <w:rPr>
          <w:rFonts w:ascii="方正小标宋_GBK" w:hAnsi="Times New Roman" w:eastAsia="方正小标宋_GBK"/>
          <w:sz w:val="44"/>
          <w:szCs w:val="44"/>
        </w:rP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第二章  深化强富美高新实践，打造美丽</w:t>
      </w:r>
    </w:p>
    <w:p>
      <w:pPr>
        <w:overflowPunct w:val="0"/>
        <w:autoSpaceDE w:val="0"/>
        <w:autoSpaceDN w:val="0"/>
        <w:adjustRightInd w:val="0"/>
        <w:snapToGrid w:val="0"/>
        <w:spacing w:before="12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江苏常州样板</w:t>
      </w:r>
      <w:bookmarkEnd w:id="22"/>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after="240" w:line="570" w:lineRule="exact"/>
        <w:jc w:val="center"/>
        <w:rPr>
          <w:rFonts w:ascii="Times New Roman" w:hAnsi="Times New Roman" w:eastAsia="方正黑体_GBK"/>
          <w:sz w:val="32"/>
          <w:szCs w:val="32"/>
        </w:rPr>
      </w:pPr>
      <w:bookmarkStart w:id="23" w:name="_Toc81592677"/>
      <w:r>
        <w:rPr>
          <w:rFonts w:ascii="Times New Roman" w:hAnsi="Times New Roman" w:eastAsia="方正黑体_GBK"/>
          <w:sz w:val="32"/>
          <w:szCs w:val="32"/>
        </w:rPr>
        <w:t>第一节  指导思想</w:t>
      </w:r>
      <w:bookmarkEnd w:id="23"/>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以习近平新时代中国特色社会主义思想为指导，积极践行“绿水青山就是金山银山”理论，统筹推进“五位一体”总体布局，协调推进“四个全面”战略布局，落实“人民城市人民建、人民城市为人民”理念，坚定走生产发展、生活富裕、生态良好的文明发展道路，以优化空间布局为基础，以改善生态环境为重点，以绿色可持续发展为支撑，以“532”发展战略加快实施为抓手，</w:t>
      </w:r>
      <w:bookmarkStart w:id="24" w:name="_Hlk82531811"/>
      <w:r>
        <w:rPr>
          <w:rFonts w:ascii="Times New Roman" w:hAnsi="Times New Roman" w:eastAsia="方正仿宋_GBK"/>
          <w:sz w:val="32"/>
          <w:szCs w:val="32"/>
        </w:rPr>
        <w:t>紧扣“枕江临湖的锦绣龙城，宜居幸福的常乐之州”定位</w:t>
      </w:r>
      <w:bookmarkEnd w:id="24"/>
      <w:r>
        <w:rPr>
          <w:rFonts w:ascii="Times New Roman" w:hAnsi="Times New Roman" w:eastAsia="方正仿宋_GBK"/>
          <w:sz w:val="32"/>
          <w:szCs w:val="32"/>
        </w:rPr>
        <w:t>，</w:t>
      </w:r>
      <w:bookmarkStart w:id="25" w:name="_Hlk82532203"/>
      <w:r>
        <w:rPr>
          <w:rFonts w:ascii="Times New Roman" w:hAnsi="Times New Roman" w:eastAsia="方正仿宋_GBK"/>
          <w:sz w:val="32"/>
          <w:szCs w:val="32"/>
        </w:rPr>
        <w:t>充分展现空间格局之美、自然生态之美、绿色发展之美、城乡协调之美、人文特色之美、文明和谐之美，</w:t>
      </w:r>
      <w:bookmarkEnd w:id="25"/>
      <w:r>
        <w:rPr>
          <w:rFonts w:ascii="Times New Roman" w:hAnsi="Times New Roman" w:eastAsia="方正仿宋_GBK"/>
          <w:sz w:val="32"/>
          <w:szCs w:val="32"/>
        </w:rPr>
        <w:t>加快实现生态环境宜居、产业绿色低碳、城乡品质跃升、人文魅力彰显、社会文明进步，着力打造“国际化智造名城、长三角中轴枢纽”，</w:t>
      </w:r>
      <w:bookmarkStart w:id="26" w:name="_Hlk82532181"/>
      <w:r>
        <w:rPr>
          <w:rFonts w:ascii="Times New Roman" w:hAnsi="Times New Roman" w:eastAsia="方正仿宋_GBK"/>
          <w:sz w:val="32"/>
          <w:szCs w:val="32"/>
        </w:rPr>
        <w:t>开启全面建设社会主义现代化新征程，全力建设美丽江苏常州样板</w:t>
      </w:r>
      <w:bookmarkEnd w:id="26"/>
      <w:r>
        <w:rPr>
          <w:rFonts w:ascii="Times New Roman" w:hAnsi="Times New Roman" w:eastAsia="方正仿宋_GBK"/>
          <w:sz w:val="32"/>
          <w:szCs w:val="32"/>
        </w:rPr>
        <w:t>，让美丽常州成为常州基本实现社会主义现代化的鲜明底色。</w:t>
      </w:r>
    </w:p>
    <w:p>
      <w:pPr>
        <w:pStyle w:val="3"/>
        <w:keepNext w:val="0"/>
        <w:keepLines w:val="0"/>
        <w:overflowPunct w:val="0"/>
        <w:autoSpaceDE w:val="0"/>
        <w:autoSpaceDN w:val="0"/>
        <w:adjustRightInd w:val="0"/>
        <w:snapToGrid w:val="0"/>
        <w:spacing w:before="240" w:after="240" w:line="530" w:lineRule="exact"/>
        <w:jc w:val="center"/>
        <w:rPr>
          <w:rFonts w:ascii="Times New Roman" w:hAnsi="Times New Roman" w:eastAsia="方正黑体_GBK"/>
          <w:b w:val="0"/>
        </w:rPr>
      </w:pPr>
      <w:bookmarkStart w:id="27" w:name="_Toc81592678"/>
      <w:r>
        <w:rPr>
          <w:rFonts w:ascii="Times New Roman" w:hAnsi="Times New Roman" w:eastAsia="方正黑体_GBK"/>
          <w:b w:val="0"/>
        </w:rPr>
        <w:t>第二节  基本原则</w:t>
      </w:r>
      <w:bookmarkEnd w:id="27"/>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生态优先、绿色发展。深入实施可持续发展战略，巩固蓝天、碧水、净土保卫战成果，统筹推进经济生态化与生态经济化，加快形成绿色发展方式和生活方式，塑造生产空间集约高效、生活空间宜居适度、生态空间山清水秀的美丽常州。</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以人为本、可观可感。坚持把人民对美好生活的向往作为奋斗目标，积极回应群众关切，着力优化人居环境，促进社会安定有序，人民安居乐业，既塑造可观的“外在美”，又提升可感的“内在美”，切实增强人民群众的获得感和满意度。</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系统谋划、彰显特色。强化规划引领作用，做好美丽常州建设规划与经济社会发展规划和国土空间规划衔接，切实维护自然山水和人居风貌，充分彰显常州温润秀丽的山水风貌、悠久深厚的人文风采和宜居宜游宜乐的独特风韵。</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整体推进、重点突破。坚持把生态文明建设融入经济建设、政治建设、文化建设、社会建设各方面和全过程，聚焦重要领域和关键环节，协同推进经济绿色转型发展、人民生活品质提升、生态环境保护修复。</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全民参与、共建共享。建立健全政府、社会和公众协同推进机制，增强价值认同，凝聚整体合力，动员全社会力量推进生态文明建设，把建设美丽常州化为自觉行动，让生态文明理念内化于心、外化于行。</w:t>
      </w:r>
    </w:p>
    <w:p>
      <w:pPr>
        <w:pStyle w:val="3"/>
        <w:keepNext w:val="0"/>
        <w:keepLines w:val="0"/>
        <w:overflowPunct w:val="0"/>
        <w:autoSpaceDE w:val="0"/>
        <w:autoSpaceDN w:val="0"/>
        <w:adjustRightInd w:val="0"/>
        <w:snapToGrid w:val="0"/>
        <w:spacing w:before="240" w:after="240" w:line="530" w:lineRule="exact"/>
        <w:jc w:val="center"/>
        <w:rPr>
          <w:rFonts w:ascii="Times New Roman" w:hAnsi="Times New Roman" w:eastAsia="方正黑体_GBK"/>
          <w:b w:val="0"/>
        </w:rPr>
      </w:pPr>
      <w:bookmarkStart w:id="28" w:name="_Toc81592679"/>
      <w:r>
        <w:rPr>
          <w:rFonts w:ascii="Times New Roman" w:hAnsi="Times New Roman" w:eastAsia="方正黑体_GBK"/>
          <w:b w:val="0"/>
        </w:rPr>
        <w:t>第三节  2035年远景目标</w:t>
      </w:r>
      <w:bookmarkEnd w:id="28"/>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展望2035年，我市将率先基本实现现代化，高水平建成各显其美、生态宜居、绿色创新、城乡融合、文化深厚、文明和谐的美丽江苏常州样板，展现“强富美高”新常州的现代化图景。美丽空间格局全面构建，“一主一区、一极三轴”的市域空间格局深入构建，“</w:t>
      </w:r>
      <w:bookmarkStart w:id="29" w:name="_Hlk82536525"/>
      <w:r>
        <w:rPr>
          <w:rFonts w:ascii="Times New Roman" w:hAnsi="Times New Roman" w:eastAsia="方正仿宋_GBK"/>
          <w:sz w:val="32"/>
          <w:szCs w:val="32"/>
        </w:rPr>
        <w:t>各显其美</w:t>
      </w:r>
      <w:bookmarkEnd w:id="29"/>
      <w:r>
        <w:rPr>
          <w:rFonts w:ascii="Times New Roman" w:hAnsi="Times New Roman" w:eastAsia="方正仿宋_GBK"/>
          <w:sz w:val="32"/>
          <w:szCs w:val="32"/>
        </w:rPr>
        <w:t>、美美与共”的区域特色魅力进一步彰显，率先融入区域协调发展大局。生态环境质量全面改善，实现生态环境根本好转，自然环境质量与基本实现社会主义现代化相适应，人与自然和谐共生。绿色发展活力全面增强，人均生产总值达到发达经济体水平，绿色低碳产业体系全面形成，绿色生产生活方式广泛形成，绿色发展国内领先，碳排放达峰后稳中有降。城乡人居环境全面强化，高水平建成国家城乡融合发展示范区，共同富裕率先取得实质性重大进展，城乡区域发展和居民生活水平均衡度持续领先，率先实现交通运输现代化和长三角交通中轴。优秀历史文化全面弘扬，社会主义文化事业、产业更加繁荣，全市文化软实力全面增强，建成体育强市。社会文明程度全面提高，建成统筹发展和安全示范区，基本实现市域治理现代化，建成法治政府、法治社会，人民平等参与、平等发展权利得到充分保障，市民素质和社会文明程度达到新高度。</w:t>
      </w:r>
    </w:p>
    <w:p>
      <w:pPr>
        <w:pStyle w:val="3"/>
        <w:keepNext w:val="0"/>
        <w:keepLines w:val="0"/>
        <w:overflowPunct w:val="0"/>
        <w:autoSpaceDE w:val="0"/>
        <w:autoSpaceDN w:val="0"/>
        <w:adjustRightInd w:val="0"/>
        <w:snapToGrid w:val="0"/>
        <w:spacing w:before="240" w:after="240" w:line="530" w:lineRule="exact"/>
        <w:jc w:val="center"/>
        <w:rPr>
          <w:rFonts w:ascii="Times New Roman" w:hAnsi="Times New Roman" w:eastAsia="方正黑体_GBK"/>
          <w:b w:val="0"/>
        </w:rPr>
      </w:pPr>
      <w:bookmarkStart w:id="30" w:name="_Toc81592680"/>
      <w:r>
        <w:rPr>
          <w:rFonts w:ascii="Times New Roman" w:hAnsi="Times New Roman" w:eastAsia="方正黑体_GBK"/>
          <w:b w:val="0"/>
        </w:rPr>
        <w:t xml:space="preserve">第四节 </w:t>
      </w:r>
      <w:r>
        <w:rPr>
          <w:rFonts w:hint="eastAsia" w:ascii="Times New Roman" w:hAnsi="Times New Roman" w:eastAsia="方正黑体_GBK"/>
          <w:b w:val="0"/>
        </w:rPr>
        <w:t xml:space="preserve"> </w:t>
      </w:r>
      <w:r>
        <w:rPr>
          <w:rFonts w:ascii="Times New Roman" w:hAnsi="Times New Roman" w:eastAsia="方正黑体_GBK"/>
          <w:b w:val="0"/>
        </w:rPr>
        <w:t>“十四五”发展目标</w:t>
      </w:r>
      <w:bookmarkEnd w:id="30"/>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到2025年，美丽常州建设的空间布局、发展路径、政策机制基本形成，生态环境质量明显改善，绿色经济发展活力增强，城乡人居品质显著提升，历史文化有效传承弘扬，文明和谐程度进一步提高，建成美丽江苏建设的示范样板。</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黑体" w:hAnsi="黑体" w:eastAsia="黑体"/>
          <w:sz w:val="32"/>
          <w:szCs w:val="32"/>
        </w:rPr>
        <w:t>——</w:t>
      </w:r>
      <w:r>
        <w:rPr>
          <w:rFonts w:ascii="Times New Roman" w:hAnsi="Times New Roman" w:eastAsia="方正楷体_GBK"/>
          <w:sz w:val="32"/>
          <w:szCs w:val="32"/>
        </w:rPr>
        <w:t>生态环境质量明显改善。</w:t>
      </w:r>
      <w:r>
        <w:rPr>
          <w:rFonts w:ascii="Times New Roman" w:hAnsi="Times New Roman" w:eastAsia="方正仿宋_GBK"/>
          <w:sz w:val="32"/>
          <w:szCs w:val="32"/>
        </w:rPr>
        <w:t>建设长三角生态中轴，山水林田湖草生态系统健康得到有效保障、服务功能稳定恢复，环境风险得到有效管控，生态环境治理体系和治理能力现代化建设迈上新台阶，实现天更蓝、地更绿、水更清、城市更美丽。到2025年，全市森林覆盖率达到26.7%，自然湿地保护率达60%，空气质量优良天数比率达到82%以上，地表水国考断面Ⅲ类比例提高到80%。</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黑体" w:hAnsi="黑体" w:eastAsia="黑体"/>
          <w:sz w:val="32"/>
          <w:szCs w:val="32"/>
        </w:rPr>
        <w:t>——</w:t>
      </w:r>
      <w:r>
        <w:rPr>
          <w:rFonts w:ascii="Times New Roman" w:hAnsi="Times New Roman" w:eastAsia="方正楷体_GBK"/>
          <w:sz w:val="32"/>
          <w:szCs w:val="32"/>
        </w:rPr>
        <w:t>绿色发展活力持续增强。</w:t>
      </w:r>
      <w:r>
        <w:rPr>
          <w:rFonts w:ascii="Times New Roman" w:hAnsi="Times New Roman" w:eastAsia="方正仿宋_GBK"/>
          <w:sz w:val="32"/>
          <w:szCs w:val="32"/>
        </w:rPr>
        <w:t>碳达峰碳中和迈出坚实步伐，建设长三角创新中轴、产业中轴，绿色创新能力显著提高，绿色地标产业加快形成，生态产品价值实现机制基本建立，形成低消耗、少排放、能循环、可持续的绿色低碳发展方式。到2025年，能源消耗总量和强度完成国省下达目标，绿色优质农产品比重达到75%以上。</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hint="eastAsia" w:ascii="黑体" w:hAnsi="黑体" w:eastAsia="黑体"/>
          <w:sz w:val="32"/>
          <w:szCs w:val="32"/>
        </w:rPr>
        <w:t>——</w:t>
      </w:r>
      <w:r>
        <w:rPr>
          <w:rFonts w:ascii="Times New Roman" w:hAnsi="Times New Roman" w:eastAsia="方正楷体_GBK"/>
          <w:sz w:val="32"/>
          <w:szCs w:val="32"/>
        </w:rPr>
        <w:t>城乡人居品质显著提升。</w:t>
      </w:r>
      <w:r>
        <w:rPr>
          <w:rFonts w:ascii="Times New Roman" w:hAnsi="Times New Roman" w:eastAsia="方正仿宋_GBK"/>
          <w:sz w:val="32"/>
          <w:szCs w:val="32"/>
        </w:rPr>
        <w:t>精致靓丽的城乡风貌基本形成，优质共享的居住条件总体实现，美丽宜居城市建设理念深入人心，建成更多可观可感的美丽宜居住区、街区、小城镇，不断满足人民群众对美好生活的向往。到2025年，全市垃圾分类集中处理率达到95%以上，城市建成区绿化覆盖率提高到42%以上，人均公园绿地面积保持在14平方米以上，城镇常住人口保障性住房覆盖率达到34%。</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hint="eastAsia" w:ascii="黑体" w:hAnsi="黑体" w:eastAsia="黑体"/>
          <w:sz w:val="32"/>
          <w:szCs w:val="32"/>
        </w:rPr>
        <w:t>——</w:t>
      </w:r>
      <w:r>
        <w:rPr>
          <w:rFonts w:ascii="Times New Roman" w:hAnsi="Times New Roman" w:eastAsia="方正楷体_GBK"/>
          <w:sz w:val="32"/>
          <w:szCs w:val="32"/>
        </w:rPr>
        <w:t>龙城人文魅力更加彰显。</w:t>
      </w:r>
      <w:r>
        <w:rPr>
          <w:rFonts w:ascii="Times New Roman" w:hAnsi="Times New Roman" w:eastAsia="方正仿宋_GBK"/>
          <w:sz w:val="32"/>
          <w:szCs w:val="32"/>
        </w:rPr>
        <w:t>文化软实力全面增强，公共文化服务体系更加健全，文艺精品不断涌现，形成更具影响力的“开吴之地·名士之都”“江南门户·运河名城”“三杰故里·红色名城”“百年工商·智造名城”等文化品牌和城市品牌，全力打造成为长三角文旅中轴和全国一流旅游目的地城市。到2025年，全市文化产业增加值占地区生产总值比重提高到6%以上，旅游业总收入实现持续增长。</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hint="eastAsia" w:ascii="黑体" w:hAnsi="黑体" w:eastAsia="黑体"/>
          <w:sz w:val="32"/>
          <w:szCs w:val="32"/>
        </w:rPr>
        <w:t>——</w:t>
      </w:r>
      <w:r>
        <w:rPr>
          <w:rFonts w:ascii="Times New Roman" w:hAnsi="Times New Roman" w:eastAsia="方正楷体_GBK"/>
          <w:sz w:val="32"/>
          <w:szCs w:val="32"/>
        </w:rPr>
        <w:t>文明和谐程度得到提高。</w:t>
      </w:r>
      <w:r>
        <w:rPr>
          <w:rFonts w:ascii="Times New Roman" w:hAnsi="Times New Roman" w:eastAsia="方正仿宋_GBK"/>
          <w:sz w:val="32"/>
          <w:szCs w:val="32"/>
        </w:rPr>
        <w:t>建立健全优质均衡的公共服务体系和多层次广覆盖的社会保障体系，实现全市幼有善育、学有优教、劳有厚得、病有良医、老有颐养、住有宜居、弱有众扶。社会文明测评指数全国领先，争创全国文明典范城市。到2025年，城镇调查失业率达5%以下，全市社会文明程度测评指数达到90%以上，所有县（市）创成全国文明城市。</w:t>
      </w:r>
    </w:p>
    <w:p>
      <w:pPr>
        <w:overflowPunct w:val="0"/>
        <w:autoSpaceDE w:val="0"/>
        <w:autoSpaceDN w:val="0"/>
        <w:adjustRightInd w:val="0"/>
        <w:snapToGrid w:val="0"/>
        <w:spacing w:line="500" w:lineRule="exact"/>
        <w:jc w:val="center"/>
        <w:rPr>
          <w:rFonts w:ascii="Times New Roman" w:hAnsi="Times New Roman" w:eastAsia="方正黑体_GBK"/>
          <w:bCs/>
          <w:kern w:val="0"/>
          <w:sz w:val="28"/>
          <w:szCs w:val="36"/>
        </w:rPr>
      </w:pPr>
      <w:r>
        <w:rPr>
          <w:rFonts w:ascii="Times New Roman" w:hAnsi="Times New Roman" w:eastAsia="方正黑体_GBK"/>
          <w:kern w:val="0"/>
          <w:sz w:val="28"/>
          <w:szCs w:val="36"/>
        </w:rPr>
        <w:t>表1  美丽常州建设主要指标体系</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650"/>
        <w:gridCol w:w="543"/>
        <w:gridCol w:w="3865"/>
        <w:gridCol w:w="798"/>
        <w:gridCol w:w="936"/>
        <w:gridCol w:w="798"/>
        <w:gridCol w:w="14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tblHeader/>
          <w:jc w:val="center"/>
        </w:trPr>
        <w:tc>
          <w:tcPr>
            <w:tcW w:w="358" w:type="pct"/>
            <w:shd w:val="clear" w:color="auto" w:fill="auto"/>
            <w:noWrap w:val="0"/>
            <w:vAlign w:val="center"/>
          </w:tcPr>
          <w:p>
            <w:pPr>
              <w:widowControl/>
              <w:spacing w:line="280" w:lineRule="exact"/>
              <w:jc w:val="center"/>
              <w:rPr>
                <w:rFonts w:ascii="Times New Roman" w:hAnsi="Times New Roman" w:eastAsia="方正黑体_GBK"/>
                <w:kern w:val="0"/>
                <w:szCs w:val="21"/>
              </w:rPr>
            </w:pPr>
            <w:r>
              <w:rPr>
                <w:rFonts w:ascii="Times New Roman" w:hAnsi="Times New Roman" w:eastAsia="方正黑体_GBK"/>
                <w:kern w:val="0"/>
                <w:szCs w:val="21"/>
              </w:rPr>
              <w:t>分类</w:t>
            </w:r>
          </w:p>
        </w:tc>
        <w:tc>
          <w:tcPr>
            <w:tcW w:w="299" w:type="pct"/>
            <w:shd w:val="clear" w:color="auto" w:fill="auto"/>
            <w:noWrap w:val="0"/>
            <w:vAlign w:val="center"/>
          </w:tcPr>
          <w:p>
            <w:pPr>
              <w:widowControl/>
              <w:spacing w:line="280" w:lineRule="exact"/>
              <w:jc w:val="center"/>
              <w:rPr>
                <w:rFonts w:ascii="Times New Roman" w:hAnsi="Times New Roman" w:eastAsia="方正黑体_GBK"/>
                <w:kern w:val="0"/>
                <w:szCs w:val="21"/>
              </w:rPr>
            </w:pPr>
            <w:r>
              <w:rPr>
                <w:rFonts w:ascii="Times New Roman" w:hAnsi="Times New Roman" w:eastAsia="方正黑体_GBK"/>
                <w:kern w:val="0"/>
                <w:szCs w:val="21"/>
              </w:rPr>
              <w:t>序号</w:t>
            </w:r>
          </w:p>
        </w:tc>
        <w:tc>
          <w:tcPr>
            <w:tcW w:w="2130" w:type="pct"/>
            <w:shd w:val="clear" w:color="auto" w:fill="auto"/>
            <w:noWrap w:val="0"/>
            <w:vAlign w:val="center"/>
          </w:tcPr>
          <w:p>
            <w:pPr>
              <w:widowControl/>
              <w:spacing w:line="280" w:lineRule="exact"/>
              <w:jc w:val="center"/>
              <w:rPr>
                <w:rFonts w:ascii="Times New Roman" w:hAnsi="Times New Roman" w:eastAsia="方正黑体_GBK"/>
                <w:kern w:val="0"/>
                <w:szCs w:val="21"/>
              </w:rPr>
            </w:pPr>
            <w:r>
              <w:rPr>
                <w:rFonts w:ascii="Times New Roman" w:hAnsi="Times New Roman" w:eastAsia="方正黑体_GBK"/>
                <w:kern w:val="0"/>
                <w:szCs w:val="21"/>
              </w:rPr>
              <w:t>指标</w:t>
            </w:r>
          </w:p>
        </w:tc>
        <w:tc>
          <w:tcPr>
            <w:tcW w:w="440" w:type="pct"/>
            <w:shd w:val="clear" w:color="auto" w:fill="auto"/>
            <w:noWrap w:val="0"/>
            <w:vAlign w:val="center"/>
          </w:tcPr>
          <w:p>
            <w:pPr>
              <w:widowControl/>
              <w:spacing w:line="280" w:lineRule="exact"/>
              <w:jc w:val="center"/>
              <w:rPr>
                <w:rFonts w:ascii="Times New Roman" w:hAnsi="Times New Roman" w:eastAsia="方正黑体_GBK"/>
                <w:kern w:val="0"/>
                <w:szCs w:val="21"/>
              </w:rPr>
            </w:pPr>
            <w:r>
              <w:rPr>
                <w:rFonts w:ascii="Times New Roman" w:hAnsi="Times New Roman" w:eastAsia="方正黑体_GBK"/>
                <w:kern w:val="0"/>
                <w:szCs w:val="21"/>
              </w:rPr>
              <w:t>单位</w:t>
            </w:r>
          </w:p>
        </w:tc>
        <w:tc>
          <w:tcPr>
            <w:tcW w:w="516" w:type="pct"/>
            <w:shd w:val="clear" w:color="auto" w:fill="auto"/>
            <w:noWrap w:val="0"/>
            <w:vAlign w:val="center"/>
          </w:tcPr>
          <w:p>
            <w:pPr>
              <w:widowControl/>
              <w:spacing w:line="280" w:lineRule="exact"/>
              <w:jc w:val="center"/>
              <w:rPr>
                <w:rFonts w:ascii="Times New Roman" w:hAnsi="Times New Roman" w:eastAsia="方正黑体_GBK"/>
                <w:kern w:val="0"/>
                <w:szCs w:val="21"/>
              </w:rPr>
            </w:pPr>
            <w:r>
              <w:rPr>
                <w:rFonts w:ascii="Times New Roman" w:hAnsi="Times New Roman" w:eastAsia="方正黑体_GBK"/>
                <w:kern w:val="0"/>
                <w:szCs w:val="21"/>
              </w:rPr>
              <w:t>2025年</w:t>
            </w:r>
          </w:p>
          <w:p>
            <w:pPr>
              <w:widowControl/>
              <w:spacing w:line="280" w:lineRule="exact"/>
              <w:jc w:val="center"/>
              <w:rPr>
                <w:rFonts w:ascii="Times New Roman" w:hAnsi="Times New Roman" w:eastAsia="方正黑体_GBK"/>
                <w:kern w:val="0"/>
                <w:szCs w:val="21"/>
              </w:rPr>
            </w:pPr>
            <w:r>
              <w:rPr>
                <w:rFonts w:ascii="Times New Roman" w:hAnsi="Times New Roman" w:eastAsia="方正黑体_GBK"/>
                <w:kern w:val="0"/>
                <w:szCs w:val="21"/>
              </w:rPr>
              <w:t>目标</w:t>
            </w:r>
          </w:p>
        </w:tc>
        <w:tc>
          <w:tcPr>
            <w:tcW w:w="440" w:type="pct"/>
            <w:shd w:val="clear" w:color="auto" w:fill="auto"/>
            <w:noWrap w:val="0"/>
            <w:vAlign w:val="center"/>
          </w:tcPr>
          <w:p>
            <w:pPr>
              <w:widowControl/>
              <w:spacing w:line="280" w:lineRule="exact"/>
              <w:jc w:val="center"/>
              <w:rPr>
                <w:rFonts w:ascii="Times New Roman" w:hAnsi="Times New Roman" w:eastAsia="方正黑体_GBK"/>
                <w:kern w:val="0"/>
                <w:szCs w:val="21"/>
              </w:rPr>
            </w:pPr>
            <w:r>
              <w:rPr>
                <w:rFonts w:ascii="Times New Roman" w:hAnsi="Times New Roman" w:eastAsia="方正黑体_GBK"/>
                <w:kern w:val="0"/>
                <w:szCs w:val="21"/>
              </w:rPr>
              <w:t>属性</w:t>
            </w:r>
          </w:p>
        </w:tc>
        <w:tc>
          <w:tcPr>
            <w:tcW w:w="817" w:type="pct"/>
            <w:shd w:val="clear" w:color="auto" w:fill="auto"/>
            <w:noWrap w:val="0"/>
            <w:vAlign w:val="center"/>
          </w:tcPr>
          <w:p>
            <w:pPr>
              <w:widowControl/>
              <w:spacing w:line="280" w:lineRule="exact"/>
              <w:jc w:val="center"/>
              <w:rPr>
                <w:rFonts w:ascii="Times New Roman" w:hAnsi="Times New Roman" w:eastAsia="方正黑体_GBK"/>
                <w:kern w:val="0"/>
                <w:szCs w:val="21"/>
              </w:rPr>
            </w:pPr>
            <w:r>
              <w:rPr>
                <w:rFonts w:ascii="Times New Roman" w:hAnsi="Times New Roman" w:eastAsia="方正黑体_GBK"/>
                <w:kern w:val="0"/>
                <w:szCs w:val="21"/>
              </w:rPr>
              <w:t>责任部门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restar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空间</w:t>
            </w:r>
          </w:p>
          <w:p>
            <w:pPr>
              <w:widowControl/>
              <w:spacing w:line="280" w:lineRule="exact"/>
              <w:jc w:val="center"/>
              <w:rPr>
                <w:rFonts w:ascii="Times New Roman" w:hAnsi="Times New Roman"/>
                <w:bCs/>
                <w:kern w:val="0"/>
                <w:szCs w:val="21"/>
              </w:rPr>
            </w:pPr>
            <w:r>
              <w:rPr>
                <w:rFonts w:ascii="Times New Roman" w:hAnsi="宋体"/>
                <w:kern w:val="0"/>
                <w:szCs w:val="21"/>
              </w:rPr>
              <w:t>格局</w:t>
            </w: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自然保护地面积占陆域国土面积比例</w:t>
            </w:r>
            <w:r>
              <w:rPr>
                <w:rFonts w:ascii="Times New Roman" w:hAnsi="Times New Roman"/>
                <w:kern w:val="0"/>
                <w:szCs w:val="21"/>
                <w:vertAlign w:val="superscript"/>
              </w:rPr>
              <w:t>[1]</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4.3</w:t>
            </w:r>
            <w:r>
              <w:rPr>
                <w:rFonts w:ascii="Times New Roman" w:hAnsi="宋体"/>
                <w:kern w:val="0"/>
                <w:szCs w:val="21"/>
              </w:rPr>
              <w:t>以上</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市资规局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重点建设用地安全利用率</w:t>
            </w:r>
            <w:r>
              <w:rPr>
                <w:rFonts w:ascii="Times New Roman" w:hAnsi="Times New Roman"/>
                <w:kern w:val="0"/>
                <w:szCs w:val="21"/>
                <w:vertAlign w:val="superscript"/>
              </w:rPr>
              <w:t>[2]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有效保障</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市生态环境局、市资规局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自然湿地保护率</w:t>
            </w:r>
            <w:r>
              <w:rPr>
                <w:rFonts w:ascii="Times New Roman" w:hAnsi="Times New Roman"/>
                <w:kern w:val="0"/>
                <w:szCs w:val="21"/>
                <w:vertAlign w:val="superscript"/>
              </w:rPr>
              <w:t>[1][2]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60</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市资规局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生态保护红线占国土面积比重</w:t>
            </w:r>
            <w:r>
              <w:rPr>
                <w:rFonts w:ascii="Times New Roman" w:hAnsi="Times New Roman"/>
                <w:kern w:val="0"/>
                <w:szCs w:val="21"/>
                <w:vertAlign w:val="superscript"/>
              </w:rPr>
              <w:t>[3]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7.89</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市资规局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6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60" w:lineRule="exact"/>
              <w:jc w:val="left"/>
              <w:rPr>
                <w:rFonts w:ascii="Times New Roman" w:hAnsi="Times New Roman"/>
                <w:bCs/>
                <w:kern w:val="0"/>
                <w:szCs w:val="21"/>
              </w:rPr>
            </w:pPr>
            <w:r>
              <w:rPr>
                <w:rFonts w:ascii="Times New Roman" w:hAnsi="宋体"/>
                <w:kern w:val="0"/>
                <w:szCs w:val="21"/>
              </w:rPr>
              <w:t>存量用地开发比例</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与国土空间规划目标一致</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市资规局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6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60" w:lineRule="exact"/>
              <w:jc w:val="left"/>
              <w:rPr>
                <w:rFonts w:ascii="Times New Roman" w:hAnsi="Times New Roman"/>
                <w:bCs/>
                <w:kern w:val="0"/>
                <w:szCs w:val="21"/>
              </w:rPr>
            </w:pPr>
            <w:r>
              <w:rPr>
                <w:rFonts w:ascii="Times New Roman" w:hAnsi="宋体"/>
                <w:kern w:val="0"/>
                <w:szCs w:val="21"/>
              </w:rPr>
              <w:t>单位国内生产总值建设用地使用面积</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平方公里</w:t>
            </w:r>
            <w:r>
              <w:rPr>
                <w:rFonts w:ascii="Times New Roman" w:hAnsi="Times New Roman"/>
                <w:kern w:val="0"/>
                <w:szCs w:val="21"/>
              </w:rPr>
              <w:t>/</w:t>
            </w:r>
            <w:r>
              <w:rPr>
                <w:rFonts w:ascii="Times New Roman" w:hAnsi="宋体"/>
                <w:kern w:val="0"/>
                <w:szCs w:val="21"/>
              </w:rPr>
              <w:t>亿元</w:t>
            </w:r>
          </w:p>
        </w:tc>
        <w:tc>
          <w:tcPr>
            <w:tcW w:w="516"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与国土空间规划目标一致</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市资规局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restar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自然</w:t>
            </w:r>
          </w:p>
          <w:p>
            <w:pPr>
              <w:widowControl/>
              <w:spacing w:line="280" w:lineRule="exact"/>
              <w:jc w:val="center"/>
              <w:rPr>
                <w:rFonts w:ascii="Times New Roman" w:hAnsi="Times New Roman"/>
                <w:bCs/>
                <w:kern w:val="0"/>
                <w:szCs w:val="21"/>
              </w:rPr>
            </w:pPr>
            <w:r>
              <w:rPr>
                <w:rFonts w:ascii="Times New Roman" w:hAnsi="宋体"/>
                <w:kern w:val="0"/>
                <w:szCs w:val="21"/>
              </w:rPr>
              <w:t>生态</w:t>
            </w:r>
          </w:p>
        </w:tc>
        <w:tc>
          <w:tcPr>
            <w:tcW w:w="299" w:type="pct"/>
            <w:shd w:val="clear" w:color="auto" w:fill="auto"/>
            <w:noWrap w:val="0"/>
            <w:vAlign w:val="center"/>
          </w:tcPr>
          <w:p>
            <w:pPr>
              <w:pStyle w:val="8"/>
              <w:widowControl/>
              <w:numPr>
                <w:ilvl w:val="0"/>
                <w:numId w:val="1"/>
              </w:numPr>
              <w:adjustRightInd w:val="0"/>
              <w:snapToGrid w:val="0"/>
              <w:spacing w:line="26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60" w:lineRule="exact"/>
              <w:jc w:val="left"/>
              <w:rPr>
                <w:rFonts w:ascii="Times New Roman" w:hAnsi="Times New Roman"/>
                <w:bCs/>
                <w:kern w:val="0"/>
                <w:szCs w:val="21"/>
              </w:rPr>
            </w:pPr>
            <w:r>
              <w:rPr>
                <w:rFonts w:ascii="Times New Roman" w:hAnsi="宋体"/>
                <w:kern w:val="0"/>
                <w:szCs w:val="21"/>
              </w:rPr>
              <w:t>重点生物物种种数保护率</w:t>
            </w:r>
            <w:r>
              <w:rPr>
                <w:rFonts w:ascii="Times New Roman" w:hAnsi="Times New Roman"/>
                <w:kern w:val="0"/>
                <w:szCs w:val="21"/>
                <w:vertAlign w:val="superscript"/>
              </w:rPr>
              <w:t>[1]</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Times New Roman"/>
                <w:kern w:val="0"/>
                <w:szCs w:val="21"/>
              </w:rPr>
              <w:t>90</w:t>
            </w:r>
            <w:r>
              <w:rPr>
                <w:rFonts w:ascii="Times New Roman" w:hAnsi="宋体"/>
                <w:kern w:val="0"/>
                <w:szCs w:val="21"/>
              </w:rPr>
              <w:t>以上</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6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60" w:lineRule="exact"/>
              <w:jc w:val="left"/>
              <w:rPr>
                <w:rFonts w:ascii="Times New Roman" w:hAnsi="Times New Roman"/>
                <w:bCs/>
                <w:kern w:val="0"/>
                <w:szCs w:val="21"/>
              </w:rPr>
            </w:pPr>
            <w:r>
              <w:rPr>
                <w:rFonts w:ascii="Times New Roman" w:hAnsi="宋体"/>
                <w:kern w:val="0"/>
                <w:szCs w:val="21"/>
              </w:rPr>
              <w:t>空气质量优良天数比例</w:t>
            </w:r>
            <w:r>
              <w:rPr>
                <w:rFonts w:ascii="Times New Roman" w:hAnsi="Times New Roman"/>
                <w:kern w:val="0"/>
                <w:szCs w:val="21"/>
                <w:vertAlign w:val="superscript"/>
              </w:rPr>
              <w:t>[1][3]</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Times New Roman"/>
                <w:kern w:val="0"/>
                <w:szCs w:val="21"/>
              </w:rPr>
              <w:t>82.2</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6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60" w:lineRule="exact"/>
              <w:jc w:val="left"/>
              <w:rPr>
                <w:rFonts w:ascii="Times New Roman" w:hAnsi="Times New Roman"/>
                <w:bCs/>
                <w:kern w:val="0"/>
                <w:szCs w:val="21"/>
              </w:rPr>
            </w:pPr>
            <w:r>
              <w:rPr>
                <w:rFonts w:ascii="Times New Roman" w:hAnsi="宋体"/>
                <w:kern w:val="0"/>
                <w:szCs w:val="21"/>
              </w:rPr>
              <w:t>细颗粒物（</w:t>
            </w:r>
            <w:r>
              <w:rPr>
                <w:rFonts w:ascii="Times New Roman" w:hAnsi="Times New Roman"/>
                <w:kern w:val="0"/>
                <w:szCs w:val="21"/>
              </w:rPr>
              <w:t>PM</w:t>
            </w:r>
            <w:r>
              <w:rPr>
                <w:rFonts w:ascii="Times New Roman" w:hAnsi="Times New Roman"/>
                <w:kern w:val="0"/>
                <w:szCs w:val="21"/>
                <w:vertAlign w:val="subscript"/>
              </w:rPr>
              <w:t>2.5</w:t>
            </w:r>
            <w:r>
              <w:rPr>
                <w:rFonts w:ascii="Times New Roman" w:hAnsi="宋体"/>
                <w:kern w:val="0"/>
                <w:szCs w:val="21"/>
              </w:rPr>
              <w:t>）浓度</w:t>
            </w:r>
            <w:r>
              <w:rPr>
                <w:rFonts w:ascii="Times New Roman" w:hAnsi="Times New Roman"/>
                <w:kern w:val="0"/>
                <w:szCs w:val="21"/>
                <w:vertAlign w:val="superscript"/>
              </w:rPr>
              <w:t>[1][3]</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微克</w:t>
            </w:r>
            <w:r>
              <w:rPr>
                <w:rFonts w:ascii="Times New Roman" w:hAnsi="Times New Roman"/>
                <w:kern w:val="0"/>
                <w:szCs w:val="21"/>
              </w:rPr>
              <w:t>/</w:t>
            </w:r>
            <w:r>
              <w:rPr>
                <w:rFonts w:ascii="Times New Roman" w:hAnsi="宋体"/>
                <w:kern w:val="0"/>
                <w:szCs w:val="21"/>
              </w:rPr>
              <w:t>立方米</w:t>
            </w:r>
          </w:p>
        </w:tc>
        <w:tc>
          <w:tcPr>
            <w:tcW w:w="516"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Times New Roman"/>
                <w:kern w:val="0"/>
                <w:szCs w:val="21"/>
              </w:rPr>
              <w:t>38</w:t>
            </w:r>
          </w:p>
        </w:tc>
        <w:tc>
          <w:tcPr>
            <w:tcW w:w="440"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60" w:lineRule="exact"/>
              <w:jc w:val="center"/>
              <w:rPr>
                <w:rFonts w:ascii="Times New Roman" w:hAnsi="Times New Roman"/>
                <w:bCs/>
                <w:kern w:val="0"/>
                <w:szCs w:val="21"/>
              </w:rPr>
            </w:pPr>
            <w:r>
              <w:rPr>
                <w:rFonts w:ascii="Times New Roman" w:hAnsi="宋体"/>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restar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自然</w:t>
            </w:r>
          </w:p>
          <w:p>
            <w:pPr>
              <w:widowControl/>
              <w:spacing w:line="280" w:lineRule="exact"/>
              <w:jc w:val="center"/>
              <w:rPr>
                <w:rFonts w:ascii="Times New Roman" w:hAnsi="Times New Roman"/>
                <w:bCs/>
                <w:kern w:val="0"/>
                <w:szCs w:val="21"/>
              </w:rPr>
            </w:pPr>
            <w:r>
              <w:rPr>
                <w:rFonts w:ascii="Times New Roman" w:hAnsi="宋体"/>
                <w:kern w:val="0"/>
                <w:szCs w:val="21"/>
              </w:rPr>
              <w:t>生态</w:t>
            </w: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地表水国考断面Ⅲ类水质比例</w:t>
            </w:r>
            <w:r>
              <w:rPr>
                <w:rFonts w:ascii="Times New Roman" w:hAnsi="Times New Roman"/>
                <w:kern w:val="0"/>
                <w:szCs w:val="21"/>
                <w:vertAlign w:val="superscript"/>
              </w:rPr>
              <w:t>[2][3]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80</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建成区地表水劣</w:t>
            </w:r>
            <w:r>
              <w:rPr>
                <w:rFonts w:ascii="Times New Roman" w:hAnsi="Times New Roman"/>
                <w:kern w:val="0"/>
                <w:szCs w:val="21"/>
              </w:rPr>
              <w:t>V</w:t>
            </w:r>
            <w:r>
              <w:rPr>
                <w:rFonts w:ascii="Times New Roman" w:hAnsi="宋体"/>
                <w:kern w:val="0"/>
                <w:szCs w:val="21"/>
              </w:rPr>
              <w:t>类水体比例</w:t>
            </w:r>
            <w:r>
              <w:rPr>
                <w:rFonts w:ascii="Times New Roman" w:hAnsi="Times New Roman"/>
                <w:kern w:val="0"/>
                <w:szCs w:val="21"/>
                <w:vertAlign w:val="superscript"/>
              </w:rPr>
              <w:t>[1][2]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&lt;25</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受污染耕地安全利用率</w:t>
            </w:r>
            <w:r>
              <w:rPr>
                <w:rFonts w:ascii="Times New Roman" w:hAnsi="Times New Roman"/>
                <w:kern w:val="0"/>
                <w:szCs w:val="21"/>
                <w:vertAlign w:val="superscript"/>
              </w:rPr>
              <w:t>[1][2]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95</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市生态环境局、市农业农村局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restar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绿色</w:t>
            </w:r>
          </w:p>
          <w:p>
            <w:pPr>
              <w:widowControl/>
              <w:spacing w:line="280" w:lineRule="exact"/>
              <w:jc w:val="center"/>
              <w:rPr>
                <w:rFonts w:ascii="Times New Roman" w:hAnsi="Times New Roman"/>
                <w:bCs/>
                <w:kern w:val="0"/>
                <w:szCs w:val="21"/>
              </w:rPr>
            </w:pPr>
            <w:r>
              <w:rPr>
                <w:rFonts w:ascii="Times New Roman" w:hAnsi="宋体"/>
                <w:kern w:val="0"/>
                <w:szCs w:val="21"/>
              </w:rPr>
              <w:t>发展</w:t>
            </w: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农膜回收率</w:t>
            </w:r>
            <w:r>
              <w:rPr>
                <w:rFonts w:ascii="Times New Roman" w:hAnsi="Times New Roman"/>
                <w:kern w:val="0"/>
                <w:szCs w:val="21"/>
                <w:vertAlign w:val="superscript"/>
              </w:rPr>
              <w:t>[1][2]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90</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化肥施用总量</w:t>
            </w:r>
            <w:r>
              <w:rPr>
                <w:rFonts w:ascii="Times New Roman" w:hAnsi="Times New Roman"/>
                <w:kern w:val="0"/>
                <w:szCs w:val="21"/>
                <w:vertAlign w:val="superscript"/>
              </w:rPr>
              <w:t>[2]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吨</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比</w:t>
            </w:r>
            <w:r>
              <w:rPr>
                <w:rFonts w:ascii="Times New Roman" w:hAnsi="Times New Roman"/>
                <w:kern w:val="0"/>
                <w:szCs w:val="21"/>
              </w:rPr>
              <w:t>2020</w:t>
            </w:r>
            <w:r>
              <w:rPr>
                <w:rFonts w:ascii="Times New Roman" w:hAnsi="宋体"/>
                <w:kern w:val="0"/>
                <w:szCs w:val="21"/>
              </w:rPr>
              <w:t>年降</w:t>
            </w:r>
            <w:r>
              <w:rPr>
                <w:rFonts w:ascii="Times New Roman" w:hAnsi="Times New Roman"/>
                <w:kern w:val="0"/>
                <w:szCs w:val="21"/>
              </w:rPr>
              <w:t>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绿色防控覆盖率</w:t>
            </w:r>
            <w:r>
              <w:rPr>
                <w:rFonts w:ascii="Times New Roman" w:hAnsi="Times New Roman"/>
                <w:kern w:val="0"/>
                <w:szCs w:val="21"/>
                <w:vertAlign w:val="superscript"/>
              </w:rPr>
              <w:t>[2]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68</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单位地区生产总值能耗降低</w:t>
            </w:r>
            <w:r>
              <w:rPr>
                <w:rFonts w:ascii="Times New Roman" w:hAnsi="Times New Roman"/>
                <w:kern w:val="0"/>
                <w:szCs w:val="21"/>
                <w:vertAlign w:val="superscript"/>
              </w:rPr>
              <w:t>[2][3]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完成省</w:t>
            </w:r>
          </w:p>
          <w:p>
            <w:pPr>
              <w:widowControl/>
              <w:spacing w:line="280" w:lineRule="exact"/>
              <w:jc w:val="center"/>
              <w:rPr>
                <w:rFonts w:ascii="Times New Roman" w:hAnsi="Times New Roman"/>
                <w:bCs/>
                <w:kern w:val="0"/>
                <w:szCs w:val="21"/>
              </w:rPr>
            </w:pPr>
            <w:r>
              <w:rPr>
                <w:rFonts w:ascii="Times New Roman" w:hAnsi="宋体"/>
                <w:kern w:val="0"/>
                <w:szCs w:val="21"/>
              </w:rPr>
              <w:t>下达目标</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市工信局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单位地区生产总值二氧化碳降低</w:t>
            </w:r>
            <w:r>
              <w:rPr>
                <w:rFonts w:ascii="Times New Roman" w:hAnsi="Times New Roman"/>
                <w:kern w:val="0"/>
                <w:szCs w:val="21"/>
                <w:vertAlign w:val="superscript"/>
              </w:rPr>
              <w:t>[2][3]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完成省</w:t>
            </w:r>
          </w:p>
          <w:p>
            <w:pPr>
              <w:widowControl/>
              <w:spacing w:line="280" w:lineRule="exact"/>
              <w:jc w:val="center"/>
              <w:rPr>
                <w:rFonts w:ascii="Times New Roman" w:hAnsi="Times New Roman"/>
                <w:bCs/>
                <w:kern w:val="0"/>
                <w:szCs w:val="21"/>
              </w:rPr>
            </w:pPr>
            <w:r>
              <w:rPr>
                <w:rFonts w:ascii="Times New Roman" w:hAnsi="宋体"/>
                <w:kern w:val="0"/>
                <w:szCs w:val="21"/>
              </w:rPr>
              <w:t>下达指标</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单位地区生产总值用水量降低</w:t>
            </w:r>
            <w:r>
              <w:rPr>
                <w:rFonts w:ascii="Times New Roman" w:hAnsi="Times New Roman"/>
                <w:kern w:val="0"/>
                <w:szCs w:val="21"/>
                <w:vertAlign w:val="superscript"/>
              </w:rPr>
              <w:t>[2][4]</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完成省</w:t>
            </w:r>
          </w:p>
          <w:p>
            <w:pPr>
              <w:widowControl/>
              <w:spacing w:line="280" w:lineRule="exact"/>
              <w:jc w:val="center"/>
              <w:rPr>
                <w:rFonts w:ascii="Times New Roman" w:hAnsi="Times New Roman"/>
                <w:bCs/>
                <w:kern w:val="0"/>
                <w:szCs w:val="21"/>
              </w:rPr>
            </w:pPr>
            <w:r>
              <w:rPr>
                <w:rFonts w:ascii="Times New Roman" w:hAnsi="宋体"/>
                <w:kern w:val="0"/>
                <w:szCs w:val="21"/>
              </w:rPr>
              <w:t>下达指标</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高新技术产业产值占规模以上工业产值比重</w:t>
            </w:r>
            <w:r>
              <w:rPr>
                <w:rFonts w:ascii="Times New Roman" w:hAnsi="Times New Roman"/>
                <w:kern w:val="0"/>
                <w:szCs w:val="21"/>
                <w:vertAlign w:val="superscript"/>
              </w:rPr>
              <w:t>[2][3]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50</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restar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城乡</w:t>
            </w:r>
          </w:p>
          <w:p>
            <w:pPr>
              <w:widowControl/>
              <w:spacing w:line="280" w:lineRule="exact"/>
              <w:jc w:val="center"/>
              <w:rPr>
                <w:rFonts w:ascii="Times New Roman" w:hAnsi="Times New Roman"/>
                <w:bCs/>
                <w:kern w:val="0"/>
                <w:szCs w:val="21"/>
              </w:rPr>
            </w:pPr>
            <w:r>
              <w:rPr>
                <w:rFonts w:ascii="Times New Roman" w:hAnsi="宋体"/>
                <w:kern w:val="0"/>
                <w:szCs w:val="21"/>
              </w:rPr>
              <w:t>宜居</w:t>
            </w: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城镇生活污水集中收集率</w:t>
            </w:r>
            <w:r>
              <w:rPr>
                <w:rFonts w:ascii="Times New Roman" w:hAnsi="Times New Roman"/>
                <w:kern w:val="0"/>
                <w:szCs w:val="21"/>
                <w:vertAlign w:val="superscript"/>
              </w:rPr>
              <w:t>[1][2]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完成省</w:t>
            </w:r>
          </w:p>
          <w:p>
            <w:pPr>
              <w:widowControl/>
              <w:spacing w:line="280" w:lineRule="exact"/>
              <w:jc w:val="center"/>
              <w:rPr>
                <w:rFonts w:ascii="Times New Roman" w:hAnsi="Times New Roman"/>
                <w:bCs/>
                <w:kern w:val="0"/>
                <w:szCs w:val="21"/>
              </w:rPr>
            </w:pPr>
            <w:r>
              <w:rPr>
                <w:rFonts w:ascii="Times New Roman" w:hAnsi="宋体"/>
                <w:kern w:val="0"/>
                <w:szCs w:val="21"/>
              </w:rPr>
              <w:t>下达指标</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农村生活污水治理率</w:t>
            </w:r>
            <w:r>
              <w:rPr>
                <w:rFonts w:ascii="Times New Roman" w:hAnsi="Times New Roman"/>
                <w:kern w:val="0"/>
                <w:szCs w:val="21"/>
                <w:vertAlign w:val="superscript"/>
              </w:rPr>
              <w:t>[1][2]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60</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市生态环境局、市农业农村局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生活垃圾分类集中处理率</w:t>
            </w:r>
            <w:r>
              <w:rPr>
                <w:rFonts w:ascii="Times New Roman" w:hAnsi="Times New Roman"/>
                <w:kern w:val="0"/>
                <w:szCs w:val="21"/>
                <w:vertAlign w:val="superscript"/>
              </w:rPr>
              <w:t>[1][2]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95</w:t>
            </w:r>
            <w:r>
              <w:rPr>
                <w:rFonts w:ascii="Times New Roman" w:hAnsi="宋体"/>
                <w:kern w:val="0"/>
                <w:szCs w:val="21"/>
              </w:rPr>
              <w:t>以上</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城市建成区绿化覆盖率</w:t>
            </w:r>
            <w:r>
              <w:rPr>
                <w:rFonts w:ascii="Times New Roman" w:hAnsi="Times New Roman"/>
                <w:kern w:val="0"/>
                <w:szCs w:val="21"/>
                <w:vertAlign w:val="superscript"/>
              </w:rPr>
              <w:t>[2]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42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城镇常住人口保障性住房覆盖率</w:t>
            </w:r>
            <w:r>
              <w:rPr>
                <w:rFonts w:ascii="Times New Roman" w:hAnsi="Times New Roman"/>
                <w:kern w:val="0"/>
                <w:szCs w:val="21"/>
                <w:vertAlign w:val="superscript"/>
              </w:rPr>
              <w:t>[2]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34</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美丽宜居镇村建成率</w:t>
            </w:r>
            <w:r>
              <w:rPr>
                <w:rFonts w:ascii="Times New Roman" w:hAnsi="Times New Roman"/>
                <w:kern w:val="0"/>
                <w:szCs w:val="21"/>
                <w:vertAlign w:val="superscript"/>
              </w:rPr>
              <w:t>[2]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完成省下达指标</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养老助困服务保障水平</w:t>
            </w:r>
            <w:r>
              <w:rPr>
                <w:rFonts w:ascii="Times New Roman" w:hAnsi="Times New Roman"/>
                <w:kern w:val="0"/>
                <w:szCs w:val="21"/>
                <w:vertAlign w:val="superscript"/>
              </w:rPr>
              <w:t>[2]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100</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市民政局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restar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水韵</w:t>
            </w:r>
          </w:p>
          <w:p>
            <w:pPr>
              <w:widowControl/>
              <w:spacing w:line="280" w:lineRule="exact"/>
              <w:jc w:val="center"/>
              <w:rPr>
                <w:rFonts w:ascii="Times New Roman" w:hAnsi="Times New Roman"/>
                <w:bCs/>
                <w:kern w:val="0"/>
                <w:szCs w:val="21"/>
              </w:rPr>
            </w:pPr>
            <w:r>
              <w:rPr>
                <w:rFonts w:ascii="Times New Roman" w:hAnsi="宋体"/>
                <w:kern w:val="0"/>
                <w:szCs w:val="21"/>
              </w:rPr>
              <w:t>人文</w:t>
            </w: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水土保持率</w:t>
            </w:r>
            <w:r>
              <w:rPr>
                <w:rFonts w:ascii="Times New Roman" w:hAnsi="Times New Roman"/>
                <w:kern w:val="0"/>
                <w:szCs w:val="21"/>
                <w:vertAlign w:val="superscript"/>
              </w:rPr>
              <w:t>[1][2]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95.63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约束性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文化产业增加值占地区生产总值比重</w:t>
            </w:r>
            <w:r>
              <w:rPr>
                <w:rFonts w:ascii="Times New Roman" w:hAnsi="Times New Roman"/>
                <w:kern w:val="0"/>
                <w:szCs w:val="21"/>
                <w:vertAlign w:val="superscript"/>
              </w:rPr>
              <w:t>[2][4]</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6</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市委宣传部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全民阅读指数</w:t>
            </w:r>
            <w:r>
              <w:rPr>
                <w:rFonts w:ascii="Times New Roman" w:hAnsi="Times New Roman"/>
                <w:kern w:val="0"/>
                <w:szCs w:val="21"/>
                <w:vertAlign w:val="superscript"/>
              </w:rPr>
              <w:t xml:space="preserve">[2] [3] </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80</w:t>
            </w:r>
            <w:r>
              <w:rPr>
                <w:rFonts w:ascii="Times New Roman" w:hAnsi="宋体"/>
                <w:kern w:val="0"/>
                <w:szCs w:val="21"/>
              </w:rPr>
              <w:t>以上</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市委宣传部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人均接受文化场馆服务次数</w:t>
            </w:r>
            <w:r>
              <w:rPr>
                <w:rFonts w:ascii="Times New Roman" w:hAnsi="Times New Roman"/>
                <w:kern w:val="0"/>
                <w:szCs w:val="21"/>
                <w:vertAlign w:val="superscript"/>
              </w:rPr>
              <w:t>[2][4]</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人次</w:t>
            </w:r>
            <w:r>
              <w:rPr>
                <w:rFonts w:ascii="Times New Roman" w:hAnsi="Times New Roman"/>
                <w:kern w:val="0"/>
                <w:szCs w:val="21"/>
              </w:rPr>
              <w:t>/</w:t>
            </w:r>
            <w:r>
              <w:rPr>
                <w:rFonts w:ascii="Times New Roman" w:hAnsi="宋体"/>
                <w:kern w:val="0"/>
                <w:szCs w:val="21"/>
              </w:rPr>
              <w:t>年</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6</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市文广旅局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restart"/>
            <w:shd w:val="clear" w:color="auto" w:fill="auto"/>
            <w:noWrap w:val="0"/>
            <w:vAlign w:val="center"/>
          </w:tcPr>
          <w:p>
            <w:pPr>
              <w:widowControl/>
              <w:spacing w:line="280" w:lineRule="exact"/>
              <w:jc w:val="center"/>
              <w:rPr>
                <w:rFonts w:hint="eastAsia" w:ascii="Times New Roman" w:hAnsi="宋体"/>
                <w:kern w:val="0"/>
                <w:szCs w:val="21"/>
              </w:rPr>
            </w:pPr>
            <w:r>
              <w:rPr>
                <w:rFonts w:ascii="Times New Roman" w:hAnsi="宋体"/>
                <w:kern w:val="0"/>
                <w:szCs w:val="21"/>
              </w:rPr>
              <w:t>文明</w:t>
            </w:r>
          </w:p>
          <w:p>
            <w:pPr>
              <w:widowControl/>
              <w:spacing w:line="280" w:lineRule="exact"/>
              <w:jc w:val="center"/>
              <w:rPr>
                <w:rFonts w:ascii="Times New Roman" w:hAnsi="Times New Roman"/>
                <w:bCs/>
                <w:kern w:val="0"/>
                <w:szCs w:val="21"/>
              </w:rPr>
            </w:pPr>
            <w:r>
              <w:rPr>
                <w:rFonts w:ascii="Times New Roman" w:hAnsi="宋体"/>
                <w:kern w:val="0"/>
                <w:szCs w:val="21"/>
              </w:rPr>
              <w:t>和谐</w:t>
            </w: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城镇新增就业人数</w:t>
            </w:r>
            <w:r>
              <w:rPr>
                <w:rFonts w:ascii="Times New Roman" w:hAnsi="Times New Roman"/>
                <w:kern w:val="0"/>
                <w:szCs w:val="21"/>
                <w:vertAlign w:val="superscript"/>
              </w:rPr>
              <w:t>[3]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万人</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50</w:t>
            </w:r>
            <w:r>
              <w:rPr>
                <w:rFonts w:ascii="Times New Roman" w:hAnsi="宋体"/>
                <w:kern w:val="0"/>
                <w:szCs w:val="21"/>
              </w:rPr>
              <w:t>以上</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市人社局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城镇调查失业率</w:t>
            </w:r>
            <w:r>
              <w:rPr>
                <w:rFonts w:ascii="Times New Roman" w:hAnsi="Times New Roman"/>
                <w:kern w:val="0"/>
                <w:szCs w:val="21"/>
                <w:vertAlign w:val="superscript"/>
              </w:rPr>
              <w:t>[3]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5</w:t>
            </w:r>
            <w:r>
              <w:rPr>
                <w:rFonts w:ascii="Times New Roman" w:hAnsi="宋体"/>
                <w:kern w:val="0"/>
                <w:szCs w:val="21"/>
              </w:rPr>
              <w:t>以下</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市人社局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社会文明程度测评指数</w:t>
            </w:r>
            <w:r>
              <w:rPr>
                <w:rFonts w:ascii="Times New Roman" w:hAnsi="Times New Roman"/>
                <w:kern w:val="0"/>
                <w:szCs w:val="21"/>
                <w:vertAlign w:val="superscript"/>
              </w:rPr>
              <w:t>[2][4]</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90</w:t>
            </w:r>
            <w:r>
              <w:rPr>
                <w:rFonts w:ascii="Times New Roman" w:hAnsi="宋体"/>
                <w:kern w:val="0"/>
                <w:szCs w:val="21"/>
              </w:rPr>
              <w:t>以上</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市委宣传部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58" w:type="pct"/>
            <w:vMerge w:val="continue"/>
            <w:shd w:val="clear" w:color="auto" w:fill="auto"/>
            <w:noWrap w:val="0"/>
            <w:vAlign w:val="center"/>
          </w:tcPr>
          <w:p>
            <w:pPr>
              <w:widowControl/>
              <w:spacing w:line="280" w:lineRule="exact"/>
              <w:jc w:val="center"/>
              <w:rPr>
                <w:rFonts w:ascii="Times New Roman" w:hAnsi="Times New Roman"/>
                <w:bCs/>
                <w:kern w:val="0"/>
                <w:szCs w:val="21"/>
              </w:rPr>
            </w:pPr>
          </w:p>
        </w:tc>
        <w:tc>
          <w:tcPr>
            <w:tcW w:w="299" w:type="pct"/>
            <w:shd w:val="clear" w:color="auto" w:fill="auto"/>
            <w:noWrap w:val="0"/>
            <w:vAlign w:val="center"/>
          </w:tcPr>
          <w:p>
            <w:pPr>
              <w:pStyle w:val="8"/>
              <w:widowControl/>
              <w:numPr>
                <w:ilvl w:val="0"/>
                <w:numId w:val="1"/>
              </w:numPr>
              <w:adjustRightInd w:val="0"/>
              <w:snapToGrid w:val="0"/>
              <w:spacing w:line="280" w:lineRule="exact"/>
              <w:ind w:firstLineChars="0"/>
              <w:jc w:val="center"/>
              <w:rPr>
                <w:rFonts w:ascii="Times New Roman" w:hAnsi="Times New Roman"/>
                <w:bCs/>
                <w:kern w:val="0"/>
                <w:szCs w:val="21"/>
              </w:rPr>
            </w:pPr>
          </w:p>
        </w:tc>
        <w:tc>
          <w:tcPr>
            <w:tcW w:w="2130" w:type="pct"/>
            <w:shd w:val="clear" w:color="auto" w:fill="auto"/>
            <w:noWrap w:val="0"/>
            <w:vAlign w:val="center"/>
          </w:tcPr>
          <w:p>
            <w:pPr>
              <w:widowControl/>
              <w:spacing w:line="280" w:lineRule="exact"/>
              <w:jc w:val="left"/>
              <w:rPr>
                <w:rFonts w:ascii="Times New Roman" w:hAnsi="Times New Roman"/>
                <w:bCs/>
                <w:kern w:val="0"/>
                <w:szCs w:val="21"/>
              </w:rPr>
            </w:pPr>
            <w:r>
              <w:rPr>
                <w:rFonts w:ascii="Times New Roman" w:hAnsi="宋体"/>
                <w:kern w:val="0"/>
                <w:szCs w:val="21"/>
              </w:rPr>
              <w:t>劳动年龄人口平均受教育年限</w:t>
            </w:r>
            <w:r>
              <w:rPr>
                <w:rFonts w:ascii="Times New Roman" w:hAnsi="Times New Roman"/>
                <w:kern w:val="0"/>
                <w:szCs w:val="21"/>
                <w:vertAlign w:val="superscript"/>
              </w:rPr>
              <w:t>[2]</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年</w:t>
            </w:r>
          </w:p>
        </w:tc>
        <w:tc>
          <w:tcPr>
            <w:tcW w:w="516"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Times New Roman"/>
                <w:kern w:val="0"/>
                <w:szCs w:val="21"/>
              </w:rPr>
              <w:t>12.3</w:t>
            </w:r>
          </w:p>
        </w:tc>
        <w:tc>
          <w:tcPr>
            <w:tcW w:w="440"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预期性</w:t>
            </w:r>
          </w:p>
        </w:tc>
        <w:tc>
          <w:tcPr>
            <w:tcW w:w="817" w:type="pct"/>
            <w:shd w:val="clear" w:color="auto" w:fill="auto"/>
            <w:noWrap w:val="0"/>
            <w:vAlign w:val="center"/>
          </w:tcPr>
          <w:p>
            <w:pPr>
              <w:widowControl/>
              <w:spacing w:line="280" w:lineRule="exact"/>
              <w:jc w:val="center"/>
              <w:rPr>
                <w:rFonts w:ascii="Times New Roman" w:hAnsi="Times New Roman"/>
                <w:bCs/>
                <w:kern w:val="0"/>
                <w:szCs w:val="21"/>
              </w:rPr>
            </w:pPr>
            <w:r>
              <w:rPr>
                <w:rFonts w:ascii="Times New Roman" w:hAnsi="宋体"/>
                <w:kern w:val="0"/>
                <w:szCs w:val="21"/>
              </w:rPr>
              <w:t>市教育局</w:t>
            </w:r>
          </w:p>
        </w:tc>
      </w:tr>
    </w:tbl>
    <w:p>
      <w:pPr>
        <w:overflowPunct w:val="0"/>
        <w:autoSpaceDE w:val="0"/>
        <w:autoSpaceDN w:val="0"/>
        <w:adjustRightInd w:val="0"/>
        <w:snapToGrid w:val="0"/>
        <w:spacing w:line="410" w:lineRule="exact"/>
        <w:ind w:firstLine="480" w:firstLineChars="200"/>
        <w:rPr>
          <w:rFonts w:ascii="Times New Roman" w:hAnsi="Times New Roman" w:eastAsia="方正仿宋_GBK"/>
          <w:bCs/>
          <w:sz w:val="24"/>
          <w:szCs w:val="24"/>
        </w:rPr>
      </w:pPr>
      <w:r>
        <w:rPr>
          <w:rFonts w:ascii="Times New Roman" w:hAnsi="Times New Roman" w:eastAsia="方正仿宋_GBK"/>
          <w:sz w:val="24"/>
          <w:szCs w:val="24"/>
        </w:rPr>
        <w:t>注：</w:t>
      </w:r>
    </w:p>
    <w:p>
      <w:pPr>
        <w:overflowPunct w:val="0"/>
        <w:autoSpaceDE w:val="0"/>
        <w:autoSpaceDN w:val="0"/>
        <w:adjustRightInd w:val="0"/>
        <w:snapToGrid w:val="0"/>
        <w:spacing w:line="410" w:lineRule="exact"/>
        <w:ind w:firstLine="480" w:firstLineChars="200"/>
        <w:rPr>
          <w:rFonts w:ascii="Times New Roman" w:hAnsi="Times New Roman" w:eastAsia="方正仿宋_GBK"/>
          <w:bCs/>
          <w:sz w:val="24"/>
          <w:szCs w:val="24"/>
        </w:rPr>
      </w:pPr>
      <w:r>
        <w:rPr>
          <w:rFonts w:ascii="Times New Roman" w:hAnsi="Times New Roman" w:eastAsia="方正仿宋_GBK"/>
          <w:sz w:val="24"/>
          <w:szCs w:val="24"/>
        </w:rPr>
        <w:t>[1]为纳入《美丽中国建设评估指标体系》的指标，随《美丽中国建设评估指标体系》调整同步对照调整；</w:t>
      </w:r>
    </w:p>
    <w:p>
      <w:pPr>
        <w:overflowPunct w:val="0"/>
        <w:autoSpaceDE w:val="0"/>
        <w:autoSpaceDN w:val="0"/>
        <w:adjustRightInd w:val="0"/>
        <w:snapToGrid w:val="0"/>
        <w:spacing w:line="410" w:lineRule="exact"/>
        <w:ind w:firstLine="480" w:firstLineChars="200"/>
        <w:rPr>
          <w:rFonts w:ascii="Times New Roman" w:hAnsi="Times New Roman" w:eastAsia="方正仿宋_GBK"/>
          <w:bCs/>
          <w:sz w:val="24"/>
          <w:szCs w:val="24"/>
        </w:rPr>
      </w:pPr>
      <w:r>
        <w:rPr>
          <w:rFonts w:ascii="Times New Roman" w:hAnsi="Times New Roman" w:eastAsia="方正仿宋_GBK"/>
          <w:sz w:val="24"/>
          <w:szCs w:val="24"/>
        </w:rPr>
        <w:t>[2]为纳入《美丽江苏建设评估指标体系》的指标，随《美丽江苏建设评估指标体系》调整同步对照调整；</w:t>
      </w:r>
    </w:p>
    <w:p>
      <w:pPr>
        <w:overflowPunct w:val="0"/>
        <w:autoSpaceDE w:val="0"/>
        <w:autoSpaceDN w:val="0"/>
        <w:adjustRightInd w:val="0"/>
        <w:snapToGrid w:val="0"/>
        <w:spacing w:line="410" w:lineRule="exact"/>
        <w:ind w:firstLine="480" w:firstLineChars="200"/>
        <w:rPr>
          <w:rFonts w:ascii="Times New Roman" w:hAnsi="Times New Roman" w:eastAsia="方正仿宋_GBK"/>
          <w:bCs/>
          <w:sz w:val="24"/>
          <w:szCs w:val="24"/>
        </w:rPr>
      </w:pPr>
      <w:r>
        <w:rPr>
          <w:rFonts w:ascii="Times New Roman" w:hAnsi="Times New Roman" w:eastAsia="方正仿宋_GBK"/>
          <w:sz w:val="24"/>
          <w:szCs w:val="24"/>
        </w:rPr>
        <w:t>[3]为纳入《常州市国民经济和社会发展第十四个五年规划和二〇三五年远景目标纲要》的指标；</w:t>
      </w:r>
    </w:p>
    <w:p>
      <w:pPr>
        <w:overflowPunct w:val="0"/>
        <w:autoSpaceDE w:val="0"/>
        <w:autoSpaceDN w:val="0"/>
        <w:adjustRightInd w:val="0"/>
        <w:snapToGrid w:val="0"/>
        <w:spacing w:line="410" w:lineRule="exact"/>
        <w:ind w:firstLine="480" w:firstLineChars="200"/>
        <w:rPr>
          <w:rFonts w:ascii="Times New Roman" w:hAnsi="Times New Roman" w:eastAsia="方正仿宋_GBK"/>
          <w:bCs/>
          <w:sz w:val="24"/>
          <w:szCs w:val="24"/>
        </w:rPr>
      </w:pPr>
      <w:r>
        <w:rPr>
          <w:rFonts w:ascii="Times New Roman" w:hAnsi="Times New Roman" w:eastAsia="方正仿宋_GBK"/>
          <w:sz w:val="24"/>
          <w:szCs w:val="24"/>
        </w:rPr>
        <w:t>[4]为纳入高质量绩效评价考核的指标。</w:t>
      </w:r>
    </w:p>
    <w:p>
      <w:pPr>
        <w:widowControl/>
        <w:adjustRightInd w:val="0"/>
        <w:snapToGrid w:val="0"/>
        <w:spacing w:line="570" w:lineRule="exact"/>
        <w:jc w:val="center"/>
        <w:rPr>
          <w:rFonts w:hint="eastAsia" w:ascii="方正小标宋_GBK" w:eastAsia="方正小标宋_GBK"/>
          <w:sz w:val="44"/>
          <w:szCs w:val="44"/>
        </w:rPr>
      </w:pPr>
      <w:r>
        <w:rPr>
          <w:rFonts w:ascii="方正小标宋_GBK" w:eastAsia="方正小标宋_GBK"/>
          <w:sz w:val="44"/>
          <w:szCs w:val="44"/>
        </w:rP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bookmarkStart w:id="31" w:name="_Toc81592681"/>
      <w:r>
        <w:rPr>
          <w:rFonts w:hint="eastAsia" w:ascii="方正小标宋_GBK" w:hAnsi="Times New Roman" w:eastAsia="方正小标宋_GBK"/>
          <w:sz w:val="44"/>
          <w:szCs w:val="44"/>
        </w:rPr>
        <w:t>第三章</w:t>
      </w:r>
      <w:bookmarkStart w:id="32" w:name="_Hlk82526991"/>
      <w:r>
        <w:rPr>
          <w:rFonts w:hint="eastAsia" w:ascii="方正小标宋_GBK" w:hAnsi="Times New Roman" w:eastAsia="方正小标宋_GBK"/>
          <w:sz w:val="44"/>
          <w:szCs w:val="44"/>
        </w:rPr>
        <w:t xml:space="preserve">  描绘三生融合和谐蓝图，彰显四沿</w:t>
      </w:r>
    </w:p>
    <w:p>
      <w:pPr>
        <w:overflowPunct w:val="0"/>
        <w:autoSpaceDE w:val="0"/>
        <w:autoSpaceDN w:val="0"/>
        <w:adjustRightInd w:val="0"/>
        <w:snapToGrid w:val="0"/>
        <w:spacing w:before="12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联动的空间格局之美</w:t>
      </w:r>
      <w:bookmarkEnd w:id="31"/>
      <w:bookmarkEnd w:id="32"/>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全方位融入苏南、全方位对接沪宁，统筹沿江、沿河、沿湖、沿山“四沿”联动发展，推动生产、生活、生态“三生”融合发展，着眼区域生态资源比较优势和可持续发展能力，塑造倚江傍河、山清水秀、各具特色、各现其美的全域魅力空间格局。</w:t>
      </w:r>
    </w:p>
    <w:p>
      <w:pPr>
        <w:overflowPunct w:val="0"/>
        <w:autoSpaceDE w:val="0"/>
        <w:autoSpaceDN w:val="0"/>
        <w:adjustRightInd w:val="0"/>
        <w:snapToGrid w:val="0"/>
        <w:spacing w:before="240" w:after="240" w:line="570" w:lineRule="exact"/>
        <w:jc w:val="center"/>
        <w:rPr>
          <w:rFonts w:hint="eastAsia" w:ascii="方正黑体_GBK" w:hAnsi="Times New Roman" w:eastAsia="方正黑体_GBK"/>
          <w:sz w:val="32"/>
          <w:szCs w:val="32"/>
        </w:rPr>
      </w:pPr>
      <w:bookmarkStart w:id="33" w:name="_Toc81592682"/>
      <w:r>
        <w:rPr>
          <w:rFonts w:hint="eastAsia" w:ascii="方正黑体_GBK" w:hAnsi="Times New Roman" w:eastAsia="方正黑体_GBK"/>
          <w:sz w:val="32"/>
          <w:szCs w:val="32"/>
        </w:rPr>
        <w:t>第一节  构建锦绣龙城发展新格局</w:t>
      </w:r>
      <w:bookmarkEnd w:id="3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国土空间规划体系。全面对接“一带一路”建设、长江经济带发展、长三角一体化发展等重大战略规划，建立健全全市国土空间规划体系，形成全市国土空间开发保护“一张图”。科学划定落实生态保护红线、永久基本农田、城镇开发边界三条控制线，纳入全市统一、多规合一的国土空间基础信息平台，作为调整经济结构、规划产业发展、推进城镇化不可逾越的红线。切实发挥国土空间规划的战略引领和刚性管控作用，分区分类实施国土空间用途管制，建立国土空间规划计划动态监测、评估预警和实施监管机制，探索规划“留白”制度，为未来发展预留空间。落实最严格的耕地保护制度，统筹山水林田湖草系统治理和空间协同保护，牢牢守住城镇周边、交通沿线永久基本农田保护带。（责任单位：市发展改革委、市自然资源和规划局、市生态环境局等按职责分工负责，各辖市、区人民政府责任落实。以下均需各辖市、区人民政府落实，不再列出）</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仿宋_GBK"/>
          <w:sz w:val="32"/>
          <w:szCs w:val="32"/>
        </w:rPr>
        <w:t>勾勒市域美丽空间格局。坚持“生态优先、网络开放、融入区域”，以生产空间集约高效、生活空间宜居适度、生态空间山清水秀、可持续发展为目标，贯彻落实主体功能区制度和战略，明确城镇、农业、生态空间，推动市域统筹联动与城乡融合发展，全面优化功能配置，形成“一主一区、一极三轴”的空间格局。坚持市域统筹，聚焦人口经济与资源环境空间均衡发展，系统优化中心城市空间格局，加快推进常金同城化、常溧一体化，高标准推动两湖创新区建设，全力塑造市域城乡融合发展新格局。（责任单位：市委宣传部、市发展改革委、市自然资源和规划局、市生态环境局等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814" w:type="dxa"/>
            <w:noWrap w:val="0"/>
            <w:vAlign w:val="center"/>
          </w:tcPr>
          <w:p>
            <w:pPr>
              <w:pStyle w:val="9"/>
              <w:overflowPunct w:val="0"/>
              <w:autoSpaceDE w:val="0"/>
              <w:autoSpaceDN w:val="0"/>
              <w:spacing w:line="500" w:lineRule="exact"/>
              <w:rPr>
                <w:szCs w:val="28"/>
              </w:rPr>
            </w:pPr>
            <w:r>
              <w:rPr>
                <w:szCs w:val="28"/>
              </w:rPr>
              <w:t>专栏1  “</w:t>
            </w:r>
            <w:bookmarkStart w:id="34" w:name="_Hlk81576997"/>
            <w:r>
              <w:rPr>
                <w:szCs w:val="28"/>
              </w:rPr>
              <w:t>一主一区、一极三轴</w:t>
            </w:r>
            <w:bookmarkEnd w:id="34"/>
            <w:r>
              <w:rPr>
                <w:szCs w:val="28"/>
              </w:rPr>
              <w:t>”总体空间格局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14" w:type="dxa"/>
            <w:noWrap w:val="0"/>
            <w:vAlign w:val="top"/>
          </w:tcPr>
          <w:p>
            <w:pPr>
              <w:pStyle w:val="10"/>
              <w:overflowPunct w:val="0"/>
              <w:autoSpaceDE w:val="0"/>
              <w:autoSpaceDN w:val="0"/>
              <w:spacing w:line="500" w:lineRule="exact"/>
              <w:ind w:firstLine="560"/>
              <w:rPr>
                <w:szCs w:val="28"/>
              </w:rPr>
            </w:pPr>
            <w:r>
              <w:rPr>
                <w:rFonts w:eastAsia="方正楷体_GBK"/>
                <w:bCs/>
                <w:szCs w:val="28"/>
              </w:rPr>
              <w:t>“一主”</w:t>
            </w:r>
            <w:r>
              <w:rPr>
                <w:rFonts w:eastAsia="方正楷体_GBK"/>
                <w:szCs w:val="28"/>
              </w:rPr>
              <w:t>：</w:t>
            </w:r>
            <w:r>
              <w:rPr>
                <w:szCs w:val="28"/>
              </w:rPr>
              <w:t>常州中心城区，是常州政治、经济、文化中心，城市综合服务职能的主要承载地区。</w:t>
            </w:r>
          </w:p>
          <w:p>
            <w:pPr>
              <w:pStyle w:val="10"/>
              <w:overflowPunct w:val="0"/>
              <w:autoSpaceDE w:val="0"/>
              <w:autoSpaceDN w:val="0"/>
              <w:spacing w:line="500" w:lineRule="exact"/>
              <w:ind w:firstLine="560"/>
              <w:rPr>
                <w:szCs w:val="28"/>
              </w:rPr>
            </w:pPr>
            <w:r>
              <w:rPr>
                <w:rFonts w:eastAsia="方正楷体_GBK"/>
                <w:bCs/>
                <w:szCs w:val="28"/>
              </w:rPr>
              <w:t>“一区”：</w:t>
            </w:r>
            <w:r>
              <w:rPr>
                <w:szCs w:val="28"/>
              </w:rPr>
              <w:t>两湖创新区，培育长三角有特色有影响力的高品质区域创新中心。</w:t>
            </w:r>
          </w:p>
          <w:p>
            <w:pPr>
              <w:pStyle w:val="10"/>
              <w:overflowPunct w:val="0"/>
              <w:autoSpaceDE w:val="0"/>
              <w:autoSpaceDN w:val="0"/>
              <w:spacing w:line="500" w:lineRule="exact"/>
              <w:ind w:firstLine="560"/>
              <w:rPr>
                <w:szCs w:val="28"/>
              </w:rPr>
            </w:pPr>
            <w:r>
              <w:rPr>
                <w:rFonts w:eastAsia="方正楷体_GBK"/>
                <w:bCs/>
                <w:szCs w:val="28"/>
              </w:rPr>
              <w:t>“一极”：</w:t>
            </w:r>
            <w:r>
              <w:rPr>
                <w:szCs w:val="28"/>
              </w:rPr>
              <w:t>溧阳发展极，打造国家“两山”理论实践与城乡融合发展样板区、长三角生态康养休闲目的地、沪苏浙皖创新动能交汇枢纽、宁杭生态经济带美丽宜居公园城市。</w:t>
            </w:r>
          </w:p>
          <w:p>
            <w:pPr>
              <w:pStyle w:val="10"/>
              <w:overflowPunct w:val="0"/>
              <w:autoSpaceDE w:val="0"/>
              <w:autoSpaceDN w:val="0"/>
              <w:spacing w:line="500" w:lineRule="exact"/>
              <w:ind w:firstLine="560"/>
              <w:rPr>
                <w:szCs w:val="28"/>
              </w:rPr>
            </w:pPr>
            <w:r>
              <w:rPr>
                <w:rFonts w:eastAsia="方正楷体_GBK"/>
                <w:bCs/>
                <w:szCs w:val="28"/>
              </w:rPr>
              <w:t>“三轴”：</w:t>
            </w:r>
            <w:r>
              <w:rPr>
                <w:szCs w:val="28"/>
              </w:rPr>
              <w:t>长三角中轴（东西向、南北向），是常州城市发展的交通中轴、创新中轴、产业中轴、生态中轴、文旅中轴，</w:t>
            </w:r>
            <w:r>
              <w:rPr>
                <w:bCs/>
                <w:szCs w:val="28"/>
              </w:rPr>
              <w:t>打造长三角中轴枢纽</w:t>
            </w:r>
            <w:r>
              <w:rPr>
                <w:szCs w:val="28"/>
              </w:rPr>
              <w:t>；生态创新轴（常金溧生态创新走廊），打造高品质生态空间和创新空间的集聚轴带。</w:t>
            </w:r>
          </w:p>
        </w:tc>
      </w:tr>
    </w:tbl>
    <w:p>
      <w:pPr>
        <w:rPr>
          <w:rStyle w:val="6"/>
          <w:rFonts w:eastAsia="方正楷体_GBK"/>
        </w:rPr>
      </w:pPr>
      <w:r>
        <w:rPr>
          <w:rFonts w:eastAsia="方正楷体_GBK"/>
        </w:rPr>
        <w:drawing>
          <wp:inline distT="0" distB="0" distL="114300" distR="114300">
            <wp:extent cx="5607050" cy="6899275"/>
            <wp:effectExtent l="0" t="0" r="1270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607050" cy="6899275"/>
                    </a:xfrm>
                    <a:prstGeom prst="rect">
                      <a:avLst/>
                    </a:prstGeom>
                    <a:noFill/>
                    <a:ln>
                      <a:noFill/>
                    </a:ln>
                  </pic:spPr>
                </pic:pic>
              </a:graphicData>
            </a:graphic>
          </wp:inline>
        </w:drawing>
      </w:r>
    </w:p>
    <w:p>
      <w:pPr>
        <w:pStyle w:val="9"/>
        <w:overflowPunct w:val="0"/>
        <w:autoSpaceDE w:val="0"/>
        <w:autoSpaceDN w:val="0"/>
        <w:spacing w:line="500" w:lineRule="exact"/>
        <w:rPr>
          <w:szCs w:val="28"/>
        </w:rPr>
      </w:pPr>
      <w:bookmarkStart w:id="35" w:name="_Hlk81577144"/>
      <w:r>
        <w:rPr>
          <w:rFonts w:hint="eastAsia"/>
          <w:szCs w:val="28"/>
        </w:rPr>
        <w:t>图1  美丽常州“一主一区、一极三轴”全域魅力空间格局图</w:t>
      </w:r>
    </w:p>
    <w:bookmarkEnd w:id="35"/>
    <w:p>
      <w:pPr>
        <w:adjustRightInd w:val="0"/>
        <w:snapToGrid w:val="0"/>
        <w:spacing w:before="240" w:after="240" w:line="570" w:lineRule="exact"/>
        <w:jc w:val="center"/>
        <w:rPr>
          <w:rFonts w:ascii="方正黑体_GBK" w:hAnsi="Times New Roman" w:eastAsia="方正黑体_GBK"/>
          <w:sz w:val="32"/>
          <w:szCs w:val="32"/>
        </w:rPr>
      </w:pPr>
      <w:r>
        <w:br w:type="page"/>
      </w:r>
      <w:bookmarkStart w:id="36" w:name="_Toc81592683"/>
      <w:r>
        <w:rPr>
          <w:rFonts w:ascii="方正黑体_GBK" w:hAnsi="Times New Roman" w:eastAsia="方正黑体_GBK"/>
          <w:sz w:val="32"/>
          <w:szCs w:val="32"/>
        </w:rPr>
        <w:t>第二节  推动区域融合发展露新颜</w:t>
      </w:r>
      <w:bookmarkEnd w:id="3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全面融入长三角高质量一体化发展。加快承接上海、南京现代产业、科技创新、公共服务等优质资源，打造上海和南京都市圈联动发展门户。支持新北与黄浦、武进与杨浦、天宁与临港深化合作。扩大与南京都市圈内城市交流合作，支持金坛与丹阳设立丹金融合发展试验区。全面对接上海张江、安徽合肥国家综合性科学中心建设，积极共建长三角科创圈，与沪宁合等城市联手打造一批科技创新共同体、产业创新平台。完善跨江产业科技合作机制，推动新北区与泰兴市共建常泰跨江融合发展先导区。加强跨江旅游合作，共同开辟沿江精品旅游线路，打造区域旅游品牌，携手打造大江风光带。深入推进苏皖合作示范区建设。（责任单位：市发展改革委、市科技局、市工信局、市生态环境局、市商务局、市文广旅局等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高质量推动长江经济带发展。严格执行长江保护法，持续深入开展长江生态修复和环境保护，开展长江经济带环境智能监测与污染防治关键技术研究，建设长江生态优先绿色发展的特色亮点工程，积极推动国家长江经济带绿色发展示范区建设。全力攻坚破解“化工围江”，积极探索形成“生态大保护、产业大转型、产城大融合”绿色发展新路径，推动常州滨江经济开发区加快建成全国一流高端绿色化工新材料园区，率先形成长江沿岸绿色转型示范典型。推动武进加快建设“苏南模式”转型升级试验区和生态保护引领区，支持溧阳建设长三角生态创新示范城市。推动常州港、空港（奔牛机场）、奔牛港、综合保税区“三港一区”全面融合，推进江港、内河港口码头、铁路专用线、货场等资源整合，加快综合港务区建设，构建面向区域的一体化、高效率、低成本的物流和通关体系，建设江苏自贸区联动创新区。（责任单位：市发展改革委、市科技局、市工信局、市生态环境局、市交通局等按职责分工负责）</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仿宋_GBK"/>
          <w:sz w:val="32"/>
          <w:szCs w:val="32"/>
        </w:rPr>
        <w:t>高水平共建苏锡常都市圈。提升苏南国家自主创新示范区一体化发展水平，推动科学研究设施、产业技术创新平台、科技公共服务平台、创新投资基金平台共建共享，牵头组织实施一批战略性、跨区域、跨领域的重大关键核心技术攻关项目和产业发展项目，推动更多科技创新成果来常转化应用。协同推进太湖湾科创带建设，聚焦智能装备、新材料、生物医药等领域，优化区域产业链布局，加快产业配套合作，共建国家新型工业化产业示范基地、环太湖科技创新圈。推动基础设施互联与公共服务共享，统筹推进跨区域不同等级公路联通、城际轨道交通衔接、异地公交运营，推动常州无锡高架快速路无缝衔接，推进苏锡常南部高速公路、苏锡常城际铁路、南沿江高铁等重点工程建设。（责任单位：市发展改革委、市科技局、市工信局、市交通局等按职责分工负责）</w:t>
      </w:r>
    </w:p>
    <w:p>
      <w:pPr>
        <w:overflowPunct w:val="0"/>
        <w:autoSpaceDE w:val="0"/>
        <w:autoSpaceDN w:val="0"/>
        <w:adjustRightInd w:val="0"/>
        <w:snapToGrid w:val="0"/>
        <w:spacing w:before="240" w:after="240" w:line="550" w:lineRule="exact"/>
        <w:jc w:val="center"/>
        <w:rPr>
          <w:rFonts w:ascii="方正黑体_GBK" w:hAnsi="Times New Roman" w:eastAsia="方正黑体_GBK"/>
          <w:sz w:val="32"/>
          <w:szCs w:val="32"/>
        </w:rPr>
      </w:pPr>
      <w:bookmarkStart w:id="37" w:name="_Toc81592684"/>
      <w:r>
        <w:rPr>
          <w:rFonts w:ascii="方正黑体_GBK" w:hAnsi="Times New Roman" w:eastAsia="方正黑体_GBK"/>
          <w:sz w:val="32"/>
          <w:szCs w:val="32"/>
        </w:rPr>
        <w:t>第三节  塑造区域空间特色新优势</w:t>
      </w:r>
      <w:bookmarkEnd w:id="3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科创＋产业”协同发展的“发动机”。武进、新北放大产业链和创新链的辐射带动作用，向北跨江联动泰州，向南对接环太湖流域，统筹产业转型升级和生态环境保护，形成产创融合与绿色发展“纵贯线”。推动武进拥湖发展，高标准规划建设环滆湖片区，将更多优质公共资源向环滆湖片区倾斜，全力打造“生态滨湖区、现代智造城”的新城市中心。统筹推进中心城区和环滆湖片区建设发展，通过城市格局、城市街区、城市地标的打造，充分彰显武进现代精致、时尚大气的“形态美”。支持新北加快建设高铁新城，聚焦“城市新中心、中轴新支点、产业新高地、智慧生态城”总体定位，构建“两轴三心、南厅北苑”的总体空间布局，促进高端要素资源集聚，加快优质公共服务布局，推动与常州老城区错位分工和双向融合，全力推动“产、创、人、文、旅”功能建设，打造成为常州建设长三角中轴枢纽的主平台。（责任单位：市发展改革委、市科技局、市工信局、市生态环境局、市住建局、市交通局、市商务局、市文广旅局等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生态＋产业”绿色发展的两个“增长极”。溧阳、金坛突出产业分工合作和生态优势价值，依托宁杭生态经济带，参与共建生态保护优先、产业集聚发展的经济走廊，开创跨界城乡融合与绿色发展新路径。推动溧阳打造“人城境业”和谐统一、人与自然和谐共生的公园城市。放大国家全域旅游示范区优势，实现生产生活生态共融、“全景全时全龄”共享。培育壮大新能源汽车、智能电网、智能装备等产业集群，加快建设“电动溧阳”。加快融入上海大都市圈、南京都市圈，深化苏皖合作示范区建设，携手“一地六县”共同打造长三角产业合作区。推进金坛与主城区“五个接轨”，东部重点发展中德（常州）创新产业园和中德绿色生态城，加快推进金坛经开区创建国家级开发区，南部与西太湖联袂发展，建设常州西部新城区。加快开发建设滨湖新城，有序改造更新金沙老城。精心打造茅山、长荡湖两大旅游度假区，争创国家级全域旅游示范区。系统推进生态修复和建设，创造良好的花园城市、田园城市环境。积极参与沪宁产业创新走廊、南沿江发展走廊建设，打造创新创业创造的增长极。（责任单位：市发展改革委、市科技局、市工信局、市生态环境局、市住建局、市交通局、市商务局、市文广旅局等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主城区“服务＋产业”精明增长的三个“承载地”。天宁、钟楼、常州经开区加快东扩西进以及东大门建设步伐，加快构建京杭大运河文化廊道、生态廊道、旅游廊道。充分挖掘主城区深厚历史文化底蕴和丰富旅游资源，实施老旧小区全覆盖改造工程，构建“老运河—关河水上环线”“青果巷—西瀛里历史文脉轴”“文化宫—南大街核心商圈轴”“天宁寺—江南商场延陵景观轴”为核心的老城厢新格局，全面焕新“风貌街巷”，建设彰显千年运河繁华盛景的文化景观长廊，积极争创国家5A级景区，打造成为常州“第一商圈”“城市会客厅”和城市文旅新地标。加快推进常州经开区高质量创建国家级经济技术开发区，加快3平方公里中央商务区、10平方公里特色功能区建设，实施高层次开发开放和高标准生态建设，建设先进制造业集聚区、产城融合样板区、生态宜居示范区、改革创新引领区，全力打造常州东部综合功能核心和高能级产业平台。（责任单位：市发展改革委、市科技局、市工信局、市生态环境局、市住建局、市交通局、市商务局、市文广旅局等按职责分工负责）</w:t>
      </w:r>
    </w:p>
    <w:p>
      <w:pPr>
        <w:ind w:firstLine="640"/>
      </w:pP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814" w:type="dxa"/>
            <w:noWrap w:val="0"/>
            <w:vAlign w:val="center"/>
          </w:tcPr>
          <w:p>
            <w:pPr>
              <w:pStyle w:val="9"/>
              <w:overflowPunct w:val="0"/>
              <w:autoSpaceDE w:val="0"/>
              <w:autoSpaceDN w:val="0"/>
              <w:spacing w:line="500" w:lineRule="exact"/>
            </w:pPr>
            <w:r>
              <w:t>专栏2  各辖市、区特色功能定位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14" w:type="dxa"/>
            <w:noWrap w:val="0"/>
            <w:vAlign w:val="center"/>
          </w:tcPr>
          <w:p>
            <w:pPr>
              <w:pStyle w:val="11"/>
              <w:overflowPunct w:val="0"/>
              <w:autoSpaceDE w:val="0"/>
              <w:autoSpaceDN w:val="0"/>
              <w:spacing w:line="500" w:lineRule="exact"/>
              <w:ind w:firstLine="0" w:firstLineChars="0"/>
              <w:jc w:val="center"/>
              <w:rPr>
                <w:rFonts w:eastAsia="方正仿宋_GBK"/>
              </w:rPr>
            </w:pPr>
            <w:r>
              <w:rPr>
                <w:rFonts w:eastAsia="方正仿宋_GBK"/>
              </w:rPr>
              <w:t>溧阳市：三省通衢的生态枢纽，钟灵毓秀的公园城市</w:t>
            </w:r>
          </w:p>
          <w:p>
            <w:pPr>
              <w:pStyle w:val="11"/>
              <w:overflowPunct w:val="0"/>
              <w:autoSpaceDE w:val="0"/>
              <w:autoSpaceDN w:val="0"/>
              <w:spacing w:line="500" w:lineRule="exact"/>
              <w:ind w:firstLine="0" w:firstLineChars="0"/>
              <w:jc w:val="center"/>
              <w:rPr>
                <w:rFonts w:eastAsia="方正仿宋_GBK"/>
              </w:rPr>
            </w:pPr>
            <w:r>
              <w:rPr>
                <w:rFonts w:eastAsia="方正仿宋_GBK"/>
              </w:rPr>
              <w:t>金坛区：物阜民丰的西部新城，仁山乐水的江东福地</w:t>
            </w:r>
          </w:p>
          <w:p>
            <w:pPr>
              <w:pStyle w:val="11"/>
              <w:overflowPunct w:val="0"/>
              <w:autoSpaceDE w:val="0"/>
              <w:autoSpaceDN w:val="0"/>
              <w:spacing w:line="500" w:lineRule="exact"/>
              <w:ind w:firstLine="0" w:firstLineChars="0"/>
              <w:jc w:val="center"/>
              <w:rPr>
                <w:rFonts w:eastAsia="方正仿宋_GBK"/>
              </w:rPr>
            </w:pPr>
            <w:r>
              <w:rPr>
                <w:rFonts w:eastAsia="方正仿宋_GBK"/>
              </w:rPr>
              <w:t>武进区：科教兴盛的智造引擎，拥湖叠翠的生态宝地</w:t>
            </w:r>
          </w:p>
          <w:p>
            <w:pPr>
              <w:pStyle w:val="11"/>
              <w:overflowPunct w:val="0"/>
              <w:autoSpaceDE w:val="0"/>
              <w:autoSpaceDN w:val="0"/>
              <w:spacing w:line="500" w:lineRule="exact"/>
              <w:ind w:firstLine="0" w:firstLineChars="0"/>
              <w:jc w:val="center"/>
              <w:rPr>
                <w:rFonts w:eastAsia="方正仿宋_GBK"/>
              </w:rPr>
            </w:pPr>
            <w:r>
              <w:rPr>
                <w:rFonts w:eastAsia="方正仿宋_GBK"/>
              </w:rPr>
              <w:t>新北区：产业兴旺的创智高地，绿带萦绕的滨江新城</w:t>
            </w:r>
          </w:p>
          <w:p>
            <w:pPr>
              <w:pStyle w:val="11"/>
              <w:overflowPunct w:val="0"/>
              <w:autoSpaceDE w:val="0"/>
              <w:autoSpaceDN w:val="0"/>
              <w:spacing w:line="500" w:lineRule="exact"/>
              <w:ind w:firstLine="0" w:firstLineChars="0"/>
              <w:jc w:val="center"/>
              <w:rPr>
                <w:rFonts w:eastAsia="方正仿宋_GBK"/>
              </w:rPr>
            </w:pPr>
            <w:r>
              <w:rPr>
                <w:rFonts w:eastAsia="方正仿宋_GBK"/>
              </w:rPr>
              <w:t>天宁区：跃升蝶变的生活秀带，活力彰显的锦绣天宁</w:t>
            </w:r>
          </w:p>
          <w:p>
            <w:pPr>
              <w:pStyle w:val="11"/>
              <w:overflowPunct w:val="0"/>
              <w:autoSpaceDE w:val="0"/>
              <w:autoSpaceDN w:val="0"/>
              <w:spacing w:line="500" w:lineRule="exact"/>
              <w:ind w:firstLine="0" w:firstLineChars="0"/>
              <w:jc w:val="center"/>
              <w:rPr>
                <w:rFonts w:eastAsia="方正仿宋_GBK"/>
              </w:rPr>
            </w:pPr>
            <w:r>
              <w:rPr>
                <w:rFonts w:eastAsia="方正仿宋_GBK"/>
              </w:rPr>
              <w:t>钟楼区：人杰地灵的河滨绿地，西进融通的低碳新城</w:t>
            </w:r>
          </w:p>
          <w:p>
            <w:pPr>
              <w:pStyle w:val="11"/>
              <w:overflowPunct w:val="0"/>
              <w:autoSpaceDE w:val="0"/>
              <w:autoSpaceDN w:val="0"/>
              <w:spacing w:line="500" w:lineRule="exact"/>
              <w:ind w:firstLine="0" w:firstLineChars="0"/>
              <w:jc w:val="center"/>
              <w:rPr>
                <w:rFonts w:eastAsia="方正仿宋_GBK"/>
              </w:rPr>
            </w:pPr>
            <w:r>
              <w:rPr>
                <w:rFonts w:eastAsia="方正仿宋_GBK"/>
              </w:rPr>
              <w:t>经开区：近代工业的发端摇篮，转型升级的东部门户</w:t>
            </w:r>
          </w:p>
        </w:tc>
      </w:tr>
    </w:tbl>
    <w:p>
      <w:pPr>
        <w:widowControl/>
        <w:adjustRightInd w:val="0"/>
        <w:snapToGrid w:val="0"/>
        <w:spacing w:line="570" w:lineRule="exact"/>
        <w:jc w:val="center"/>
        <w:rPr>
          <w:rFonts w:hint="eastAsia" w:ascii="方正小标宋_GBK" w:eastAsia="方正小标宋_GBK"/>
          <w:sz w:val="44"/>
          <w:szCs w:val="44"/>
        </w:rPr>
      </w:pPr>
      <w: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bookmarkStart w:id="38" w:name="_Toc81592685"/>
      <w:r>
        <w:rPr>
          <w:rFonts w:hint="eastAsia" w:ascii="方正小标宋_GBK" w:hAnsi="Times New Roman" w:eastAsia="方正小标宋_GBK"/>
          <w:sz w:val="44"/>
          <w:szCs w:val="44"/>
        </w:rPr>
        <w:t>第四章  绘就锦绣绿城满目青翠，绽放江山</w:t>
      </w:r>
    </w:p>
    <w:p>
      <w:pPr>
        <w:overflowPunct w:val="0"/>
        <w:autoSpaceDE w:val="0"/>
        <w:autoSpaceDN w:val="0"/>
        <w:adjustRightInd w:val="0"/>
        <w:snapToGrid w:val="0"/>
        <w:spacing w:before="12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如画的自然生态之美</w:t>
      </w:r>
      <w:bookmarkEnd w:id="38"/>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秉持“绿水青山就是金山银山”理念，切实把生态文明建设放在更加突出的战略位置，加强生态保护、整治和建设，建设沿江沿河生态景观带，营造天更蓝、水更清、地更绿、空气更清新、环境更优越的良好人居环境，加快建设长三角生态中轴，打造人与自然和谐共生的现代化美丽常州。</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39" w:name="_Toc81592686"/>
      <w:r>
        <w:rPr>
          <w:rFonts w:ascii="方正黑体_GBK" w:hAnsi="Times New Roman" w:eastAsia="方正黑体_GBK"/>
          <w:sz w:val="32"/>
          <w:szCs w:val="32"/>
        </w:rPr>
        <w:t>第一节  彰显城市山水独特魅力</w:t>
      </w:r>
      <w:bookmarkEnd w:id="3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营造江南水乡诗意格局。坚持沿江沿河沿湖沿山“四沿”联动，着力优化完善区域空间治理，构建“一江三湖，五山五廊”的美丽常州市域生态空间结构，落实耕地保护制度和“三线一单”生态环境分区管控体系。持续推进常州生态绿城提升计划，充分彰显区域生态环境特色，结合区域地理特征，打造生态亮点工程，开展以“生态创新”为特质的社会主义现代化建设试点和“两山”理念实践创新基地建设。（责任单位：市自然资源和规划局、市生态环境局、市水利局、市农业农村局）</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834" w:type="dxa"/>
            <w:noWrap w:val="0"/>
            <w:vAlign w:val="center"/>
          </w:tcPr>
          <w:p>
            <w:pPr>
              <w:pStyle w:val="9"/>
              <w:overflowPunct w:val="0"/>
              <w:autoSpaceDE w:val="0"/>
              <w:autoSpaceDN w:val="0"/>
              <w:spacing w:line="500" w:lineRule="exact"/>
              <w:rPr>
                <w:szCs w:val="28"/>
              </w:rPr>
            </w:pPr>
            <w:r>
              <w:rPr>
                <w:szCs w:val="28"/>
              </w:rPr>
              <w:t>专栏3  “一江三湖，五山五廊”市域生态空间结构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center"/>
          </w:tcPr>
          <w:p>
            <w:pPr>
              <w:pStyle w:val="10"/>
              <w:overflowPunct w:val="0"/>
              <w:autoSpaceDE w:val="0"/>
              <w:autoSpaceDN w:val="0"/>
              <w:spacing w:line="500" w:lineRule="exact"/>
              <w:ind w:firstLine="560"/>
              <w:rPr>
                <w:szCs w:val="28"/>
              </w:rPr>
            </w:pPr>
            <w:r>
              <w:rPr>
                <w:rFonts w:eastAsia="方正楷体_GBK"/>
                <w:szCs w:val="28"/>
              </w:rPr>
              <w:t>“一江”：</w:t>
            </w:r>
            <w:r>
              <w:rPr>
                <w:szCs w:val="28"/>
              </w:rPr>
              <w:t>沿江生态涵养带。</w:t>
            </w:r>
          </w:p>
          <w:p>
            <w:pPr>
              <w:pStyle w:val="10"/>
              <w:overflowPunct w:val="0"/>
              <w:autoSpaceDE w:val="0"/>
              <w:autoSpaceDN w:val="0"/>
              <w:spacing w:line="500" w:lineRule="exact"/>
              <w:ind w:firstLine="560"/>
              <w:rPr>
                <w:szCs w:val="28"/>
              </w:rPr>
            </w:pPr>
            <w:r>
              <w:rPr>
                <w:rFonts w:eastAsia="方正楷体_GBK"/>
                <w:szCs w:val="28"/>
              </w:rPr>
              <w:t>“三湖”：</w:t>
            </w:r>
            <w:r>
              <w:rPr>
                <w:szCs w:val="28"/>
              </w:rPr>
              <w:t>联系长荡湖-滆湖-太湖的重要生态带。</w:t>
            </w:r>
          </w:p>
          <w:p>
            <w:pPr>
              <w:pStyle w:val="10"/>
              <w:overflowPunct w:val="0"/>
              <w:autoSpaceDE w:val="0"/>
              <w:autoSpaceDN w:val="0"/>
              <w:spacing w:line="500" w:lineRule="exact"/>
              <w:ind w:firstLine="560"/>
              <w:rPr>
                <w:b/>
                <w:szCs w:val="28"/>
              </w:rPr>
            </w:pPr>
            <w:r>
              <w:rPr>
                <w:rFonts w:eastAsia="方正楷体_GBK"/>
                <w:szCs w:val="28"/>
              </w:rPr>
              <w:t>“五山”：</w:t>
            </w:r>
            <w:r>
              <w:rPr>
                <w:szCs w:val="28"/>
              </w:rPr>
              <w:t>茅山、南山、竺山、横山、小黄山等五个方位镶嵌在太湖丘陵生态绿心的山体。</w:t>
            </w:r>
          </w:p>
          <w:p>
            <w:pPr>
              <w:pStyle w:val="10"/>
              <w:overflowPunct w:val="0"/>
              <w:autoSpaceDE w:val="0"/>
              <w:autoSpaceDN w:val="0"/>
              <w:spacing w:line="500" w:lineRule="exact"/>
              <w:ind w:firstLine="560"/>
              <w:rPr>
                <w:szCs w:val="28"/>
              </w:rPr>
            </w:pPr>
            <w:r>
              <w:rPr>
                <w:rFonts w:eastAsia="方正楷体_GBK"/>
                <w:szCs w:val="28"/>
              </w:rPr>
              <w:t>“五廊”：</w:t>
            </w:r>
            <w:r>
              <w:rPr>
                <w:szCs w:val="28"/>
              </w:rPr>
              <w:t>京杭大运河生态文化廊道、东部生态山水廊道、中部生态屏障廊道、西部生态游憩廊道、</w:t>
            </w:r>
            <w:r>
              <w:rPr>
                <w:bCs/>
                <w:szCs w:val="28"/>
              </w:rPr>
              <w:t>南部生态经济廊道</w:t>
            </w:r>
            <w:r>
              <w:rPr>
                <w:szCs w:val="28"/>
              </w:rPr>
              <w:t>。</w:t>
            </w:r>
          </w:p>
        </w:tc>
      </w:tr>
    </w:tbl>
    <w:p>
      <w:pPr>
        <w:ind w:firstLine="643"/>
        <w:rPr>
          <w:rStyle w:val="6"/>
          <w:rFonts w:eastAsia="方正楷体_GBK"/>
          <w:b/>
          <w:bCs/>
        </w:rPr>
      </w:pPr>
    </w:p>
    <w:p>
      <w:pPr>
        <w:jc w:val="center"/>
        <w:rPr>
          <w:rStyle w:val="6"/>
          <w:rFonts w:eastAsia="方正楷体_GBK"/>
          <w:b/>
          <w:bCs/>
        </w:rPr>
      </w:pPr>
      <w:r>
        <w:rPr>
          <w:rStyle w:val="6"/>
          <w:rFonts w:eastAsia="方正楷体_GBK"/>
          <w:b/>
        </w:rPr>
        <w:drawing>
          <wp:inline distT="0" distB="0" distL="114300" distR="114300">
            <wp:extent cx="5641340" cy="5946140"/>
            <wp:effectExtent l="0" t="0" r="16510"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rcRect l="916"/>
                    <a:stretch>
                      <a:fillRect/>
                    </a:stretch>
                  </pic:blipFill>
                  <pic:spPr>
                    <a:xfrm>
                      <a:off x="0" y="0"/>
                      <a:ext cx="5641340" cy="5946140"/>
                    </a:xfrm>
                    <a:prstGeom prst="rect">
                      <a:avLst/>
                    </a:prstGeom>
                    <a:noFill/>
                    <a:ln>
                      <a:noFill/>
                    </a:ln>
                  </pic:spPr>
                </pic:pic>
              </a:graphicData>
            </a:graphic>
          </wp:inline>
        </w:drawing>
      </w:r>
    </w:p>
    <w:p>
      <w:pPr>
        <w:pStyle w:val="9"/>
        <w:overflowPunct w:val="0"/>
        <w:autoSpaceDE w:val="0"/>
        <w:autoSpaceDN w:val="0"/>
        <w:spacing w:line="500" w:lineRule="exact"/>
        <w:rPr>
          <w:szCs w:val="28"/>
        </w:rPr>
      </w:pPr>
      <w:r>
        <w:rPr>
          <w:rFonts w:hint="eastAsia"/>
          <w:szCs w:val="28"/>
        </w:rPr>
        <w:t>图</w:t>
      </w:r>
      <w:r>
        <w:rPr>
          <w:szCs w:val="28"/>
        </w:rPr>
        <w:t>2</w:t>
      </w:r>
      <w:r>
        <w:rPr>
          <w:rFonts w:hint="eastAsia"/>
          <w:szCs w:val="28"/>
        </w:rPr>
        <w:t xml:space="preserve">  美丽常州全域生态空间结构图</w:t>
      </w:r>
    </w:p>
    <w:p>
      <w:pPr>
        <w:ind w:firstLine="640"/>
        <w:rPr>
          <w:rStyle w:val="6"/>
          <w:rFonts w:eastAsia="方正楷体_GBK"/>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描绘水清岸绿沿江画卷。统筹推进长江沿岸生态一体化保护、系统修复和综合治理，深入开展“停、转、拆、绿、提”五大行动，扎实推进生态环境污染治理“4+1”工程，建设长江生态廊道，形成水清、岸绿、景美的滨江景观风貌。有序推进生产岸线优化整合、生活岸线保护提升以及生态岸线拓展修复，打造沿江绿色生态廊道，构筑长江绿色屏障，实施长江岸线和洲岛岸线开发总量控制，加强江滩湿地资源保护和生态环境敏感区隔离缓冲林带建设，建设“江边森林”“滨水生态景观长廊”和湿地中水生态净化系统工程，完善亲水功能，打造最美长江岸线。（责任单位：市自然资源和规划局、市发展改革委、市工信局、市生态环境局、市住建局、市城管局、市交通局、市水利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展现诗意生动沿河风光。以“河为线，城为珠，线串珠，珠带面”理念为指引，加强对大运河及次级运河沿岸自然保护区、风景名胜区、森林公园、湿地公园、饮用水水源保护区等重要生态空间的保护，提高生态产品供给能力，重现杨柳夹岸、野旷天低的诗情画意。构建现代水文站网体系，实现大运河文化带沿线水文站网全覆盖、水文要素全线监测。强化大运河及次级运河水系洪水风险管理，全面提升运河沿线防洪能力，保障运河沿线生产生活安全。以大运河为常州的生命源、生命线，统筹大运河文化带常州段岸线资源，加强岸线保护与集约利用，重现承载历史底蕴、灿烂文化的“母亲河”光辉。（责任单位：市自然资源和规划局、市发展改革委、市生态环境局、市水利局、市文广旅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筑绿色活力沿湖空间。发挥沿湖生态价值高和生态竞争优势，协同推动太湖流域共建世界级生态创新湖区。强化太湖全流域系统综合治理，着力削减内外源污染，全面实施流域生态扩容，加快重构太湖健康生态系统。推动太湖、滆湖和长荡湖水生态涵养区加强水体和滨湖湿地保护，稳步推进退圩还湖，提高水源涵养功能。选择滆湖、天目湖、长荡湖等敏感水体周边开展以生态净化型、生态涵养型为主的生态安全缓冲区试点建设。合理控制国土开发强度，打造高品质宜居环境，拓展生态文化休闲旅游新空间，推动湖区周边江南古镇、文旅小镇、美丽宜居村庄的特色发展，创新环湖沿山地区的生态城镇化新路径，再现烟雨江南的诗意画卷。（责任单位：市自然资源和规划局、市发展改革委、市科技局、市生态环境局、市住建局、市水利局、市农业农村局、市文广旅局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40" w:name="_Toc81592687"/>
      <w:r>
        <w:rPr>
          <w:rFonts w:ascii="方正黑体_GBK" w:hAnsi="Times New Roman" w:eastAsia="方正黑体_GBK"/>
          <w:sz w:val="32"/>
          <w:szCs w:val="32"/>
        </w:rPr>
        <w:t>第二节  提升生态环境发展质量</w:t>
      </w:r>
      <w:bookmarkEnd w:id="40"/>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维持清新怡人的空气质量。联动治理温室气体与大气污染，突出PM2.5和臭氧协同控制，严格落实“双控双减”，全面执行大气污染物特别排放限值，持续增强群众的“蓝天幸福感”。系统推进VOCs、生物质锅炉、工业炉窑等综合整治，实施重点行业超低排放改造工程，推进工业污染源全面达标排放。加速产业结构调整步伐，推进重点行业转型升级，进一步淘汰落后产能。着力调整能源结构，完善清洁低碳能源体系，严控煤炭消费总量，加快发展清洁能源和新能源。优化调整运输结构，加快车船结构升级，加强机动车尾气排放精细化管理，强化油品储运销管理，深化非道路移动源污染防治。提升大气污染源监测监控能力、精细化管理能力、科技支撑能力，推进多污染物协调控制和区域协调治理。到2025年，空气质量优良天数比例达82%以上；到2035年，全面消除重污染天气。（责任单位：市生态环境局、市发展改革委、市工信局、市住建局、市交通局、市商务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重现碧水清流的水体生态。完善重点流域准入负面清单，持续实施长江（太湖）入河排污口排查整治专项行动，确保入江断面、入太河道水质稳定达标。深入实施河湖长制，建立河湖空间管控网络体系，推进河湖网格化、段格化管理，开展城市末梢治理，到2025年基本消除建成区劣V类河道，国考断面Ⅲ类水质比例提高到80%。实施长江、滆湖、长荡湖、天目湖等水源地保护工程，开展分流域精细化管理，推进溧阳市长荡湖应急备用水源地建设。突出水体治理修复，增强水资源供给保障，实施大运河、新孟河、丹金溧漕河、武进港、武宜运河等重点河流环境的综合整治。推动城镇污水处理提质增效，编制城镇污水处理专项规划，完成省级污水处理提质增效示范城市建设任务，市区及溧阳市建成区基本消除污水直排口，消除污水收集管网覆盖空白区。巩固市域城乡黑臭水体整治成效，实现建成区及农村黑臭水体跟踪治理和长效管护。（责任单位：市生态环境局、市住建局、市水利局、市农业农村局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防治城乡潜在的土壤污染。在国家重点行业企业用地调查基础上，深入开展土壤污染状况调查和风险评估，强化成果应用。在农用地土壤污染典型区域开展加密调查和溯源分析，严格管控类耕地监管。组织开展土壤污染重点监管单位周边敏感区域及目标的土壤、地下水监测。2022年底前，完成省级及以上化工园区地下水环境状况调查评估。防范新增土壤污染，动态更新土壤污染重点监管单位名录，强化土壤污染重点监管单位土壤污染防治责任义务落实，到2025年底，对重点监管单位开展土壤和地下水污染隐患排查，在排污许可证载明土壤污染防治义务。加快化工园区土壤和地下水环境监控预警体系建设，构建土壤和地下水一体化监测预警网络。（责任单位：市生态环境局、市发展改革委、市工信局、市自然资源和规划局、市住建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1" w:name="_Hlk74732057"/>
      <w:r>
        <w:rPr>
          <w:rFonts w:ascii="Times New Roman" w:hAnsi="Times New Roman" w:eastAsia="方正仿宋_GBK"/>
          <w:sz w:val="32"/>
          <w:szCs w:val="32"/>
        </w:rPr>
        <w:t>打造循环无废的绿色空间。推进“无废城市”建设，加强垃圾分类处置及资源化利用，提高可回收物回收利用水平。加强工业污染防治，提高固体废物综合利用能力，到2025年，一般工业固废综合利用率达到95%以上。深入开展养殖业和种植业污染防治，加强绿化废弃物、农业废弃物回收处置利用和秸秆禁烧，到2025年，农作物秸秆综合利用率和农作物种收综合机械化率均稳定达到96%以上，废旧农膜基本实现全回收，农药包装废弃物回收处置率达90%以上，绿化废弃物利用处置率达90%以上。提升危险废物及医疗废物收集处置与利用能力，健全市区医疗废弃物收集转运处置体系，到2025年，实现危险废物处置能力与需求完全匹配，培育一批危险废物利用处置龙头企业。（责任单位：市生态环境局、市发展改革委、市住建局、市城管局、市农业农村局、市卫健委按职责分工负责）</w:t>
      </w:r>
      <w:bookmarkEnd w:id="41"/>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42" w:name="_Toc81592688"/>
      <w:r>
        <w:rPr>
          <w:rFonts w:ascii="方正黑体_GBK" w:hAnsi="Times New Roman" w:eastAsia="方正黑体_GBK"/>
          <w:sz w:val="32"/>
          <w:szCs w:val="32"/>
        </w:rPr>
        <w:t>第三节  构筑生态发展绿色屏障</w:t>
      </w:r>
      <w:bookmarkEnd w:id="4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建和谐生态空间。以生态保护红线、自然保护地等为重点，统筹山水林田湖草系统治理，支持开展国土空间全域综合整治试点，积极推进金坛山水林田湖草生态修复工程。加强江河湖泊等湿地修复，有序实施黄天荡、溧阳天目湖上游等湿地修复治理工程，完善湿地生态功能，到2025年，全市自然湿地保护率达60%。推进废弃宕口和矿山实现“由棕转绿”。强化生态空间管控区域保护，打造人类生产活动空间与自然生态空间相结合的生态安全缓冲区，探索建设自然生态修举试验区，推动生态、生活和生产功能有机融合。（责任单位：市自然资源和规划局、市生态环境局、市水利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生物多样性保护。夯实生物多样性保护基础，开展生物多样性调查观测和科学研究，持续完善生物多样性本底数据库。严格执行长江十年禁渔令，着力实施护鱼休养生息，开展增殖放流和栖息地修复行动，恢复提升太湖、滆湖、长荡湖等重点湖泊上游入湖河口、长江、京杭运河等沿线及重要支流汇水区等生态系统，打造长江水生生物洄游通道和栖息地。实施珍稀濒危物种拯救行动，加强茅山、天目山等地原生森林生态系统维护，保护珍稀动植物栖息地。加强野生动物疫源疫病监测防控，防治各类外来有害物种入侵。开展农田生物多样性监测和研究工作，基本建立农业生物多样本底，识别重要农业生物多样性地区。（责任单位：市生态环境局、市自然资源和规划局、市水利局、市农业农村局按职责分工负责）</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ascii="Times New Roman" w:hAnsi="Times New Roman" w:eastAsia="方正仿宋_GBK"/>
          <w:sz w:val="32"/>
          <w:szCs w:val="32"/>
        </w:rPr>
        <w:t>厚植国土绿化底色。充分挖掘长江沿岸、宜林荒山荒地、滩涂、未利用地等宜林地块，实施造林绿化，规范开展绿色通道等林网建设，有效推进森林资源总量稳步增长，打造长三角生态中轴上特色鲜明的生态廊道和生态绿肺。坚持绿化与珍贵化、彩色化、效益化相结合，优先选择珍贵彩色乡土树种，注重营造混交林，不断提高造林绿化质量。到2025年，全市新增完成成片造林6000亩，林木覆盖率达26.7%。持续推进国家生态园林城市建设，大力推进公园绿地（小游园）、沿线道路绿化、立体绿化、绿色资源保护等六大工程。大力开展城市公园绿地品质提升建设，实施城市生态修复和功能修补，见缝插绿，留白增绿，到2025年，城市建成区绿化覆盖率达到42%。（责任单位：市自然资源和规划局、市生态环境局、市住建局、市城管局按职责分工负责）</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p>
    <w:p>
      <w:pPr>
        <w:overflowPunct w:val="0"/>
        <w:autoSpaceDE w:val="0"/>
        <w:autoSpaceDN w:val="0"/>
        <w:adjustRightInd w:val="0"/>
        <w:snapToGrid w:val="0"/>
        <w:spacing w:line="20" w:lineRule="exact"/>
        <w:ind w:firstLine="641"/>
        <w:rPr>
          <w:rFonts w:ascii="Times New Roman" w:hAnsi="Times New Roman" w:eastAsia="方正仿宋_GBK"/>
          <w:sz w:val="32"/>
          <w:szCs w:val="32"/>
        </w:rPr>
      </w:pPr>
      <w:r>
        <w:rPr>
          <w:rFonts w:ascii="Times New Roman" w:hAnsi="Times New Roman" w:eastAsia="方正仿宋_GBK"/>
          <w:sz w:val="32"/>
          <w:szCs w:val="32"/>
        </w:rPr>
        <w:br w:type="page"/>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14" w:type="dxa"/>
            <w:noWrap w:val="0"/>
            <w:vAlign w:val="center"/>
          </w:tcPr>
          <w:p>
            <w:pPr>
              <w:pStyle w:val="12"/>
              <w:overflowPunct w:val="0"/>
              <w:autoSpaceDE w:val="0"/>
              <w:autoSpaceDN w:val="0"/>
              <w:spacing w:line="500" w:lineRule="exact"/>
              <w:rPr>
                <w:szCs w:val="28"/>
              </w:rPr>
            </w:pPr>
            <w:r>
              <w:rPr>
                <w:szCs w:val="28"/>
              </w:rPr>
              <w:t>专栏4  自然生态之美重点建设工程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14" w:type="dxa"/>
            <w:noWrap w:val="0"/>
            <w:vAlign w:val="center"/>
          </w:tcPr>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1.</w:t>
            </w:r>
            <w:r>
              <w:rPr>
                <w:rFonts w:hint="eastAsia"/>
                <w:sz w:val="28"/>
                <w:szCs w:val="28"/>
              </w:rPr>
              <w:t xml:space="preserve"> </w:t>
            </w:r>
            <w:r>
              <w:rPr>
                <w:sz w:val="28"/>
                <w:szCs w:val="28"/>
              </w:rPr>
              <w:t>打造长三角生态中轴。</w:t>
            </w:r>
            <w:r>
              <w:rPr>
                <w:rFonts w:eastAsia="方正仿宋_GBK"/>
                <w:sz w:val="28"/>
                <w:szCs w:val="28"/>
              </w:rPr>
              <w:t>加快新北区企业腾退、环境保护、生态岸线修复，打造沿江生态修复特色示范段；实施常泰高铁生态走廊建设项目，推进沿线景观建设；依托茅山、长荡湖、滆湖、太湖、新孟河清水廊道等重点生态建设项目，构建“一山三湖一河”生态走廊。</w:t>
            </w:r>
          </w:p>
          <w:p>
            <w:pPr>
              <w:pStyle w:val="13"/>
              <w:overflowPunct w:val="0"/>
              <w:autoSpaceDE w:val="0"/>
              <w:autoSpaceDN w:val="0"/>
              <w:adjustRightInd w:val="0"/>
              <w:snapToGrid w:val="0"/>
              <w:spacing w:line="500" w:lineRule="exact"/>
              <w:ind w:firstLine="560"/>
              <w:rPr>
                <w:rFonts w:eastAsia="方正仿宋_GBK"/>
                <w:b/>
                <w:sz w:val="28"/>
                <w:szCs w:val="28"/>
              </w:rPr>
            </w:pPr>
            <w:r>
              <w:rPr>
                <w:sz w:val="28"/>
                <w:szCs w:val="28"/>
              </w:rPr>
              <w:t>2.</w:t>
            </w:r>
            <w:r>
              <w:rPr>
                <w:rFonts w:hint="eastAsia"/>
                <w:sz w:val="28"/>
                <w:szCs w:val="28"/>
              </w:rPr>
              <w:t xml:space="preserve"> </w:t>
            </w:r>
            <w:r>
              <w:rPr>
                <w:sz w:val="28"/>
                <w:szCs w:val="28"/>
              </w:rPr>
              <w:t>打赢污染防治攻坚战。</w:t>
            </w:r>
            <w:r>
              <w:rPr>
                <w:rFonts w:eastAsia="方正仿宋_GBK"/>
                <w:sz w:val="28"/>
                <w:szCs w:val="28"/>
              </w:rPr>
              <w:t>多措并举提升空气质量，提升大气污染源监测监控能力、精细化管理能力、科技支撑能力，推进多污染物协调控制和区域协调治理；统筹改善水环境质量，推进入江水环境整体提升，开展水污染治理、水生态修复、水资源保护“三水共治”；加强土壤污染防治，深入开展土壤污染状况调查和风险评估，并强化成果应用；积极推进“无废城市”打造。</w:t>
            </w:r>
          </w:p>
          <w:p>
            <w:pPr>
              <w:pStyle w:val="13"/>
              <w:overflowPunct w:val="0"/>
              <w:autoSpaceDE w:val="0"/>
              <w:autoSpaceDN w:val="0"/>
              <w:adjustRightInd w:val="0"/>
              <w:snapToGrid w:val="0"/>
              <w:spacing w:line="500" w:lineRule="exact"/>
              <w:ind w:firstLine="560"/>
              <w:rPr>
                <w:rFonts w:eastAsia="方正仿宋_GBK"/>
                <w:b/>
                <w:sz w:val="28"/>
                <w:szCs w:val="28"/>
              </w:rPr>
            </w:pPr>
            <w:r>
              <w:rPr>
                <w:sz w:val="28"/>
                <w:szCs w:val="28"/>
              </w:rPr>
              <w:t>3. 推进生态绿城建设。</w:t>
            </w:r>
            <w:r>
              <w:rPr>
                <w:rFonts w:eastAsia="方正仿宋_GBK"/>
                <w:sz w:val="28"/>
                <w:szCs w:val="28"/>
              </w:rPr>
              <w:t>溧阳市全面建设“两山”实践创新基地；金坛区持续深化山水林田湖草生态保护和修复试点建设，打造综合治理样板区；武进区围绕“生态滨湖区”总目标，打造生态保护引领区；新北区以长江大保护为抓手，加快形成“三横三纵”生态格局，建设长江经济带绿色发展示范区；主城区（天宁区、钟楼区、常州经开区）优化提升已建大运河生态廊道工程，建设滨河绿色生态带。</w:t>
            </w:r>
          </w:p>
        </w:tc>
      </w:tr>
    </w:tbl>
    <w:p>
      <w:pPr>
        <w:widowControl/>
        <w:adjustRightInd w:val="0"/>
        <w:snapToGrid w:val="0"/>
        <w:spacing w:line="570" w:lineRule="exact"/>
        <w:jc w:val="center"/>
        <w:rPr>
          <w:rFonts w:hint="eastAsia" w:ascii="方正小标宋_GBK" w:eastAsia="方正小标宋_GBK"/>
          <w:sz w:val="44"/>
          <w:szCs w:val="44"/>
        </w:rPr>
      </w:pPr>
      <w: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bookmarkStart w:id="43" w:name="_Hlk82532304"/>
      <w:bookmarkStart w:id="44" w:name="_Toc81592689"/>
      <w:r>
        <w:rPr>
          <w:rFonts w:hint="eastAsia" w:ascii="方正小标宋_GBK" w:hAnsi="Times New Roman" w:eastAsia="方正小标宋_GBK"/>
          <w:sz w:val="44"/>
          <w:szCs w:val="44"/>
        </w:rPr>
        <w:t>第五章</w:t>
      </w:r>
      <w:bookmarkEnd w:id="43"/>
      <w:r>
        <w:rPr>
          <w:rFonts w:hint="eastAsia" w:ascii="方正小标宋_GBK" w:hAnsi="Times New Roman" w:eastAsia="方正小标宋_GBK"/>
          <w:sz w:val="44"/>
          <w:szCs w:val="44"/>
        </w:rPr>
        <w:t xml:space="preserve">  深入践行“两山”发展理念，</w:t>
      </w:r>
      <w:bookmarkStart w:id="45" w:name="_Hlk82532310"/>
      <w:r>
        <w:rPr>
          <w:rFonts w:hint="eastAsia" w:ascii="方正小标宋_GBK" w:hAnsi="Times New Roman" w:eastAsia="方正小标宋_GBK"/>
          <w:sz w:val="44"/>
          <w:szCs w:val="44"/>
        </w:rPr>
        <w:t>打造</w:t>
      </w:r>
    </w:p>
    <w:p>
      <w:pPr>
        <w:overflowPunct w:val="0"/>
        <w:autoSpaceDE w:val="0"/>
        <w:autoSpaceDN w:val="0"/>
        <w:adjustRightInd w:val="0"/>
        <w:snapToGrid w:val="0"/>
        <w:spacing w:before="12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低碳循环的绿色发展之美</w:t>
      </w:r>
      <w:bookmarkEnd w:id="44"/>
      <w:bookmarkEnd w:id="45"/>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定不移实施创新驱动核心战略，坚持生态优先、绿色发展，制定落实碳达峰碳中和行动方案，建立健全绿色低碳循环发展经济体系，强化数字经济赋能引领，释放绿色经济发展活力，加快建设长三角创新中轴、产业中轴，高标准打造长三角产业科技创新中心。</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46" w:name="_Toc81592690"/>
      <w:r>
        <w:rPr>
          <w:rFonts w:ascii="方正黑体_GBK" w:hAnsi="Times New Roman" w:eastAsia="方正黑体_GBK"/>
          <w:sz w:val="32"/>
          <w:szCs w:val="32"/>
        </w:rPr>
        <w:t>第一节  构建绿色协同创新体系</w:t>
      </w:r>
      <w:bookmarkEnd w:id="4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绿色制造关键核心技术攻关。加快建立企业为主体、产学研深度融合、基础设施和服务体系完备、资源配置高效、成果转化顺畅的绿色技术创新体系。加大绿色低碳技术攻关力度，围绕节能环保、清洁生产、清洁能源等领域，组织实施绿色技术研发重大项目和示范工程，形成一批绿色设计产品和绿色供应链企业。积极利用首台（套）重大技术装备政策支持绿色技术应用，强化创业投资等各类基金引导，实施一批绿色技术创新重大研发项目，加快突破一批引领性、原创性核心技术。完善绿色技术全链条转移转化机制，建立一批绿色技术转移、交易和产业化服务平台，推进绿色科技成果转化和示范应用。（责任单位：市科技局、市发展改革委、市工信局、市生态环境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绿色创新企业培育行动。充分发挥市场在科技资源配置的主导作用，强化企业创新主体地位，积极培育绿色产业龙头企业，引导中小企业聚焦主业增强核心竞争力，培育“专精特新”中小企业，提升绿色产业竞争力。支持企业整合高校、科研院所、产业园区等力量建立市场化运行的绿色技术创新联合体，鼓励企业牵头或参与财政资金支持的绿色技术研发项目、市场导向明确的绿色技术创新项目。（责任单位：市科技局、市发展改革委、市工信局、市财政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强化绿色技术创新载体建设。深化“科创中国”试点建设，积极参与长三角科技创新共同体建设，深度融入沿沪宁产业创新带、G60科创走廊、太湖湾科创带发展。加快壮大科教城创新之核，建强中欧（常州）绿色创新园、中科院常州绿色科技产业园、绿色建筑产业技术创新战略联盟、龙城实验室等平台载体，集成跨学科、跨领域的科学研究力量，支持企业、高校、科研机构等建立绿色技术创新项目孵化器、创新创业基地，构建市场导向的绿色技术创新体系。聚焦绿色技术领域，鼓励创建国家重点实验室、国家技术创新中心、国家产业创新中心、国家制造业创新中心、国家工程研究中心、国家科技资源共享服务平台等创新平台和基地，每年新增市级以上研发机构100家，其中省级研发机构30家。（责任单位：市科技局、市发展改革委、市工信局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47" w:name="_Toc81592691"/>
      <w:r>
        <w:rPr>
          <w:rFonts w:ascii="方正黑体_GBK" w:hAnsi="Times New Roman" w:eastAsia="方正黑体_GBK"/>
          <w:sz w:val="32"/>
          <w:szCs w:val="32"/>
        </w:rPr>
        <w:t>第二节  探索碳达峰碳中和路径</w:t>
      </w:r>
      <w:bookmarkEnd w:id="4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8" w:name="_Hlk81575047"/>
      <w:r>
        <w:rPr>
          <w:rFonts w:ascii="Times New Roman" w:hAnsi="Times New Roman" w:eastAsia="方正仿宋_GBK"/>
          <w:sz w:val="32"/>
          <w:szCs w:val="32"/>
        </w:rPr>
        <w:t>加强土地资源节约集约和高效利用。实行最严格的耕地保护制度，落实耕地保护主体责任和激励机制，严守耕地保护红线，坚决遏制耕地“非农化”，防止“非粮化”，到2025年全市耕地保有量、永久基本农田保护目标任务不低于国家、省下达目标。实行最严格的节约用地制度，实施建设用地总量和强度“双控”行动，严格土地用途管制。深入实施城镇建设用地提效工程，提高工业用地准入门槛，有序推进低效城镇用地和产业用地再开发，强化“散乱污”零星建设用地整理利用力度，促进空置楼宇、厂房等存量资源再利用，探索实施“工改工”项目。有效盘活农村存量建设用地，推动村庄闲置地、废弃地整理和复垦。健全以“亩均效益”为导向的资源要素优化配置机制，完善节约集约用地激励约束机制和考核体系。（责任单位：市自然资源和规划局）</w:t>
      </w:r>
    </w:p>
    <w:bookmarkEnd w:id="48"/>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着力提高能源清洁低碳安全利用效率。深化能源消耗总量和强度“双控”，持续降低单位地区生产总值能耗，持续做好煤炭消费总量控制和清洁高效利用，持续推进分布式能源、资源综合利用发电项目建设，推广地源热泵的应用范围和规模，加大力度促进可再生能源消纳利用。建设生物质发电、生物质沼气、秸秆成型燃料、垃圾焚烧发电等项目，提高生物质能的利用率。鼓励引导能源技术创新和示范应用，培育能源新技术新业态新模式，加快高铁新城能源互联网示范区建设，提高工业、建筑、交通等关键领域能源利用效率。（责任单位：市发展改革委、市自然资源和规划局、市生态环境局、市农业农村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大力发展循环经济。以“减量化、再利用、资源化”为方向，构建循环发展经济体系。推进既有产业园区和产业集群循环化改造，推动公共设施共建共享、能源梯级利用、资源循环利用和污染物集中安全处置，推进国家级资源循环利用基地建设。提升化工园区安全环保水平，配套建设危险废物集中贮存、预处理和处置设施，建成绿色发展标志工程，争创省级绿色循环发展示范区。构建静脉产业体系，大力发展资源再生利用产业，实现建筑垃圾、污泥、生活垃圾、餐厨废弃物、绿化废弃物等再生资源规模化循环利用，支持常州新北建设国家资源循环利用基地。（责任单位：市发展改革委、市科技局、市工信局、市住建局、市城管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有效提升生态碳汇能力。围绕“林水相依森林常州，长廊吐翠宜居毗陵”目标，加快构建布局合理、物种多样、水绿相融、景观优美的现代林业生态系统，稳步提升生态系统碳汇能力。针对重点区域退化、低效林，根据不同林种的功能定位，按照先急后缓、突出重点的思路，因林制宜、适地适法，提高森林资源质量，培育健康稳定的森林生态系统。坚持全面保护和突出重点相结合，加强湿地占用、征收管理，维持全市湿地保有量不降低。落实湿地分级管理，加强国家级湿地公园基础设施、科普教育、监测能力等建设，采取新建湿地保护小区等方式，建立较为完善的湿地保护体系。依托湿地公园以及各有关湿地监测点，开展湿地巡护，加强湿地监测评估。推进退化湿地生态修复，提升湿地生态质量。（责任单位：市发展改革委、市自然资源和规划局、市生态环境局、市城管局、市水利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低碳发展产业载体。深化国家低碳城市试点，支持符合条件的县（市、区）或企业创建国家和省级低碳试点，积极建设“零碳园区”“零碳工厂”。制定大气污染物和温室气体协同减排计划，推进碳排放达峰与环境空气质量“双达”工程。积极推行区域能评制度，开展区域能评。积极推进低碳工业园区建设，创新低碳管理，建立健全园区碳管理制度，编制碳排放清单，建设园区碳排放信息管理平台，强化从生产源头、生产过程到产品的生命周期碳排放管理。重点围绕电力、钢铁、石化及化工、建材、纺织等高排放行业，结合不同行业的特点，选择典型企业开展低碳试点工作，围绕提高能源效率、调整产品结构、采用低碳技术等措施降低单位产品的碳排放强度，创建一批行业低碳标兵，零排放典型企业。（责任单位：市发展改革委、市科技局、市工信局、市生态环境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快构建绿色金融体系。立足全市绿色低碳产业基础，重点发展绿色金融、绿色信贷、绿色债券、绿色保险等绿色金融产业，做优做大“苏科贷”业务，拓展科技信用贷款、知识产权质押贷款等业务，为绿色科技发展提供资金支撑服务，推进以绿色低碳为导向的产业转型升级。加强绿色产品的许可证管理和标准管理，对产品达到绿色标准的企业实施一定的税收、信贷优惠政策。（责任单位：市财政局、市发展改革委、市科技局、市工信局、市商务局、市地方金融监管局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49" w:name="_Toc81592692"/>
      <w:r>
        <w:rPr>
          <w:rFonts w:ascii="方正黑体_GBK" w:hAnsi="Times New Roman" w:eastAsia="方正黑体_GBK"/>
          <w:sz w:val="32"/>
          <w:szCs w:val="32"/>
        </w:rPr>
        <w:t>第三节  提升产业绿色发展水平</w:t>
      </w:r>
      <w:bookmarkEnd w:id="4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传统工业结构绿色升级。坚持“砸笼换绿”“腾笼换鸟”“开笼引凤”，坚决化解过剩产能、淘汰落后产能和压减低端低效产能，深入开展“危污乱散低”出清提升行动，坚决遏制“两高”项目盲目发展。推动能源基础设施绿色低碳转型，以能源结构调整倒逼产业结构调整，实现减污降碳协同效应。强化能耗、水耗、环保、安全和技术等标准约束，持续推进化工、钢铁、建材、纺织等重点行业清洁生产，加速传统制造业绿色转型，每年创建市级绿色工厂20家。（责任单位：市发展改革委、市工信局、市科技局、市生态环境局、市应急管理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培育壮大新兴绿色产业集群。准确把握“长三角产业中轴”发展目标，不断壮大绿色建筑、节能环保、新能源等绿色产业规模，支持武进绿色建筑产业集聚示范区加快发展，争创国家级节能环保产业基地，持续推进省建筑产业现代化示范城市建设。锚定“253”培育目标，积极招引一批高效益低能耗低污染的重大项目，在高端智能装备、先进碳材料、集成电路等领域抢占技术制高点，打造绿色地标产业。支持常州经济开发区培育发展以节能装备制造产业、新能源与清洁能源产业和传统产业绿色化转型升级为代表的绿色产业体系，积极争创国家级绿色园区和绿色产业示范基地，全力构筑具有国际竞争力的高端、绿色制造基地。（责任单位：市工信局、市发展改革委、市科技局、市财政局、市地方金融监管局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黑体_GBK"/>
                <w:sz w:val="28"/>
                <w:szCs w:val="28"/>
              </w:rPr>
              <w:t>专栏5  “253”培育目标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0"/>
              <w:overflowPunct w:val="0"/>
              <w:autoSpaceDE w:val="0"/>
              <w:autoSpaceDN w:val="0"/>
              <w:spacing w:line="500" w:lineRule="exact"/>
              <w:ind w:firstLine="560"/>
              <w:rPr>
                <w:szCs w:val="28"/>
              </w:rPr>
            </w:pPr>
            <w:r>
              <w:rPr>
                <w:rFonts w:eastAsia="方正楷体_GBK"/>
                <w:szCs w:val="28"/>
              </w:rPr>
              <w:t>“2”个2000亿元集群：</w:t>
            </w:r>
            <w:r>
              <w:rPr>
                <w:szCs w:val="28"/>
              </w:rPr>
              <w:t>培育以数控机床、机器人、农业和工程机械、高档纺机、环保装备、基础零部件为代表的高端装备、绿色精品钢。</w:t>
            </w:r>
          </w:p>
          <w:p>
            <w:pPr>
              <w:pStyle w:val="10"/>
              <w:overflowPunct w:val="0"/>
              <w:autoSpaceDE w:val="0"/>
              <w:autoSpaceDN w:val="0"/>
              <w:spacing w:line="500" w:lineRule="exact"/>
              <w:ind w:firstLine="560"/>
              <w:rPr>
                <w:b/>
                <w:szCs w:val="28"/>
              </w:rPr>
            </w:pPr>
            <w:r>
              <w:rPr>
                <w:rFonts w:eastAsia="方正楷体_GBK"/>
                <w:szCs w:val="28"/>
              </w:rPr>
              <w:t>“5”个1000亿元集群：</w:t>
            </w:r>
            <w:r>
              <w:rPr>
                <w:szCs w:val="28"/>
              </w:rPr>
              <w:t>汽车及核心零部件（含新能源汽车）、新一代信息技术、以石墨烯和碳纤维材料为代表的新材料、以太阳能光伏为代表的新能源、新型电力装备。</w:t>
            </w:r>
          </w:p>
          <w:p>
            <w:pPr>
              <w:pStyle w:val="10"/>
              <w:overflowPunct w:val="0"/>
              <w:autoSpaceDE w:val="0"/>
              <w:autoSpaceDN w:val="0"/>
              <w:spacing w:line="500" w:lineRule="exact"/>
              <w:ind w:firstLine="560"/>
              <w:rPr>
                <w:szCs w:val="28"/>
              </w:rPr>
            </w:pPr>
            <w:r>
              <w:rPr>
                <w:rFonts w:eastAsia="方正楷体_GBK"/>
                <w:szCs w:val="28"/>
              </w:rPr>
              <w:t>“3”个500亿元集群：</w:t>
            </w:r>
            <w:r>
              <w:rPr>
                <w:szCs w:val="28"/>
              </w:rPr>
              <w:t>轨道交通、生物医药及新型医疗器械、新型纺织服装。</w:t>
            </w:r>
          </w:p>
        </w:tc>
      </w:tr>
    </w:tbl>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积极建设数字经济强市。实施数字产业倍增计划，重点发展新型电子、集成电路、工业和能源互联网等特色优势产业，培育5G、大数据、物联网、云计算、人工智能、区块链及数字终端产业链。加快数字经济领域特色产业创新基地建设，支持常州高新区、武进高新区、西太湖科技产业园打造国家数字经济建设示范区。加快产业数字化转型升级步伐，实施制造业数字化转型升级和工业企业上云行动，推进生产装备智能化改造和网络化互联，建设一批智能车间和智能工厂，培育一批星级上云企业。创新数字化供应链管理模式，支持长江智能制造研究院等智能制造系统集成服务运营商做大做强。（责任单位：市工信局、市发展改革委、市科技局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50" w:name="_Toc81592693"/>
      <w:r>
        <w:rPr>
          <w:rFonts w:ascii="方正黑体_GBK" w:hAnsi="Times New Roman" w:eastAsia="方正黑体_GBK"/>
          <w:sz w:val="32"/>
          <w:szCs w:val="32"/>
        </w:rPr>
        <w:t>第四节  创新生态经济发展模式</w:t>
      </w:r>
      <w:bookmarkEnd w:id="50"/>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促进生态经济绿色崛起。依托宁杭生态绿色基底，推进以绿色低碳为导向的产业转型升级，强化生态创新能力，打造以创新性知识占主导、创意产业为主业的“长三角绿色创新走廊”。强化跨界道路对接，完善宁杭沿线区域综合交通网络。发展“生态+”“文化+”产业，稳步推进沿线休闲旅游产业和健康产业，推进“生态经济化、经济生态化”转移转化，打造长三角地区“国际康养旅游目的地”。支持溧阳、金坛建设成为宁杭生态经济带各具特色的副中心城市，打造一批独具魅力的特色小镇、美丽乡村。（责任单位：市发展改革委、市自然资源和规划局、市生态环境局、市交通局、市农业农村局、市文广旅局、市卫健委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强化绿色农业引领。实施现代农业“310”提升行动，推进高标准农田、高标准蔬菜基地、高标准鱼池等建设，形成集中连片、特色鲜明的农业空间布局。加快循环型农业建设，探索种养结合、生态养殖、废弃物资源化利用等模式，提高畜禽粪污资源化利用水平。推进新北区国家农业绿色发展先行区建设，努力培育100家生态循环农业示范企业。积极发展智慧农业、生态农业，推进农业与旅游、教育、文化、健康等产业深度融合，建设依山、依湖休闲农业区，加快一二三产业融合发展步伐。高水平建设国家农产品质量安全市，到2025年实现绿色优质农产品比重达到75%以上。（责任单位：市农业农村局、市发展改革委、市自然资源和规划局、市生态环境局、市文广旅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高服务业绿色发展水平。促进商贸企业绿色升级，倡导酒店、餐饮等行业不主动提供一次性用品。聚焦消费服务模式创新，重点推进家居家政、饮食出行、体育健康、文化娱乐、闲置物品、剩余时间等消费资源共享。加快信息服务业绿色转型，做好大中型数据中心、网络机房绿色建设和改造，建立绿色运营维护体系。指导制定行业相关绿色标准，推动汽修、装修装饰等行业使用低挥发性有机物含量原辅材料。积极引进会展资源，支持本地会展企业发展，推动办展设施循环使用。（责任单位：市发展改革委、市工信局、市商务局、市文广旅局、市大数据管理中心等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生态产品价值转化实现机制。深化生态产品供给侧结构性改革，培育绿色转型发展的新业态新模式。探索建设长三角地区生态产品交易中心，配合全省部署，积极参与太湖流域世界级生态创新湖区建设。深入推进溧阳市生态产品价值实现和运行管理机制试点，健全市场化运作和可持续的生态保护补偿机制，鼓励政府机构、企业和其他社会主体，通过租赁、置换、赎买等多种方式扩大生态空间，维护区域生态安全。鼓励金坛在长荡湖流域率先推行以水环境指标为重点的生态环境容量评价体系，探索开展水流、森林、山岭、荒地等所有自然生态空间的统一确权登记。落实跨流域跨区域生态补偿机制，完善多元化横向生态补偿。（责任单位：市发展改革委、市生态环境局、市自然资源和规划局、市财政局等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2"/>
              <w:overflowPunct w:val="0"/>
              <w:autoSpaceDE w:val="0"/>
              <w:autoSpaceDN w:val="0"/>
              <w:spacing w:line="500" w:lineRule="exact"/>
              <w:rPr>
                <w:rStyle w:val="6"/>
                <w:rFonts w:eastAsia="方正黑体_GBK"/>
                <w:bCs/>
                <w:sz w:val="28"/>
                <w:szCs w:val="28"/>
              </w:rPr>
            </w:pPr>
            <w:r>
              <w:rPr>
                <w:rStyle w:val="6"/>
                <w:rFonts w:eastAsia="方正黑体_GBK"/>
                <w:bCs/>
                <w:sz w:val="28"/>
                <w:szCs w:val="28"/>
              </w:rPr>
              <w:t>专栏6  绿色发展提升重大工程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1. 积极布局“一核多区多园”绿色技术创新载体。</w:t>
            </w:r>
            <w:r>
              <w:rPr>
                <w:rFonts w:eastAsia="方正仿宋_GBK"/>
                <w:sz w:val="28"/>
                <w:szCs w:val="28"/>
              </w:rPr>
              <w:t>“一核”即常州科教城以打造“六个新高地”为总目标，加快建设东部科创走廊；“多区”即常州高新区、武进高新区着力建设苏南国家自主创新示范区，溧阳高新区争创国家高新区；“多园”实现辖区市省级以上高新区的全覆盖。</w:t>
            </w:r>
          </w:p>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2.</w:t>
            </w:r>
            <w:r>
              <w:rPr>
                <w:rFonts w:hint="eastAsia"/>
                <w:sz w:val="28"/>
                <w:szCs w:val="28"/>
              </w:rPr>
              <w:t xml:space="preserve"> </w:t>
            </w:r>
            <w:r>
              <w:rPr>
                <w:sz w:val="28"/>
                <w:szCs w:val="28"/>
              </w:rPr>
              <w:t>推进碳排放达峰行动。</w:t>
            </w:r>
            <w:r>
              <w:rPr>
                <w:rFonts w:eastAsia="方正仿宋_GBK"/>
                <w:sz w:val="28"/>
                <w:szCs w:val="28"/>
              </w:rPr>
              <w:t>实施碳排放总量和强度“双控”，制定2030年前碳排放达峰行动计划，力争提前实现碳达峰。充分发挥碳中和研究机构作用，探索生态系统碳汇、CCUS、碳交易等碳中和目标实现新路径。积极推进低碳工业园区建设，实施近零碳排放区示范工程，探索“零碳”发展模式。</w:t>
            </w:r>
          </w:p>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3.</w:t>
            </w:r>
            <w:r>
              <w:rPr>
                <w:rFonts w:hint="eastAsia"/>
                <w:sz w:val="28"/>
                <w:szCs w:val="28"/>
              </w:rPr>
              <w:t xml:space="preserve"> </w:t>
            </w:r>
            <w:r>
              <w:rPr>
                <w:sz w:val="28"/>
                <w:szCs w:val="28"/>
              </w:rPr>
              <w:t>打造绿色循环产业园区。</w:t>
            </w:r>
            <w:r>
              <w:rPr>
                <w:rFonts w:eastAsia="方正仿宋_GBK"/>
                <w:sz w:val="28"/>
                <w:szCs w:val="28"/>
              </w:rPr>
              <w:t>开展新一轮绿色循环升级行动，重点开展制造业类园区循环化改造提升，实施园区绿色化智慧化改造项目，支持常州新北建设国家资源循环利用基地。</w:t>
            </w:r>
          </w:p>
        </w:tc>
      </w:tr>
    </w:tbl>
    <w:p>
      <w:pPr>
        <w:ind w:firstLine="640"/>
        <w:rPr>
          <w:rFonts w:hint="eastAsia"/>
        </w:rPr>
      </w:pPr>
    </w:p>
    <w:p>
      <w:pPr>
        <w:ind w:firstLine="640"/>
        <w:rPr>
          <w:rFonts w:hint="eastAsia"/>
        </w:rPr>
      </w:pPr>
    </w:p>
    <w:p>
      <w:pPr>
        <w:adjustRightInd w:val="0"/>
        <w:snapToGrid w:val="0"/>
        <w:spacing w:line="570" w:lineRule="exact"/>
        <w:jc w:val="center"/>
        <w:rPr>
          <w:rFonts w:hint="eastAsia" w:ascii="方正小标宋_GBK" w:eastAsia="方正小标宋_GBK"/>
          <w:sz w:val="44"/>
          <w:szCs w:val="44"/>
        </w:rPr>
      </w:pPr>
      <w: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bookmarkStart w:id="51" w:name="_Toc81592694"/>
      <w:r>
        <w:rPr>
          <w:rFonts w:hint="eastAsia" w:ascii="方正小标宋_GBK" w:hAnsi="Times New Roman" w:eastAsia="方正小标宋_GBK"/>
          <w:sz w:val="44"/>
          <w:szCs w:val="44"/>
        </w:rPr>
        <w:t>第六章  实现人居环境秀美怡然，</w:t>
      </w:r>
      <w:bookmarkStart w:id="52" w:name="_Hlk82532345"/>
      <w:r>
        <w:rPr>
          <w:rFonts w:hint="eastAsia" w:ascii="方正小标宋_GBK" w:hAnsi="Times New Roman" w:eastAsia="方正小标宋_GBK"/>
          <w:sz w:val="44"/>
          <w:szCs w:val="44"/>
        </w:rPr>
        <w:t>统筹</w:t>
      </w:r>
    </w:p>
    <w:p>
      <w:pPr>
        <w:overflowPunct w:val="0"/>
        <w:autoSpaceDE w:val="0"/>
        <w:autoSpaceDN w:val="0"/>
        <w:adjustRightInd w:val="0"/>
        <w:snapToGrid w:val="0"/>
        <w:spacing w:before="12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诗意栖居的城乡协调之美</w:t>
      </w:r>
      <w:bookmarkEnd w:id="51"/>
      <w:bookmarkEnd w:id="52"/>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紧紧围绕以人为核心的新型城镇化，深入实施乡村振兴战略，进一步完善城乡功能，构建优质、安全、便捷、高效的生产生活服务体系，鼓励倡导绿色低碳生活方式，加快建设国家城乡融合发展示范区。</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53" w:name="_Toc81592695"/>
      <w:r>
        <w:rPr>
          <w:rFonts w:ascii="方正黑体_GBK" w:hAnsi="Times New Roman" w:eastAsia="方正黑体_GBK"/>
          <w:sz w:val="32"/>
          <w:szCs w:val="32"/>
        </w:rPr>
        <w:t>第一节  匠心织就城市靓丽面貌</w:t>
      </w:r>
      <w:bookmarkEnd w:id="5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城市空间管控体系。积极推进精美城市建设，建立以城市设计为技术手段的城市空间景观风貌设计和管控机制。加强轨道交通、快速路、滨水地区等重点区域、节点的城市设计，强化区域生态本底的保护，特色文化的彰显和空间形态的塑造，打造城市“会客厅”。落实窄密路网理念，优化提升街道空间，以河道、绿地、历史文化为脉，构筑开放便捷的城市公共开放空间体系。加强城市设计理念的传导和落实，提炼城市设计核心管控要素纳入法定规划成果。强化地块空间管控和形态塑造，切实提升城市空间品质。贯彻《常州市城市绿化条例》，制定城市绿地建设标准，规范各类绿地建设，完成新一轮城市绿地系统规划修编，强化绿线管理。（责任单位：市自然资源和规划局、市住建局、市城管局、市交通局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834" w:type="dxa"/>
            <w:noWrap w:val="0"/>
            <w:vAlign w:val="center"/>
          </w:tcPr>
          <w:p>
            <w:pPr>
              <w:pStyle w:val="12"/>
              <w:overflowPunct w:val="0"/>
              <w:autoSpaceDE w:val="0"/>
              <w:autoSpaceDN w:val="0"/>
              <w:spacing w:line="500" w:lineRule="exact"/>
              <w:rPr>
                <w:rStyle w:val="6"/>
                <w:rFonts w:eastAsia="方正黑体_GBK"/>
                <w:bCs/>
                <w:sz w:val="28"/>
                <w:szCs w:val="28"/>
              </w:rPr>
            </w:pPr>
            <w:r>
              <w:rPr>
                <w:rStyle w:val="6"/>
                <w:rFonts w:eastAsia="方正黑体_GBK"/>
                <w:bCs/>
                <w:sz w:val="28"/>
                <w:szCs w:val="28"/>
              </w:rPr>
              <w:t>专栏7  城市空间特色建设重点工程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0"/>
              <w:overflowPunct w:val="0"/>
              <w:autoSpaceDE w:val="0"/>
              <w:autoSpaceDN w:val="0"/>
              <w:spacing w:line="500" w:lineRule="exact"/>
              <w:ind w:firstLine="560"/>
              <w:rPr>
                <w:rStyle w:val="6"/>
                <w:rFonts w:eastAsia="方正仿宋_GBK"/>
                <w:sz w:val="28"/>
                <w:szCs w:val="28"/>
              </w:rPr>
            </w:pPr>
            <w:r>
              <w:rPr>
                <w:rStyle w:val="6"/>
                <w:rFonts w:eastAsia="方正楷体_GBK"/>
                <w:bCs/>
                <w:sz w:val="28"/>
                <w:szCs w:val="28"/>
              </w:rPr>
              <w:t>1. 金坛区新浮水库特色滨水空间塑造。</w:t>
            </w:r>
            <w:r>
              <w:rPr>
                <w:rStyle w:val="6"/>
                <w:rFonts w:eastAsia="方正仿宋_GBK"/>
                <w:sz w:val="28"/>
                <w:szCs w:val="28"/>
              </w:rPr>
              <w:t>环新浮水库建设8.5公里绿道景观带，辅以生物栖息地和通道建设，规划面积108公顷（含水库面积），包含新浮水库绿道及配套工程和环新浮水库绿廊及冰土保持工程；项目打破“景区景点式”传统体系，实施“一环八景”创新智慧景观，增加生态体验，构筑“景湖一体、山水相抱、文景同脉”新格局，实现全境休闲、全时度假、全新生活。</w:t>
            </w:r>
          </w:p>
          <w:p>
            <w:pPr>
              <w:pStyle w:val="10"/>
              <w:overflowPunct w:val="0"/>
              <w:autoSpaceDE w:val="0"/>
              <w:autoSpaceDN w:val="0"/>
              <w:spacing w:line="500" w:lineRule="exact"/>
              <w:ind w:firstLine="560"/>
              <w:rPr>
                <w:rStyle w:val="6"/>
                <w:rFonts w:eastAsia="方正仿宋_GBK"/>
                <w:sz w:val="28"/>
                <w:szCs w:val="28"/>
              </w:rPr>
            </w:pPr>
            <w:r>
              <w:rPr>
                <w:rStyle w:val="6"/>
                <w:rFonts w:eastAsia="方正楷体_GBK"/>
                <w:bCs/>
                <w:sz w:val="28"/>
                <w:szCs w:val="28"/>
              </w:rPr>
              <w:t>2.</w:t>
            </w:r>
            <w:r>
              <w:rPr>
                <w:rStyle w:val="6"/>
                <w:rFonts w:hint="eastAsia" w:eastAsia="方正楷体_GBK"/>
                <w:bCs/>
                <w:sz w:val="28"/>
                <w:szCs w:val="28"/>
              </w:rPr>
              <w:t xml:space="preserve"> </w:t>
            </w:r>
            <w:r>
              <w:rPr>
                <w:rStyle w:val="6"/>
                <w:rFonts w:eastAsia="方正楷体_GBK"/>
                <w:bCs/>
                <w:sz w:val="28"/>
                <w:szCs w:val="28"/>
              </w:rPr>
              <w:t>钟楼区古运河玉兰森林廊道特色滨水空间塑造。</w:t>
            </w:r>
            <w:r>
              <w:rPr>
                <w:rStyle w:val="6"/>
                <w:rFonts w:eastAsia="方正仿宋_GBK"/>
                <w:sz w:val="28"/>
                <w:szCs w:val="28"/>
              </w:rPr>
              <w:t>东起五星大桥，西至童子河，全长约2.8公里，绿化面积约13.6公顷，主要包括土方、河道栏杆、园林、建筑、桥梁、绿化、灯光亮化及厂房外观改造等，并沿河设置广场、林荫小道、滨河步道、观景台等休闲娱乐设施。通过对荒地绿化及玉兰路两侧景观提升和整体改造，全面展现非遗大运河的景观风貌，让市民体验滨河的白玉兰景观廊道、休闲的广玉兰林荫廊道以及绚烂的红玉兰花海廊道。</w:t>
            </w:r>
          </w:p>
          <w:p>
            <w:pPr>
              <w:pStyle w:val="10"/>
              <w:overflowPunct w:val="0"/>
              <w:autoSpaceDE w:val="0"/>
              <w:autoSpaceDN w:val="0"/>
              <w:spacing w:line="500" w:lineRule="exact"/>
              <w:ind w:firstLine="560"/>
              <w:rPr>
                <w:rStyle w:val="6"/>
                <w:rFonts w:eastAsia="方正仿宋_GBK"/>
                <w:sz w:val="28"/>
                <w:szCs w:val="28"/>
              </w:rPr>
            </w:pPr>
            <w:r>
              <w:rPr>
                <w:rStyle w:val="6"/>
                <w:rFonts w:eastAsia="方正楷体_GBK"/>
                <w:bCs/>
                <w:sz w:val="28"/>
                <w:szCs w:val="28"/>
              </w:rPr>
              <w:t>3.</w:t>
            </w:r>
            <w:r>
              <w:rPr>
                <w:rStyle w:val="6"/>
                <w:rFonts w:hint="eastAsia" w:eastAsia="方正楷体_GBK"/>
                <w:bCs/>
                <w:sz w:val="28"/>
                <w:szCs w:val="28"/>
              </w:rPr>
              <w:t xml:space="preserve"> </w:t>
            </w:r>
            <w:r>
              <w:rPr>
                <w:rStyle w:val="6"/>
                <w:rFonts w:eastAsia="方正楷体_GBK"/>
                <w:bCs/>
                <w:sz w:val="28"/>
                <w:szCs w:val="28"/>
              </w:rPr>
              <w:t>天宁区凤凰新城特色滨水空间塑造。</w:t>
            </w:r>
            <w:r>
              <w:rPr>
                <w:rStyle w:val="6"/>
                <w:rFonts w:eastAsia="方正仿宋_GBK"/>
                <w:sz w:val="28"/>
                <w:szCs w:val="28"/>
              </w:rPr>
              <w:t>围绕“生态廊道+休闲功能+文化体验”定位，构建集文化长廊、锋尚生活、绿碳绿洲、缤纷水岸、邻里</w:t>
            </w:r>
            <w:r>
              <w:rPr>
                <w:rStyle w:val="6"/>
                <w:rFonts w:eastAsia="方正仿宋_GBK"/>
                <w:spacing w:val="-4"/>
                <w:sz w:val="28"/>
                <w:szCs w:val="28"/>
              </w:rPr>
              <w:t>乐活于一体的特色环岛。项目包含景观绿化、大型花海、慢行步道、游憩设施、道路提升及照明工程。其中绿化面积约85公顷，道路总长约14.7公里。</w:t>
            </w:r>
          </w:p>
          <w:p>
            <w:pPr>
              <w:pStyle w:val="10"/>
              <w:overflowPunct w:val="0"/>
              <w:autoSpaceDE w:val="0"/>
              <w:autoSpaceDN w:val="0"/>
              <w:spacing w:line="500" w:lineRule="exact"/>
              <w:ind w:firstLine="560"/>
              <w:rPr>
                <w:rStyle w:val="6"/>
                <w:rFonts w:eastAsia="方正仿宋_GBK"/>
                <w:sz w:val="28"/>
                <w:szCs w:val="28"/>
              </w:rPr>
            </w:pPr>
            <w:r>
              <w:rPr>
                <w:rStyle w:val="6"/>
                <w:rFonts w:eastAsia="方正楷体_GBK"/>
                <w:bCs/>
                <w:sz w:val="28"/>
                <w:szCs w:val="28"/>
              </w:rPr>
              <w:t>4.</w:t>
            </w:r>
            <w:r>
              <w:rPr>
                <w:rStyle w:val="6"/>
                <w:rFonts w:hint="eastAsia" w:eastAsia="方正楷体_GBK"/>
                <w:bCs/>
                <w:sz w:val="28"/>
                <w:szCs w:val="28"/>
              </w:rPr>
              <w:t xml:space="preserve"> </w:t>
            </w:r>
            <w:r>
              <w:rPr>
                <w:rStyle w:val="6"/>
                <w:rFonts w:eastAsia="方正楷体_GBK"/>
                <w:bCs/>
                <w:sz w:val="28"/>
                <w:szCs w:val="28"/>
              </w:rPr>
              <w:t>新北区大运河生态廊道特色滨水空间塑造。</w:t>
            </w:r>
            <w:r>
              <w:rPr>
                <w:rStyle w:val="6"/>
                <w:rFonts w:eastAsia="方正仿宋_GBK"/>
                <w:sz w:val="28"/>
                <w:szCs w:val="28"/>
              </w:rPr>
              <w:t>以生态廊道建设为核心，对新北区奔牛镇大运河沿岸及运河路提升改造，改善运河沿线民居环境，提升运河沿线风貌，建立起大运河历史文化长廊，打造集历史、文化、风情为一体的“中华历史文化长廊”。</w:t>
            </w:r>
          </w:p>
        </w:tc>
      </w:tr>
    </w:tbl>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仿宋_GBK"/>
          <w:sz w:val="32"/>
          <w:szCs w:val="32"/>
        </w:rPr>
        <w:t>促进建筑品质绿色升级。传承发展建筑文化，提升建筑设计理念，增强建筑的宜居感知度，满足现代城市宜居需求。推广建筑绿色节能技术，探索多要素系统合成、多技术集成应用，优化提升建造方式，在保障房、安置房、人才公寓建设中大力推行成品房和装配化装修。开展高品质绿色建筑实践，逐步提升“高星级”绿色建筑比例。支持绿建区打造长三角建筑科技创新中心，切实推进高铁新城智慧生态城区、武进绿色城区示范创建，加快形成绿色建筑高质量发展新态势。持续推进海绵城市建设，加强城市水系连通与河道综合整治，到2030年，城市建成区80%以上的面积达到海绵城市建设要求。（责任单位：市住建局、市城管局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54" w:name="_Toc81592696"/>
      <w:r>
        <w:rPr>
          <w:rFonts w:ascii="方正黑体_GBK" w:hAnsi="Times New Roman" w:eastAsia="方正黑体_GBK"/>
          <w:sz w:val="32"/>
          <w:szCs w:val="32"/>
        </w:rPr>
        <w:t>第二节  妙笔谱写镇乡发展华章</w:t>
      </w:r>
      <w:bookmarkEnd w:id="54"/>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打造美丽宜居小城镇。协调推进乡村振兴战略和新型城镇化战略，围绕高质量发展、竞争力提升、现代化建设，推进小城镇多元发展，加快形成城乡融合、全域美丽新格局。加强重点中心镇和特色小城镇建设，持续推动老镇区综合整治改造，塑造特色风貌，补齐发展短板，促进城乡融合发展。试点建设溧阳市上兴镇、金坛区薛埠镇美丽宜居小城镇，探索美丽宜居小城镇建设的标准体系、方法路径。提升城镇功能品质，优化城镇基础设施布局，丰富公共服务内容，推动便民措施落地。开展镇区老旧街区、住宅小区环境整治，打造空间界面景观节点，提升镇区人居环境水平。（责任单位：市住建局、市发展改革委、市自然资源和规划局、市农业农村局按职责分工负责）</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营造干净整洁农居环境。积极推行农村生活垃圾就地分类和资源化利用，开展农村生活垃圾分类试点工作，全面建立“户分类投放、村分拣收集、镇回收清运、有机垃圾生态处理”的分类收集处理体系，到2025年，实现行政村生活垃圾分类设施覆盖率达到100%。深入推进农村“厕所革命”，到2025年，全市行政村三类以上公厕覆盖率达到100%。大力推进农村地区水环境综合整治和长效管护，持续开展县乡河道疏浚整治，完成100条农村生态河道建设，推动河湖长制向微小水体拓展延伸，到2025年，全面消除农村黑臭水体。（责任单位：市农业农村局、市住建局、市水利局按职责分工负责）</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打造美丽乡村示范样本。坚持规划引领、示范带动，构建“三山三湖四田园，三环六线百美村”美丽乡村特色体系。分类推进美丽示范乡村、特色田园乡村、精品示范村庄、绿美村庄建设，巩固提升“五区二十四点”市级美丽乡村示范项目。加强对老旧民宅、名木古树、民俗文化、文化遗产等的发掘、保护，保护自然肌理和传统建筑，打造更多具有地方特色、形态各异的美丽乡村。积极推进苏南农房改造，规划建设一批新型农村社区，吸引留乡农民相对集中居住，改善提升农村面貌和农民生产生活水平，实现从“一处美”迈向“全域美”、从“一时美”迈向“持久美”、从“环境美”迈向“发展美”的跃迁，形成全面推进、特色鲜明、系统提升的美丽乡村建设格局。（责任单位：市农业农村局、市自然资源和规划局、市住建局、市文广旅局）</w:t>
      </w:r>
    </w:p>
    <w:p>
      <w:pPr>
        <w:overflowPunct w:val="0"/>
        <w:autoSpaceDE w:val="0"/>
        <w:autoSpaceDN w:val="0"/>
        <w:adjustRightInd w:val="0"/>
        <w:snapToGrid w:val="0"/>
        <w:spacing w:before="240" w:after="240" w:line="530" w:lineRule="exact"/>
        <w:jc w:val="center"/>
        <w:rPr>
          <w:rFonts w:ascii="方正黑体_GBK" w:hAnsi="Times New Roman" w:eastAsia="方正黑体_GBK"/>
          <w:sz w:val="32"/>
          <w:szCs w:val="32"/>
        </w:rPr>
      </w:pPr>
      <w:bookmarkStart w:id="55" w:name="_Toc81592697"/>
      <w:r>
        <w:rPr>
          <w:rFonts w:ascii="方正黑体_GBK" w:hAnsi="Times New Roman" w:eastAsia="方正黑体_GBK"/>
          <w:sz w:val="32"/>
          <w:szCs w:val="32"/>
        </w:rPr>
        <w:t>第三节  精心营造城乡宜居体验</w:t>
      </w:r>
      <w:bookmarkEnd w:id="55"/>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提升城市管理精细能级。积极优化完善城镇公共服务设施布局，加快建设15分钟、10分钟、5分钟生活圈，推进美丽宜居住区和街区建设。积极推进垃圾分类，补齐垃圾处理设施短板，到2025年全市基本建成生活垃圾分类投放、收集、运输、处置体系，垃圾分类集中处理率达到95%以上。推进停车便利化工程，有序增加停车泊位供给，每年增加公共停车泊位1万个。鼓励有条件的机关、国有企事业单位内部停车场实施分时、错时对外开放。大力推广智慧停车，每年新增接入“智慧停车平台”的停车泊位1.5万个，将“常州停车”接入“我的常州”APP平台。制定道板停车设置规范，科学施划道板停车泊位、设置禁停桩，建立公安交警和城管执法联动机制，加强道板特别是临街建筑退红线区域停车执法管理。（责任单位：市城管局、市公安局、市住建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老城面貌全面更新。分区分类分步开展旧工业区、旧居住区、旧商业区、轨道交通沿线地区、城市门户地区、历史风貌区的改造和更新，大力实施老旧小区和城中村改造、危房解危、棚户区（危旧房）改造，推进“大板房”改造工程。开展城市居住社区建设补短板行动，支持既有住宅加装电梯、无障碍通道等适老化改造，不断丰富和完善小区基本功能。优化老城路网，加大次干路、支路、街巷建设改造力度，构建老城区道路交通微循环。加快老工业基地调整改造与全面振兴步伐，立足长三角一体化发展，争创国家级“产业名城”，探索加强工业遗产保护利用、打造“生活秀带”。（责任单位：市住建局、市发展改革委、市自然资源和规划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着力优化农村住房条件。以国家城乡融合发展试验区建设为总抓手，规划建设一批新型农村社区，按照城乡融合发展和基本公共服务均等化、标准化要求建设，做好供排水、道路、绿化等设施配套，合理设置公共服务设施。实行专业化、市场化运行方式，全面推行农村河道、道路交通、绿化美化、环境保洁、公共设施“五位一体”综合管护，切实改善农民居住条件，让美好人居环境成为农村亮丽底色。完善农房建设管理机制，有序推进农村住房更新改造，着力推进武进区农村宅基地管理制度和新北区闲置农房盘活利用省级改革试验，支持和推进溧阳市、武进区、金坛区承担农村宅基地制度改革国家试点任务。（责任单位：市农业农村局、市住建局、市城管局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14" w:type="dxa"/>
            <w:noWrap w:val="0"/>
            <w:vAlign w:val="top"/>
          </w:tcPr>
          <w:p>
            <w:pPr>
              <w:pStyle w:val="12"/>
              <w:overflowPunct w:val="0"/>
              <w:autoSpaceDE w:val="0"/>
              <w:autoSpaceDN w:val="0"/>
              <w:spacing w:line="500" w:lineRule="exact"/>
              <w:rPr>
                <w:szCs w:val="28"/>
              </w:rPr>
            </w:pPr>
            <w:r>
              <w:rPr>
                <w:szCs w:val="28"/>
              </w:rPr>
              <w:t>专栏8  美丽宜居建设重大工程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14" w:type="dxa"/>
            <w:noWrap w:val="0"/>
            <w:vAlign w:val="top"/>
          </w:tcPr>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1. 推动绿色建筑提质升级。</w:t>
            </w:r>
            <w:r>
              <w:rPr>
                <w:rFonts w:eastAsia="方正仿宋_GBK"/>
                <w:sz w:val="28"/>
                <w:szCs w:val="28"/>
              </w:rPr>
              <w:t>打造高铁新城绿色宜居城区示范样板，在绿色建筑标识合同能源管理、装配式建筑、BIM技术应用等方面做好示范项目的实施和管理；创建武进绿色城区示范，加速绿色建筑产业集聚，形成长三角建筑科技中心探索多要素系统合成、多技术集成应用的示范。</w:t>
            </w:r>
          </w:p>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2</w:t>
            </w:r>
            <w:r>
              <w:rPr>
                <w:rFonts w:hint="eastAsia"/>
                <w:sz w:val="28"/>
                <w:szCs w:val="28"/>
              </w:rPr>
              <w:t xml:space="preserve">. </w:t>
            </w:r>
            <w:r>
              <w:rPr>
                <w:sz w:val="28"/>
                <w:szCs w:val="28"/>
              </w:rPr>
              <w:t>打造美丽宜居镇村建设标杆。</w:t>
            </w:r>
            <w:r>
              <w:rPr>
                <w:rFonts w:eastAsia="方正仿宋_GBK"/>
                <w:sz w:val="28"/>
                <w:szCs w:val="28"/>
              </w:rPr>
              <w:t>积极探索特色小城镇、美丽乡村建设方式方法、标准体系和政策机制，到2025年，全市建成更多可观可感的中心镇和特色小城镇，建设省级绿美村庄80个，高质量打造600个以上美丽宜居乡村；到2035年，市域范围内已建规划发展村庄全部达到美丽宜居乡村及以上建设标准。</w:t>
            </w:r>
          </w:p>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3.</w:t>
            </w:r>
            <w:r>
              <w:rPr>
                <w:rFonts w:hint="eastAsia"/>
                <w:sz w:val="28"/>
                <w:szCs w:val="28"/>
              </w:rPr>
              <w:t xml:space="preserve"> </w:t>
            </w:r>
            <w:r>
              <w:rPr>
                <w:sz w:val="28"/>
                <w:szCs w:val="28"/>
              </w:rPr>
              <w:t>提高城乡居民居住条件。</w:t>
            </w:r>
            <w:r>
              <w:rPr>
                <w:rFonts w:eastAsia="方正仿宋_GBK"/>
                <w:sz w:val="28"/>
                <w:szCs w:val="28"/>
              </w:rPr>
              <w:t>结合城市精细管理、有机更新推进城镇老旧小区改造，规划建设一批新型农村社区。到2025年，基本完成2000年底前建成需改造城镇老旧小区改造任务、棚户区改造，高水平建设国家城乡融合发展试验区持续推进。</w:t>
            </w:r>
          </w:p>
        </w:tc>
      </w:tr>
    </w:tbl>
    <w:p>
      <w:pPr>
        <w:overflowPunct w:val="0"/>
        <w:autoSpaceDE w:val="0"/>
        <w:autoSpaceDN w:val="0"/>
        <w:adjustRightInd w:val="0"/>
        <w:snapToGrid w:val="0"/>
        <w:spacing w:before="240" w:after="240" w:line="530" w:lineRule="exact"/>
        <w:jc w:val="center"/>
        <w:rPr>
          <w:rFonts w:ascii="方正黑体_GBK" w:hAnsi="Times New Roman" w:eastAsia="方正黑体_GBK"/>
          <w:sz w:val="32"/>
          <w:szCs w:val="32"/>
        </w:rPr>
      </w:pPr>
      <w:bookmarkStart w:id="56" w:name="_Toc81592698"/>
      <w:r>
        <w:rPr>
          <w:rFonts w:ascii="方正黑体_GBK" w:hAnsi="Times New Roman" w:eastAsia="方正黑体_GBK"/>
          <w:sz w:val="32"/>
          <w:szCs w:val="32"/>
        </w:rPr>
        <w:t>第四节  蓄力畅通路网纵横八方</w:t>
      </w:r>
      <w:bookmarkEnd w:id="56"/>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构建互通互联综合交通体系。锚定“长三角交通中轴”建设目标，全力推进干线铁路、高速公路、高等级航道等通道能力建设和城际交通网络体系建设，着力提升城市枢纽能级和区域辐射带动力。强化与周边城市的网络化交通联系，加快构建“三纵四横”铁路网络，开工建设常泰城际、苏锡常快线等铁路，推进都市圈城际铁路网络建设。全力打造“高速中环”，建成苏锡常南部高速、溧宁高速，开工建设宁常高速、丹金高速、靖澄常宜高速等，加快形成“三环19射”高速公路网。延伸拓展快速路网，完成机场路全线快速化改造、青洋快速路二期、常金快速新通道，开工建设312国道常州东段、龙江高架北延等项目，实现与周边县市快速直联。实施常州机场航站楼改扩建工程，建设长三角地区重要干线机场，不断提升机场枢纽能级。加快推进常州综合港务区建设，开工建设德胜河三级航道整治项目，构建通江达海的高等级航道网。优化物流网络，依托大交通布局“一核心三枢纽八中心”，建设奔牛铁路物流基地，加强与上海港通关一体化，推广海铁联运、铁水联运、水水中转，打造成为枢纽引领、通道支撑、衔接高效、辐射带动的长三角现代物流中心。（责任单位：市交通局、市发展改革委、市自然资源和规划局、市水利局按职责分工负责）</w:t>
      </w:r>
    </w:p>
    <w:p>
      <w:pPr>
        <w:overflowPunct w:val="0"/>
        <w:autoSpaceDE w:val="0"/>
        <w:autoSpaceDN w:val="0"/>
        <w:adjustRightInd w:val="0"/>
        <w:snapToGrid w:val="0"/>
        <w:spacing w:line="530" w:lineRule="exact"/>
        <w:ind w:firstLine="641"/>
        <w:rPr>
          <w:rFonts w:ascii="Times New Roman" w:hAnsi="Times New Roman" w:eastAsia="方正仿宋_GBK"/>
          <w:sz w:val="32"/>
          <w:szCs w:val="32"/>
        </w:rPr>
      </w:pPr>
      <w:r>
        <w:rPr>
          <w:rFonts w:ascii="Times New Roman" w:hAnsi="Times New Roman" w:eastAsia="方正仿宋_GBK"/>
          <w:sz w:val="32"/>
          <w:szCs w:val="32"/>
        </w:rPr>
        <w:t>发展优质多元的绿色交通体系。实施交通畅行工程，优化道路交通组织，提升中心城区路网密度，打通老城区道路交通微循环。全面实施《常州市道路交通安全条例》，推进中心城区交通安全设施标准化、一体化、规范化建设，加快道路交通安全设施“共杆共箱”建设。建立以轨道交通为骨干、BRT等中运量公交系统为辅助、常规公交为基础、共享交通等其它公共交通为补充的公共交通体系，推动国家公交都市创建。加大智能交通科技设施建设，深化交通大数据应用，提升道路交通信息感知、智能控制和出行服务能力，城市“交通健康指数”保持全国同类城市第一方阵。加密有桩共享单车站点，有效衔接公交和地铁，解决市民出行“最后一公里”难题。加强城乡绿道系统建设，推进生态绿道与公共交通的衔接，优化出行环境，构建安全舒适、便捷高效、绿色健康的慢行交通系统。（责任单位：市交通局、市公安局、市住建局、市城管局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8834" w:type="dxa"/>
            <w:noWrap w:val="0"/>
            <w:vAlign w:val="top"/>
          </w:tcPr>
          <w:p>
            <w:pPr>
              <w:pStyle w:val="12"/>
              <w:overflowPunct w:val="0"/>
              <w:autoSpaceDE w:val="0"/>
              <w:autoSpaceDN w:val="0"/>
              <w:spacing w:line="500" w:lineRule="exact"/>
              <w:rPr>
                <w:szCs w:val="28"/>
              </w:rPr>
            </w:pPr>
            <w:r>
              <w:rPr>
                <w:szCs w:val="28"/>
              </w:rPr>
              <w:t>专栏9  畅达交通建设重大工程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1. 区域一体化交通设施提升工程。</w:t>
            </w:r>
            <w:r>
              <w:rPr>
                <w:rFonts w:eastAsia="方正仿宋_GBK"/>
                <w:sz w:val="28"/>
                <w:szCs w:val="28"/>
              </w:rPr>
              <w:t>锚定“长三角交通中轴”建设目标，围绕干线铁路、高等级航道等通道能力建设，构架便捷联通的长三角交通网，提升区域一体化的便捷出行服务水平，</w:t>
            </w:r>
            <w:r>
              <w:rPr>
                <w:rFonts w:eastAsia="方正仿宋_GBK"/>
                <w:kern w:val="0"/>
                <w:sz w:val="28"/>
                <w:szCs w:val="28"/>
              </w:rPr>
              <w:t>推动城市枢纽能级和区域辐射带动力跃升</w:t>
            </w:r>
            <w:r>
              <w:rPr>
                <w:rFonts w:eastAsia="方正仿宋_GBK"/>
                <w:sz w:val="28"/>
                <w:szCs w:val="28"/>
              </w:rPr>
              <w:t>。</w:t>
            </w:r>
          </w:p>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2.</w:t>
            </w:r>
            <w:r>
              <w:rPr>
                <w:rFonts w:hint="eastAsia"/>
                <w:sz w:val="28"/>
                <w:szCs w:val="28"/>
              </w:rPr>
              <w:t xml:space="preserve"> </w:t>
            </w:r>
            <w:r>
              <w:rPr>
                <w:sz w:val="28"/>
                <w:szCs w:val="28"/>
              </w:rPr>
              <w:t>城市道路基础设施建设工程。</w:t>
            </w:r>
            <w:r>
              <w:rPr>
                <w:rFonts w:eastAsia="方正仿宋_GBK"/>
                <w:sz w:val="28"/>
                <w:szCs w:val="28"/>
              </w:rPr>
              <w:t>以提升城市内部路网畅通性和安全性为重点，实施交通畅行工程，建设一批高速公路、国省干线公路完善项目，构建“四环二十一射”快速路网，优化道路交通组织。</w:t>
            </w:r>
          </w:p>
          <w:p>
            <w:pPr>
              <w:pStyle w:val="13"/>
              <w:overflowPunct w:val="0"/>
              <w:autoSpaceDE w:val="0"/>
              <w:autoSpaceDN w:val="0"/>
              <w:adjustRightInd w:val="0"/>
              <w:snapToGrid w:val="0"/>
              <w:spacing w:line="500" w:lineRule="exact"/>
              <w:ind w:firstLine="560"/>
              <w:rPr>
                <w:rFonts w:eastAsia="方正仿宋_GBK"/>
                <w:sz w:val="28"/>
                <w:szCs w:val="28"/>
              </w:rPr>
            </w:pPr>
            <w:r>
              <w:rPr>
                <w:sz w:val="28"/>
                <w:szCs w:val="28"/>
              </w:rPr>
              <w:t>3.</w:t>
            </w:r>
            <w:r>
              <w:rPr>
                <w:rFonts w:hint="eastAsia"/>
                <w:sz w:val="28"/>
                <w:szCs w:val="28"/>
              </w:rPr>
              <w:t xml:space="preserve"> </w:t>
            </w:r>
            <w:r>
              <w:rPr>
                <w:sz w:val="28"/>
                <w:szCs w:val="28"/>
              </w:rPr>
              <w:t>国家绿色出行示范城市创建。</w:t>
            </w:r>
            <w:r>
              <w:rPr>
                <w:rFonts w:eastAsia="方正仿宋_GBK"/>
                <w:sz w:val="28"/>
                <w:szCs w:val="28"/>
              </w:rPr>
              <w:t>持续完善全市公共交通体系，加强城乡绿道系统建设，到2025年绿色出行比例达到70%以上，新能源和清洁能源公交车占所有公交车比例不低于80%，公共交通机动化出行分担率不低于50%。</w:t>
            </w:r>
          </w:p>
        </w:tc>
      </w:tr>
    </w:tbl>
    <w:p>
      <w:pPr>
        <w:widowControl/>
        <w:jc w:val="left"/>
        <w:rPr>
          <w:rFonts w:hint="eastAsia"/>
          <w:kern w:val="0"/>
        </w:rPr>
      </w:pPr>
    </w:p>
    <w:p>
      <w:pPr>
        <w:widowControl/>
        <w:jc w:val="left"/>
        <w:rPr>
          <w:rFonts w:hint="eastAsia"/>
          <w:kern w:val="0"/>
        </w:rPr>
      </w:pPr>
    </w:p>
    <w:p>
      <w:pPr>
        <w:overflowPunct w:val="0"/>
        <w:autoSpaceDE w:val="0"/>
        <w:autoSpaceDN w:val="0"/>
        <w:adjustRightInd w:val="0"/>
        <w:snapToGrid w:val="0"/>
        <w:spacing w:line="570" w:lineRule="exact"/>
        <w:jc w:val="center"/>
        <w:rPr>
          <w:rFonts w:hint="eastAsia" w:ascii="方正小标宋_GBK" w:eastAsia="方正小标宋_GBK"/>
          <w:kern w:val="0"/>
          <w:sz w:val="44"/>
          <w:szCs w:val="44"/>
        </w:rPr>
      </w:pPr>
      <w:r>
        <w:rPr>
          <w:kern w:val="0"/>
        </w:rP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bookmarkStart w:id="57" w:name="_Toc81592699"/>
      <w:r>
        <w:rPr>
          <w:rFonts w:hint="eastAsia" w:ascii="方正小标宋_GBK" w:hAnsi="Times New Roman" w:eastAsia="方正小标宋_GBK"/>
          <w:sz w:val="44"/>
          <w:szCs w:val="44"/>
        </w:rPr>
        <w:t>第七章  塑造城市文化独特风韵，</w:t>
      </w:r>
      <w:bookmarkStart w:id="58" w:name="_Hlk82532380"/>
      <w:r>
        <w:rPr>
          <w:rFonts w:hint="eastAsia" w:ascii="方正小标宋_GBK" w:hAnsi="Times New Roman" w:eastAsia="方正小标宋_GBK"/>
          <w:sz w:val="44"/>
          <w:szCs w:val="44"/>
        </w:rPr>
        <w:t>再现内涵</w:t>
      </w:r>
    </w:p>
    <w:p>
      <w:pPr>
        <w:overflowPunct w:val="0"/>
        <w:autoSpaceDE w:val="0"/>
        <w:autoSpaceDN w:val="0"/>
        <w:adjustRightInd w:val="0"/>
        <w:snapToGrid w:val="0"/>
        <w:spacing w:before="12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丰富的人文特色之美</w:t>
      </w:r>
      <w:bookmarkEnd w:id="57"/>
      <w:bookmarkEnd w:id="58"/>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持以社会主义核心价值观为引领，充分发挥常州深厚历史文化底蕴和丰富旅游资源优势，坚持以文化人、以文育德、以文惠民、以文塑韵、以文立业，不断提升城市软实力，加快建设长三角文旅中轴，打造长三角休闲度假中心。</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59" w:name="_Toc81592700"/>
      <w:r>
        <w:rPr>
          <w:rFonts w:ascii="方正黑体_GBK" w:hAnsi="Times New Roman" w:eastAsia="方正黑体_GBK"/>
          <w:sz w:val="32"/>
          <w:szCs w:val="32"/>
        </w:rPr>
        <w:t>第一节  保留城市记忆传承历史文脉</w:t>
      </w:r>
      <w:bookmarkEnd w:id="5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实现老城厢复兴发展。充分挖掘常州城区深厚历史文化底蕴和丰富旅游资源优势，注入现代管理元素，形成感知常州城市历史文脉的体验轴。通过串点成线、连轴成片，形成“老运河—上环线”“青果巷—西瀛里历史文脉轴”“文化宫—南大街核心商圈轴”“天宁寺—江南商场延陵景观轴”为核心的老城厢“一环三轴”新格局，整体按照国家5A级景区标准，打造“人文城厢”“活力城厢”“品质城厢”“宜居城厢”，形成独具特色、充满魅力的常州“城市会客厅”，推进常州“根”和“魂”的全面复兴。（责任单位：老城厢复兴发展领导小组成员单位）</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绽放历史文化时代风华。发挥文物资源在展示城市内涵、表现城市形象、增强城市综合竞争力中的作用，不断拓展文物合理利用的科学途径。加强常州文化资源的开发与宣传，做好历史街区、历史地段、红色文化、工业遗存、名人故居的保护传承利用研究工作，开展系列文物宣传活动，传承常州历史文化。组织实施好不可移动文物管理系统（二期拓展）项目，提升全市文物管理工作信息化水平，统筹做好文物保护和利用工作。加强引进文物保护社会力量，多方筹集文物发展资金，以多种形式资助、扶持、推动常州文物事业的发展。全面提升博物馆品质，发挥常州博物馆示范引领作用，推进武进区博物馆、金坛区博物馆等国有大馆建设。规范非国有博物馆管理，提升非国有博物馆公共服务功能。（责任单位：市文广旅局、市委宣传部、市教育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激发非遗文化传承活力。采取记忆性保护、抢救性保护、生产性保护和区域性整体保护四种重要的保护方式，推动金坛刻纸、乱针绣、留青竹刻、梳篦等非物质文化遗产传承发展，实现非遗保护与产业发展、经济深度融合。通过向社会招募学员等方式，推广实施家族传承、师徒传承与现代职业教育相结合的传承人培养模式。鼓励普通高等院校、职业技术院校通过开设非物质文化遗产相关专业、课程以及与相关单位联合办学、办班等途径，培养专业人才，鼓励有条件的院校资助学生学习传统技艺。加强非物质文化遗产代表性项目的传播与交流，进一步强化社会公众非遗保护的理念和认识，营造全社会关注、参与非遗保护的良好氛围。（责任单位：市委宣传部、市教育局、市文广旅局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834" w:type="dxa"/>
            <w:noWrap w:val="0"/>
            <w:vAlign w:val="center"/>
          </w:tcPr>
          <w:p>
            <w:pPr>
              <w:pStyle w:val="9"/>
              <w:overflowPunct w:val="0"/>
              <w:autoSpaceDE w:val="0"/>
              <w:autoSpaceDN w:val="0"/>
              <w:spacing w:line="500" w:lineRule="exact"/>
              <w:rPr>
                <w:szCs w:val="28"/>
              </w:rPr>
            </w:pPr>
            <w:r>
              <w:rPr>
                <w:szCs w:val="28"/>
              </w:rPr>
              <w:t>专栏10</w:t>
            </w:r>
            <w:r>
              <w:rPr>
                <w:rFonts w:hint="eastAsia"/>
                <w:szCs w:val="28"/>
              </w:rPr>
              <w:t xml:space="preserve">  </w:t>
            </w:r>
            <w:r>
              <w:rPr>
                <w:szCs w:val="28"/>
              </w:rPr>
              <w:t>历史文化保护重大工程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0"/>
              <w:overflowPunct w:val="0"/>
              <w:autoSpaceDE w:val="0"/>
              <w:autoSpaceDN w:val="0"/>
              <w:spacing w:line="500" w:lineRule="exact"/>
              <w:ind w:firstLine="560"/>
              <w:rPr>
                <w:szCs w:val="28"/>
              </w:rPr>
            </w:pPr>
            <w:r>
              <w:rPr>
                <w:rFonts w:eastAsia="方正楷体_GBK"/>
                <w:bCs/>
                <w:szCs w:val="28"/>
              </w:rPr>
              <w:t>1. 推进大运河文化带建设。</w:t>
            </w:r>
            <w:r>
              <w:rPr>
                <w:szCs w:val="28"/>
              </w:rPr>
              <w:t>推动古运河风光带保护开发，加强大运河（常州段）城市重要滨水廊道景观控制，构建“城河一体”发展格局，打造国家级遗址公园。加大运河风貌的有效管控，进一步挖掘提升常州大运河的文化内涵，实施青果巷历史文化街区二期、夏家大院、大成三厂、天宁寺、盛宣怀故居、意园等一批重点文物保护项目。配合推进大运河国家文化公园春秋淹城遗址改造提升等重大项目。</w:t>
            </w:r>
          </w:p>
          <w:p>
            <w:pPr>
              <w:pStyle w:val="10"/>
              <w:overflowPunct w:val="0"/>
              <w:autoSpaceDE w:val="0"/>
              <w:autoSpaceDN w:val="0"/>
              <w:spacing w:line="500" w:lineRule="exact"/>
              <w:ind w:firstLine="560"/>
              <w:rPr>
                <w:szCs w:val="28"/>
              </w:rPr>
            </w:pPr>
            <w:r>
              <w:rPr>
                <w:rFonts w:eastAsia="方正楷体_GBK"/>
                <w:bCs/>
                <w:szCs w:val="28"/>
              </w:rPr>
              <w:t>2.</w:t>
            </w:r>
            <w:r>
              <w:rPr>
                <w:rFonts w:hint="eastAsia" w:eastAsia="方正楷体_GBK"/>
                <w:bCs/>
                <w:szCs w:val="28"/>
              </w:rPr>
              <w:t xml:space="preserve"> </w:t>
            </w:r>
            <w:r>
              <w:rPr>
                <w:rFonts w:eastAsia="方正楷体_GBK"/>
                <w:bCs/>
                <w:szCs w:val="28"/>
              </w:rPr>
              <w:t>彰显红色文化的引领作用。</w:t>
            </w:r>
            <w:r>
              <w:rPr>
                <w:szCs w:val="28"/>
              </w:rPr>
              <w:t>积极谋划5个革命文物保护片区成片保护，开展李公朴旧居、澄西抗日民主政府旧址、逸仙中学旧址等革命文物的修缮。出版《常州红色革命经典》系列丛书，积极开展常州红色旅游课题研究，把三杰纪念馆、新四军江南指挥部纪念馆、中共苏皖边区一大会址、中共太滆地委新四军南杨桥地下交通站旧址、中共常州地区百年党建史料馆、戚电厂红色教育基地、王诤故居等红色史迹串珠成链，打造全国一流的红色文化教育基地。</w:t>
            </w:r>
          </w:p>
          <w:p>
            <w:pPr>
              <w:pStyle w:val="10"/>
              <w:overflowPunct w:val="0"/>
              <w:autoSpaceDE w:val="0"/>
              <w:autoSpaceDN w:val="0"/>
              <w:spacing w:line="500" w:lineRule="exact"/>
              <w:ind w:firstLine="560"/>
              <w:rPr>
                <w:szCs w:val="28"/>
              </w:rPr>
            </w:pPr>
            <w:r>
              <w:rPr>
                <w:rFonts w:eastAsia="方正楷体_GBK"/>
                <w:bCs/>
                <w:szCs w:val="28"/>
              </w:rPr>
              <w:t>3.</w:t>
            </w:r>
            <w:r>
              <w:rPr>
                <w:rFonts w:hint="eastAsia" w:eastAsia="方正楷体_GBK"/>
                <w:bCs/>
                <w:szCs w:val="28"/>
              </w:rPr>
              <w:t xml:space="preserve"> </w:t>
            </w:r>
            <w:r>
              <w:rPr>
                <w:rFonts w:eastAsia="方正楷体_GBK"/>
                <w:bCs/>
                <w:szCs w:val="28"/>
              </w:rPr>
              <w:t>加快名人馆群建设。</w:t>
            </w:r>
            <w:r>
              <w:rPr>
                <w:szCs w:val="28"/>
              </w:rPr>
              <w:t>推进名人故居保护与修缮，推动盛宣怀故居修缮利用，加强蔡旭展馆的保护利用。根据相关文化及地理位置策划古吴文化、春秋季子、齐梁文化、历史名园、宗教参拜、状元府第、民国名媛、姓氏宗亲、孟河医派等线路，强化名人文化效应。</w:t>
            </w:r>
          </w:p>
          <w:p>
            <w:pPr>
              <w:pStyle w:val="10"/>
              <w:overflowPunct w:val="0"/>
              <w:autoSpaceDE w:val="0"/>
              <w:autoSpaceDN w:val="0"/>
              <w:spacing w:line="500" w:lineRule="exact"/>
              <w:ind w:firstLine="560"/>
              <w:rPr>
                <w:szCs w:val="28"/>
              </w:rPr>
            </w:pPr>
            <w:r>
              <w:rPr>
                <w:rFonts w:eastAsia="方正楷体_GBK"/>
                <w:bCs/>
                <w:szCs w:val="28"/>
              </w:rPr>
              <w:t>4.</w:t>
            </w:r>
            <w:r>
              <w:rPr>
                <w:rFonts w:hint="eastAsia" w:eastAsia="方正楷体_GBK"/>
                <w:bCs/>
                <w:szCs w:val="28"/>
              </w:rPr>
              <w:t xml:space="preserve"> </w:t>
            </w:r>
            <w:r>
              <w:rPr>
                <w:rFonts w:eastAsia="方正楷体_GBK"/>
                <w:bCs/>
                <w:szCs w:val="28"/>
              </w:rPr>
              <w:t>延续工业遗产的不朽活力。</w:t>
            </w:r>
            <w:r>
              <w:rPr>
                <w:szCs w:val="28"/>
              </w:rPr>
              <w:t>按照“护其貌、显其颜、铸其魂、扬其韵”的思路，重点扶持矿机厂、科试中心、储油仓库、航仪厂、运河五号、国光厂、梳篦厂、酱品厂、南港码头、大成一厂、大成三厂、大明厂、戚机厂、福源米厂等一批工业遗产，打造常州工业遗产遗址群。</w:t>
            </w:r>
          </w:p>
          <w:p>
            <w:pPr>
              <w:pStyle w:val="10"/>
              <w:overflowPunct w:val="0"/>
              <w:autoSpaceDE w:val="0"/>
              <w:autoSpaceDN w:val="0"/>
              <w:spacing w:line="500" w:lineRule="exact"/>
              <w:ind w:firstLine="560"/>
              <w:rPr>
                <w:szCs w:val="28"/>
              </w:rPr>
            </w:pPr>
            <w:r>
              <w:rPr>
                <w:rFonts w:eastAsia="方正楷体_GBK"/>
                <w:bCs/>
                <w:szCs w:val="28"/>
              </w:rPr>
              <w:t>5.</w:t>
            </w:r>
            <w:r>
              <w:rPr>
                <w:rFonts w:hint="eastAsia" w:eastAsia="方正楷体_GBK"/>
                <w:bCs/>
                <w:szCs w:val="28"/>
              </w:rPr>
              <w:t xml:space="preserve"> </w:t>
            </w:r>
            <w:r>
              <w:rPr>
                <w:rFonts w:eastAsia="方正楷体_GBK"/>
                <w:bCs/>
                <w:szCs w:val="28"/>
              </w:rPr>
              <w:t>推动古镇古村的保护振兴。</w:t>
            </w:r>
            <w:r>
              <w:rPr>
                <w:szCs w:val="28"/>
              </w:rPr>
              <w:t>采取政府主导、社会参与等有效手段，抢救在城镇建设中可能消失的古镇古村，深入开展遗产价值和文化内涵研究，修复完善古镇原有水系和原有形态，重点做好杨桥、魏村、奔牛、余巷、雪堰、横山桥、西夏墅、沙涨村等古镇古村的抢救保护工程。持续推进焦溪古镇申遗工作，推动文物建筑修缮工作，提升文物建筑完好率，推进古镇水环境整治、文旅资源开发利用等。</w:t>
            </w:r>
          </w:p>
        </w:tc>
      </w:tr>
    </w:tbl>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60" w:name="_Toc81592701"/>
      <w:r>
        <w:rPr>
          <w:rFonts w:ascii="方正黑体_GBK" w:hAnsi="Times New Roman" w:eastAsia="方正黑体_GBK"/>
          <w:sz w:val="32"/>
          <w:szCs w:val="32"/>
        </w:rPr>
        <w:t>第二节  丰富多元体验提升文旅融合</w:t>
      </w:r>
      <w:bookmarkEnd w:id="60"/>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eastAsia="方正仿宋_GBK"/>
          <w:sz w:val="32"/>
          <w:szCs w:val="32"/>
        </w:rPr>
        <w:t>塑造特色文旅品牌。</w:t>
      </w:r>
      <w:r>
        <w:rPr>
          <w:rFonts w:ascii="Times New Roman" w:hAnsi="Times New Roman" w:eastAsia="方正仿宋_GBK"/>
          <w:sz w:val="32"/>
          <w:szCs w:val="32"/>
        </w:rPr>
        <w:t>为全面打造长三角文旅中轴，深入实施“文化＋”“旅游＋”战略，以一流的旅游产品、旅游环境、旅游服务、旅游体验，擦亮“智造之都、宜居之城、常乐之州”城市名片，打响“常州，教我如何不想她”城市品牌。把文化作为常州旅游最深度体验，加强对常州文脉的挖掘梳理，深入挖掘历史文脉，着力打造“开吴之地·名士之都”“江南门户·运河名城”“三杰故里·红色名城”“百年工商·智造名城”等文旅核心品牌，充分彰显常州“吴地古韵，江南雅韵，中国风韵”三大文化担当，提升常州作为吴文化、江南文化重要发源地的影响力。实施中华恐龙园品牌输出工程，形成全国连锁性旅游品牌标识。加快沙特馆、海洋馆等建设，形成江南环球港文商旅综合体品牌。积极推动苏锡常都市圈文化旅游融合发展，加快环太湖休闲旅游度假区建设，联手打造“大运河世界遗产经典游”“环太湖休闲度假精品游”“江南古城古镇古村体验游”等文旅品牌和精品线路。</w:t>
      </w:r>
      <w:r>
        <w:rPr>
          <w:rFonts w:ascii="Times New Roman" w:eastAsia="方正仿宋_GBK"/>
          <w:sz w:val="32"/>
          <w:szCs w:val="32"/>
        </w:rPr>
        <w:t>（责任单位：市文广旅局、市委宣传部按职责分工负责）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834" w:type="dxa"/>
            <w:noWrap w:val="0"/>
            <w:vAlign w:val="center"/>
          </w:tcPr>
          <w:p>
            <w:pPr>
              <w:pStyle w:val="9"/>
              <w:overflowPunct w:val="0"/>
              <w:autoSpaceDE w:val="0"/>
              <w:autoSpaceDN w:val="0"/>
              <w:spacing w:line="500" w:lineRule="exact"/>
              <w:rPr>
                <w:szCs w:val="28"/>
              </w:rPr>
            </w:pPr>
            <w:r>
              <w:rPr>
                <w:szCs w:val="28"/>
              </w:rPr>
              <w:t>专栏11</w:t>
            </w:r>
            <w:r>
              <w:rPr>
                <w:rFonts w:hint="eastAsia"/>
                <w:szCs w:val="28"/>
              </w:rPr>
              <w:t xml:space="preserve">  </w:t>
            </w:r>
            <w:r>
              <w:rPr>
                <w:szCs w:val="28"/>
              </w:rPr>
              <w:t>文旅核心品牌建设工程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0"/>
              <w:overflowPunct w:val="0"/>
              <w:autoSpaceDE w:val="0"/>
              <w:autoSpaceDN w:val="0"/>
              <w:spacing w:line="500" w:lineRule="exact"/>
              <w:ind w:firstLine="560"/>
              <w:rPr>
                <w:szCs w:val="28"/>
              </w:rPr>
            </w:pPr>
            <w:r>
              <w:rPr>
                <w:rFonts w:eastAsia="方正楷体_GBK"/>
                <w:bCs/>
                <w:szCs w:val="28"/>
              </w:rPr>
              <w:t>1. “开吴之地·名士之都”品牌。</w:t>
            </w:r>
            <w:r>
              <w:rPr>
                <w:szCs w:val="28"/>
              </w:rPr>
              <w:t>深入挖掘常州名家巨擘辈出、名人故居众多的资源优势，发挥历史名人在旅游发展中的独特作用，彰显“诚信、包容、开放、儒雅”的常州名士精神。加快实施季子文化传承中心等重大项目，推进苏东坡、唐荆川、恽南田、管干贞、赵翼、李伯元、盛宣怀、赵元任、刘国钧、周有光等代表性名人纪念馆群建设，推出“跟着名人游常州”精品旅游线路，实现名人文化资源保护利用的整体性、可持续性。</w:t>
            </w:r>
          </w:p>
          <w:p>
            <w:pPr>
              <w:pStyle w:val="10"/>
              <w:overflowPunct w:val="0"/>
              <w:autoSpaceDE w:val="0"/>
              <w:autoSpaceDN w:val="0"/>
              <w:spacing w:line="500" w:lineRule="exact"/>
              <w:ind w:firstLine="560"/>
              <w:rPr>
                <w:szCs w:val="28"/>
              </w:rPr>
            </w:pPr>
            <w:r>
              <w:rPr>
                <w:rFonts w:eastAsia="方正楷体_GBK"/>
                <w:bCs/>
                <w:szCs w:val="28"/>
              </w:rPr>
              <w:t>2</w:t>
            </w:r>
            <w:r>
              <w:rPr>
                <w:rFonts w:hint="eastAsia" w:eastAsia="方正楷体_GBK"/>
                <w:bCs/>
                <w:szCs w:val="28"/>
              </w:rPr>
              <w:t xml:space="preserve">. </w:t>
            </w:r>
            <w:r>
              <w:rPr>
                <w:rFonts w:eastAsia="方正楷体_GBK"/>
                <w:bCs/>
                <w:szCs w:val="28"/>
              </w:rPr>
              <w:t>“江南门户·运河名城”品牌。</w:t>
            </w:r>
            <w:r>
              <w:rPr>
                <w:szCs w:val="28"/>
              </w:rPr>
              <w:t>编制实施《大运河文化带常州段总体规划》，依托世界遗产大运河常州城区段，推进西起中吴大桥东至朝阳桥的核心区先导段建设，构建“城河一体”文旅发展新格局。加强古运河风光带保护开发，推动孟河、奔牛、杨桥等古镇古村保护利用和焦溪古镇江南水乡古镇联合申遗，实施青果巷历史文化街区二期、大运河文化带奔牛段、大运河文化带春秋淹城遗址改造提升等一批重大项目，将青果巷、南市河、篦箕巷、锁桥湾等历史文化遗存串连成线，打造特色鲜明、有机联系、相得益彰的运河文旅长廊。进一步扩大“常走大运”等品牌活动的全国影响，积极参与“大运河世界遗产经典游”等精品项目建设，推动古运河水上游提档升级，打造高品位的文化长廊、高颜值的旅游长廊。</w:t>
            </w:r>
          </w:p>
          <w:p>
            <w:pPr>
              <w:pStyle w:val="10"/>
              <w:overflowPunct w:val="0"/>
              <w:autoSpaceDE w:val="0"/>
              <w:autoSpaceDN w:val="0"/>
              <w:spacing w:line="500" w:lineRule="exact"/>
              <w:ind w:firstLine="560"/>
              <w:rPr>
                <w:szCs w:val="28"/>
              </w:rPr>
            </w:pPr>
            <w:r>
              <w:rPr>
                <w:rFonts w:eastAsia="方正楷体_GBK"/>
                <w:bCs/>
                <w:szCs w:val="28"/>
              </w:rPr>
              <w:t>3</w:t>
            </w:r>
            <w:r>
              <w:rPr>
                <w:rFonts w:hint="eastAsia" w:eastAsia="方正楷体_GBK"/>
                <w:bCs/>
                <w:szCs w:val="28"/>
              </w:rPr>
              <w:t xml:space="preserve">. </w:t>
            </w:r>
            <w:r>
              <w:rPr>
                <w:rFonts w:eastAsia="方正楷体_GBK"/>
                <w:bCs/>
                <w:szCs w:val="28"/>
              </w:rPr>
              <w:t>“三杰故里·红色名城”品牌。</w:t>
            </w:r>
            <w:r>
              <w:rPr>
                <w:szCs w:val="28"/>
              </w:rPr>
              <w:t>保护好、利用好以“常州三杰”为代表的红色文化资源，整合常州三杰纪念馆、溧阳新四军纪念馆、中共苏皖区一大会址、中共常州地区百年党建史料馆、王诤故居、冯仲云故居等红色史迹，打造全国一流的红色文化教育基地。重点实施青果巷红色文化教育体验基地、钟楼大庙弄红色文化街区等红色旅游经典景区，推动红色文化融入生态游、乡村游、民俗游、工业游等，积极争创红色旅游融合发展示范区，打造全国有影响的红色旅游目的地。</w:t>
            </w:r>
          </w:p>
          <w:p>
            <w:pPr>
              <w:pStyle w:val="10"/>
              <w:overflowPunct w:val="0"/>
              <w:autoSpaceDE w:val="0"/>
              <w:autoSpaceDN w:val="0"/>
              <w:spacing w:line="500" w:lineRule="exact"/>
              <w:ind w:firstLine="560"/>
              <w:rPr>
                <w:szCs w:val="28"/>
              </w:rPr>
            </w:pPr>
            <w:r>
              <w:rPr>
                <w:rFonts w:eastAsia="方正楷体_GBK"/>
                <w:bCs/>
                <w:szCs w:val="28"/>
              </w:rPr>
              <w:t>4</w:t>
            </w:r>
            <w:r>
              <w:rPr>
                <w:rFonts w:hint="eastAsia" w:eastAsia="方正楷体_GBK"/>
                <w:bCs/>
                <w:szCs w:val="28"/>
              </w:rPr>
              <w:t xml:space="preserve">. </w:t>
            </w:r>
            <w:r>
              <w:rPr>
                <w:rFonts w:eastAsia="方正楷体_GBK"/>
                <w:bCs/>
                <w:szCs w:val="28"/>
              </w:rPr>
              <w:t>“百年工商·智造名城”品牌。</w:t>
            </w:r>
            <w:r>
              <w:rPr>
                <w:szCs w:val="28"/>
              </w:rPr>
              <w:t>充分挖掘利用常州工商文化遗产价值和现代智造产业优势，依托恒源畅厂、戚机厂、国光1937科技文化产业园、天虹大明1921创意园等，通过空间重组、要素重置和功能重构，打造具有鲜明常州特色的“工业旅游廊道”。重点实施纺织博览园、黑牡丹文创园南城脚园区、蓝科技文化创意旅游区、新型纺织服装工业旅游等一批项目，</w:t>
            </w:r>
            <w:r>
              <w:rPr>
                <w:spacing w:val="-4"/>
                <w:szCs w:val="28"/>
              </w:rPr>
              <w:t>积极推进工业旅游示范区创建，培育一批生产观光游、厂区体验游、工业研学游等工业旅游特色产品，加快把常州打造成为全国知名工业旅游目的地。</w:t>
            </w:r>
          </w:p>
        </w:tc>
      </w:tr>
    </w:tbl>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营造全域旅游格局。坚持将常州建成中国高端度假目的地，整体建设、经营、管理，突出常州元素、江南特质、灵动韵味，构建具有代表性、独特性、地域性的城市形象符号体系，充分彰显常州温润秀丽的山水风貌、悠久深厚的人文风采和宜居宜游宜乐的独特风韵，擘画生态美、生产美、生活美的融合发展新图景，推动常州旅游现代化、集约化、品质化发展，实现全域宜居宜业宜游。充分发挥上海大都市圈、南京都市圈、杭州都市圈交汇叠加优势，加快构建“一核、两轴、四极、四片”全域旅游发展大格局。加快打造“三山四湖”休闲度假旅游带，推进全域旅游示范区创建，形成溧阳国家全域旅游示范区及金坛、武进、新北、天宁、钟楼五个省级全域旅游示范区。（责任单位：市文广旅局）</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发旅游多元业态。积极拓展“旅游+”深度广度，推动文化和旅游深度融合，促进旅游与商贸、体育、工业、农业、教育、科技等融合发展，积极打造核心旅游IP，推动产业链和价值链向高端延伸发展。做靓“龙城夜未央”特色品牌，依托古运河两岸、青果巷、南大街、江南环球港、迪诺水镇、常州文化广场等，集中打造一批文商旅融合、体验感强的地标性夜间消费集聚区，加快繁荣夜游、夜食、夜演、夜购、夜宿、夜展等消费业态。积极实施“四季旅游”发展战略，做大做强乡村旅游、康养旅游、生态旅游、研学旅游等新业态、新产品，实现四季风光展示、多元文化传承、多种业态融合的全要素、全时空集聚发展，形成“处处有景、四季可游”的新格局。创建国家文化和旅游消费试点城市，打造“乐园之都”“闲逸山水”“美丽乡村”“食美常州”等标志性旅游产品，搭建“常州礼遇”官方电商运营平台。（责任单位：市委宣传部、市文广旅局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61" w:name="_Toc81592702"/>
      <w:r>
        <w:rPr>
          <w:rFonts w:ascii="方正黑体_GBK" w:hAnsi="Times New Roman" w:eastAsia="方正黑体_GBK"/>
          <w:sz w:val="32"/>
          <w:szCs w:val="32"/>
        </w:rPr>
        <w:t>第三节  满足美好期待丰富精神生活</w:t>
      </w:r>
      <w:bookmarkEnd w:id="6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筑文化精品创作高地。科学规划文艺创作生产，合理布局文艺精品项目。聚焦本土历史题材、革命题材和现实题材，将常州本土元素、历史名人故居等特色素材进行有效嫁接，持续开展高品质文艺创作，推出更多彰显时代特征、常州特质的“扛鼎之作”。建立健全科学合理的文化产品评价体系和文艺创作扶持机制，进一步加大对优秀作品和人才的资助力度，激发全社会创作热情。以注重扶剧本、扶前期为导向，大力支持推荐优秀项目申报国家、省级艺术基金，加速形成国家、省、市三级艺术基金政策扶持体系，推动全社会资源向艺术精品生产进一步集聚。（责任单位：市委宣传部、市文广旅局、市财政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公共文化服务网络。推进基层公共文化资源有效整合和统筹利用，着力发挥基层综合性文化服务中心功能，促进文化供给有效匹配。加快“书香城市”建设，扩大“秋白书苑”品牌影响力，将常州图书馆新馆打造成为城市文化客厅，确保辖市区公共文化场馆建设全面达标，为更多市民提供高品质、多元化的阅读体验。推进公共数字文化服务建设，完善“文旅常州”数字服务平台，整合线上线下文化服务渠道，提供一站式数字公共文旅服务。持续办好“文旅惠民月”等特色惠民活动，提高基本公共文化服务的覆盖面和适用性。积极推进基层综合性文化服务中心示范点建设，建设一批有特色、有亮点的基层综合性文化服务中心形成“以点带面、全面提升”建设新格局。（责任单位：市文广旅局、市委宣传部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升公共体育服务效能。推动健身设施均衡发展，加大对农村和薄弱地区公共体育设施建设扶持力度，推动农民体育健身工程提档升级，建成城乡一体、普惠均等的“10分钟体育健身圈”，补齐基本公共体育服务短板。加快现有健身设施提档升级，推进建设智慧健身路径、智慧健身步道、智慧体育公园，增强群众健身体验，提升智慧化全民健身公共服务水平。加强体育赛事战略规划，持续办好中国羽毛球公开赛、中国马拉松精英排名赛、中国网球巡回赛、全国女排联赛、西太湖半程马拉松、茅山山地半程马拉松赛等重大竞技体育赛事，打响“运动龙城大联赛”群体赛事品牌，激发群众参加体育健身活动热情。到2025年，人均公共体育场地面积超4平方米，实现全民健身活动中心镇（街道）全覆盖。（责任单位：市体育局）</w:t>
      </w:r>
    </w:p>
    <w:p>
      <w:pPr>
        <w:adjustRightInd w:val="0"/>
        <w:snapToGrid w:val="0"/>
        <w:spacing w:line="570" w:lineRule="exact"/>
        <w:jc w:val="center"/>
        <w:rPr>
          <w:rFonts w:hint="eastAsia" w:ascii="方正小标宋_GBK" w:eastAsia="方正小标宋_GBK"/>
          <w:bCs/>
          <w:sz w:val="44"/>
          <w:szCs w:val="44"/>
        </w:rPr>
      </w:pPr>
      <w: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bookmarkStart w:id="62" w:name="_Toc81592703"/>
      <w:r>
        <w:rPr>
          <w:rFonts w:hint="eastAsia" w:ascii="方正小标宋_GBK" w:hAnsi="Times New Roman" w:eastAsia="方正小标宋_GBK"/>
          <w:sz w:val="44"/>
          <w:szCs w:val="44"/>
        </w:rPr>
        <w:t>第八章  引领社会风尚明德惟馨，</w:t>
      </w:r>
    </w:p>
    <w:p>
      <w:pPr>
        <w:overflowPunct w:val="0"/>
        <w:autoSpaceDE w:val="0"/>
        <w:autoSpaceDN w:val="0"/>
        <w:adjustRightInd w:val="0"/>
        <w:snapToGrid w:val="0"/>
        <w:spacing w:before="12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营造共建共治的文明和谐之美</w:t>
      </w:r>
      <w:bookmarkEnd w:id="62"/>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以社会主义核心价值观为引领，培育新时代“常州精神”，聚焦崇德向善、和谐宜居、人民满意，塑造展现社会主义文化繁荣兴盛的现代城市文明，加快完善社会治理体系，建设统筹发展和安全示范区，让全市人民在共建共治共享的过程中有更多的获得感、幸福感和安全感。</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63" w:name="_Toc81592704"/>
      <w:r>
        <w:rPr>
          <w:rFonts w:ascii="方正黑体_GBK" w:hAnsi="Times New Roman" w:eastAsia="方正黑体_GBK"/>
          <w:sz w:val="32"/>
          <w:szCs w:val="32"/>
        </w:rPr>
        <w:t>第一节  坚持高尚品行倡导社会新风</w:t>
      </w:r>
      <w:bookmarkEnd w:id="6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建设全域文明城市。弘扬社会主义核心价值观，培育和深化中国特色社会主义价值认同，打造一批社会主义核心价值观建设示范基地。大力弘扬“勇争一流、耻为二手”常州精神，传承“常州三杰”红色基因，把社会主义核心价值观融入社会生活，不断升华城市气质。全面深化全国文明城市建设长效机制，深入开展交通秩序提升、轨道交通沿线市容环境综合整治、老旧小区改造等专项行动，着力提高文明城市建设精细化智能化常态化水平。加大《常州市文明行为促进条例》宣传贯彻实施力度，广泛开展群众性精神文明活动，引导群众养成健康文明生活习惯，提高市民文明素质。同步开展文明村镇、文明家庭、文明校园、文明单位等创建评选工作，争创典范性全国文明城市，确保位列全国文明城市第一方阵。（责任单位：市文明办、市教育局、市民政局、市交通局、市住建局、市城管局、市农业农村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培育社会道德风尚。健全公民道德建设长效机制，坚持宣传引导与实践活动相结合，深化拓展新时代文明实践中心建设，推进新时代道德讲堂高质量发展，2025年实现70%的行政村创成县级以上文明村，乡镇（街道）、村（社区）新时代文明实践所、站全覆盖。深入开展志愿服务行动，健全志愿服务保障机制，推进志愿服务制度化，注册志愿者占城镇人口比例达到18%以上。大力弘扬劳动精神、劳模精神和工匠精神，完善时代楷模、道德模范、龙城先锋、最美人物、优秀志愿者等各类典型培育选树制度。完善舆论引导机制，加强市级新型主流媒体、县级融媒体中心建设，加快媒体融合向纵深发展，讲好常州故事。（责任单位：市文明办、市民政局、市农业农村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社会诚信建设。加快推进社会信用体系建设，提高全社会诚信意识和信用水平。完善企业社会责任法律制度，增强企业社会责任意识，促进企业诚实守信、合法经营。健全公民和组织守法信用记录，建立以公民身份证号码和组织机构代码为基础的统一社会信用代码制度。完善诚信建设长效机制，健全覆盖全社会的征信体系，建立完善守信联合激励和失信联合惩戒制度，加大对失信被执行人信用监督、威慑和惩戒力度。结合实际建立信用修复机制，鼓励和引导失信主体主动纠正违法失信行为。加强行业协会商会诚信建设，完善诚信管理和诚信自律机制。健全完善公共信用信息共享平台、企业信用信息公示管理制度等，进一步强化和规范信用信息归集共享，形成覆盖全部信用主体、所有信用信息类别、所有区域的信用信息网络。（责任单位：市发展改革委）</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广绿色生活方式。开展文明健康习惯养成行动，巩固和发扬在抗击疫情斗争中形成的文明行为和良好风尚，推动形成文明健康的交往模式、生活方式和风俗习惯。开展绿色环保生活方式推广行动，加强绿色消费理念宣传普及，鼓励群众在日常消费中选购绿色、环保、可循环产品。倡导养成简约适度的消费习惯，开展制止餐饮浪费行动，积极推动党政机关、餐饮企业、酒店、小餐饮店、学校、医院食堂等深入开展“光盘行动”，广泛推行节俭用餐理念。（责任单位：市委宣传部，市发展改革委、市生态环境局、市机关事务局按职责分工负责）</w:t>
      </w:r>
    </w:p>
    <w:tbl>
      <w:tblPr>
        <w:tblStyle w:val="4"/>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2"/>
              <w:overflowPunct w:val="0"/>
              <w:autoSpaceDE w:val="0"/>
              <w:autoSpaceDN w:val="0"/>
              <w:spacing w:line="500" w:lineRule="exact"/>
              <w:rPr>
                <w:rStyle w:val="6"/>
                <w:rFonts w:eastAsia="方正黑体_GBK"/>
                <w:sz w:val="28"/>
                <w:szCs w:val="28"/>
              </w:rPr>
            </w:pPr>
            <w:r>
              <w:rPr>
                <w:rStyle w:val="6"/>
                <w:rFonts w:eastAsia="方正黑体_GBK"/>
                <w:sz w:val="28"/>
                <w:szCs w:val="28"/>
              </w:rPr>
              <w:t>专栏12</w:t>
            </w:r>
            <w:r>
              <w:rPr>
                <w:rStyle w:val="6"/>
                <w:rFonts w:hint="eastAsia" w:eastAsia="方正黑体_GBK"/>
                <w:sz w:val="28"/>
                <w:szCs w:val="28"/>
              </w:rPr>
              <w:t xml:space="preserve">  </w:t>
            </w:r>
            <w:r>
              <w:rPr>
                <w:rStyle w:val="6"/>
                <w:rFonts w:eastAsia="方正黑体_GBK"/>
                <w:sz w:val="28"/>
                <w:szCs w:val="28"/>
              </w:rPr>
              <w:t>文明新风倡导重大工程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34" w:type="dxa"/>
            <w:noWrap w:val="0"/>
            <w:vAlign w:val="top"/>
          </w:tcPr>
          <w:p>
            <w:pPr>
              <w:pStyle w:val="13"/>
              <w:overflowPunct w:val="0"/>
              <w:autoSpaceDE w:val="0"/>
              <w:autoSpaceDN w:val="0"/>
              <w:adjustRightInd w:val="0"/>
              <w:snapToGrid w:val="0"/>
              <w:spacing w:line="500" w:lineRule="exact"/>
              <w:ind w:firstLine="544"/>
              <w:rPr>
                <w:rStyle w:val="6"/>
                <w:rFonts w:eastAsia="方正仿宋_GBK"/>
                <w:spacing w:val="-4"/>
                <w:sz w:val="28"/>
                <w:szCs w:val="28"/>
              </w:rPr>
            </w:pPr>
            <w:r>
              <w:rPr>
                <w:rStyle w:val="6"/>
                <w:rFonts w:eastAsia="方正楷体_GBK"/>
                <w:spacing w:val="-4"/>
                <w:sz w:val="28"/>
                <w:szCs w:val="28"/>
              </w:rPr>
              <w:t>1. 开展文明城乡创建活动。</w:t>
            </w:r>
            <w:r>
              <w:rPr>
                <w:rStyle w:val="6"/>
                <w:rFonts w:eastAsia="方正仿宋_GBK"/>
                <w:spacing w:val="-4"/>
                <w:sz w:val="28"/>
                <w:szCs w:val="28"/>
              </w:rPr>
              <w:t>深入开展创建文明城市、文明村镇、文明单位、文明家庭、文明校园活动，争创典范性全国文明城市，到2025年，确保全市位列全国文明城市第一方阵，70%的行政村创成县级以上文明村。</w:t>
            </w:r>
          </w:p>
          <w:p>
            <w:pPr>
              <w:pStyle w:val="13"/>
              <w:overflowPunct w:val="0"/>
              <w:autoSpaceDE w:val="0"/>
              <w:autoSpaceDN w:val="0"/>
              <w:adjustRightInd w:val="0"/>
              <w:snapToGrid w:val="0"/>
              <w:spacing w:line="500" w:lineRule="exact"/>
              <w:ind w:firstLine="560"/>
              <w:rPr>
                <w:rStyle w:val="6"/>
                <w:rFonts w:eastAsia="方正仿宋_GBK"/>
                <w:sz w:val="28"/>
                <w:szCs w:val="28"/>
              </w:rPr>
            </w:pPr>
            <w:r>
              <w:rPr>
                <w:rStyle w:val="6"/>
                <w:rFonts w:eastAsia="方正楷体_GBK"/>
                <w:sz w:val="28"/>
                <w:szCs w:val="28"/>
              </w:rPr>
              <w:t>2.</w:t>
            </w:r>
            <w:r>
              <w:rPr>
                <w:rStyle w:val="6"/>
                <w:rFonts w:hint="eastAsia" w:eastAsia="方正楷体_GBK"/>
                <w:sz w:val="28"/>
                <w:szCs w:val="28"/>
              </w:rPr>
              <w:t xml:space="preserve"> </w:t>
            </w:r>
            <w:r>
              <w:rPr>
                <w:rStyle w:val="6"/>
                <w:rFonts w:eastAsia="方正楷体_GBK"/>
                <w:sz w:val="28"/>
                <w:szCs w:val="28"/>
              </w:rPr>
              <w:t>实施公民道德建设行动。</w:t>
            </w:r>
            <w:r>
              <w:rPr>
                <w:rStyle w:val="6"/>
                <w:rFonts w:eastAsia="方正仿宋_GBK"/>
                <w:sz w:val="28"/>
                <w:szCs w:val="28"/>
              </w:rPr>
              <w:t>用好新时代文明实践中心、道德讲堂等各类道德教育阵地，持续强化教育引导、实践养成、制度保障，全面推进社会公德、职业道德、家庭美德、个人品德建设，打造一批志愿服务品牌</w:t>
            </w:r>
            <w:r>
              <w:rPr>
                <w:rFonts w:eastAsia="方正仿宋_GBK"/>
                <w:snapToGrid w:val="0"/>
                <w:kern w:val="0"/>
                <w:sz w:val="28"/>
                <w:szCs w:val="28"/>
              </w:rPr>
              <w:t>。</w:t>
            </w:r>
          </w:p>
          <w:p>
            <w:pPr>
              <w:pStyle w:val="13"/>
              <w:overflowPunct w:val="0"/>
              <w:autoSpaceDE w:val="0"/>
              <w:autoSpaceDN w:val="0"/>
              <w:adjustRightInd w:val="0"/>
              <w:snapToGrid w:val="0"/>
              <w:spacing w:line="500" w:lineRule="exact"/>
              <w:ind w:firstLine="560"/>
              <w:rPr>
                <w:rStyle w:val="6"/>
                <w:rFonts w:eastAsia="方正仿宋_GBK"/>
                <w:sz w:val="28"/>
                <w:szCs w:val="28"/>
              </w:rPr>
            </w:pPr>
            <w:r>
              <w:rPr>
                <w:rStyle w:val="6"/>
                <w:rFonts w:eastAsia="方正楷体_GBK"/>
                <w:sz w:val="28"/>
                <w:szCs w:val="28"/>
              </w:rPr>
              <w:t>3.</w:t>
            </w:r>
            <w:r>
              <w:rPr>
                <w:rStyle w:val="6"/>
                <w:rFonts w:hint="eastAsia" w:eastAsia="方正楷体_GBK"/>
                <w:sz w:val="28"/>
                <w:szCs w:val="28"/>
              </w:rPr>
              <w:t xml:space="preserve"> </w:t>
            </w:r>
            <w:r>
              <w:rPr>
                <w:rStyle w:val="6"/>
                <w:rFonts w:eastAsia="方正楷体_GBK"/>
                <w:sz w:val="28"/>
                <w:szCs w:val="28"/>
              </w:rPr>
              <w:t>全力构建诚信社会体系。</w:t>
            </w:r>
            <w:r>
              <w:rPr>
                <w:rStyle w:val="6"/>
                <w:rFonts w:eastAsia="方正仿宋_GBK"/>
                <w:sz w:val="28"/>
                <w:szCs w:val="28"/>
              </w:rPr>
              <w:t>以社会信用体系建设和经济社会高质量发展深度融合为主线，不断加快信用基础设施建设，全面强化信用监管，形成覆盖全部信用主体、所有信用信息类别、所有区域的信用信息网络。</w:t>
            </w:r>
          </w:p>
        </w:tc>
      </w:tr>
    </w:tbl>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64" w:name="_Toc81592705"/>
      <w:r>
        <w:rPr>
          <w:rFonts w:ascii="方正黑体_GBK" w:hAnsi="Times New Roman" w:eastAsia="方正黑体_GBK"/>
          <w:sz w:val="32"/>
          <w:szCs w:val="32"/>
        </w:rPr>
        <w:t>第二节  增进民生福祉提升幸福质感</w:t>
      </w:r>
      <w:bookmarkEnd w:id="6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就业创业实现富民增收。坚持实施就业优先战略，建立促进创业带动就业、培育壮大新业态灵活就业机制，提高就业供给质量。完善重点群体就业支持体系，着力推进高校毕业生、退役军人、城乡困难群体就业，年均新增城镇就业10万人，到2025年，城镇调查失业率低于5%。扶持创业带动就业，实施创业就业富民行动，强化创业孵化载体与创业服务“云平台”功能，优化创业培训精准服务，打造创业圆梦首选城市。实施职业技能提升行动，创新技能人才培养方式，提高劳动者适应技术变革和产业转型的能力。大力实施富民增收行动计划，完善收入分配机制，健全工资合理增长机制，确保居民收入增长和经济增长同步、劳动报酬提高和劳动生产率提高同步，努力增加城乡居民工资性收入、财产性收入、经营性收入和转移性收入，扩大中等收入者比重，提高低收入群体收入。鼓励钟楼、金坛、溧阳等积极探索生态富民新路径，把生态资源转化为富民资源，创造“绿色财富”。（责任单位：市人社局、市发展改革委、市教育局、市农业农村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全面提升公共服务均等化水平。推进公共服务体制机制改革，创新公共服务供给主体和提供方式，更多更好地发挥市场和社会组织作用，鼓励社会资本参与公共服务设施建设、管理和运营，提升基本公共服务均等化水平，扩大非基本公共服务市场化，不断优化公共服务供给，提升公共服务水平。加快苏锡常都市圈一体化发展，推进都市圈公共服务均等化，推动优质公共服务向农村延伸、社会事业向农村覆盖，健全全民覆盖、普惠共享、城</w:t>
      </w:r>
      <w:r>
        <w:rPr>
          <w:rFonts w:ascii="Times New Roman" w:hAnsi="Times New Roman" w:eastAsia="方正仿宋_GBK"/>
          <w:spacing w:val="-6"/>
          <w:sz w:val="32"/>
          <w:szCs w:val="32"/>
        </w:rPr>
        <w:t>乡一体的基本公共服务体系，推进城乡基本公共服务标准统一、制度并轨。（责任单位：市发展改革委、市民政局按职责分工负责）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民生要素普惠共享。深入实施全民参保提质增效工作，促进新时期我市社会保险事业高质量发展。坚持应保尽保，完善多层次社会保障体系，提升精准化社会救助水平。加快建立广覆盖、保基本、有质量的学前教育公共服务保障机制，建立健全城乡一体的义务教育发展机制，全面加强普通高中教育。提升职业教育发展层次，创建国家产教融合型试点城市。加强更高水平的医疗卫生服务供给，做实基本公共卫生服务，人均期望寿命保持全省前列。积极推进基本医疗保险和生育保险市级统筹，探索构建多层次医疗保障体系，稳步提高保障水平。推动养老服务体系从“保基本”向“高质量”转变，形成多元、优质、高效、智能化的养老服务供给，加快推进全国居家和社区养老服务改革试点建设，打造全国“幸福养老”示范区。（责任单位：市民政局、市发展改革委、市教育局、市人社局、市卫健委、市医保局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65" w:name="_Toc81592706"/>
      <w:r>
        <w:rPr>
          <w:rFonts w:ascii="方正黑体_GBK" w:hAnsi="Times New Roman" w:eastAsia="方正黑体_GBK"/>
          <w:sz w:val="32"/>
          <w:szCs w:val="32"/>
        </w:rPr>
        <w:t>第三节  营造祥和氛围实现安居乐业</w:t>
      </w:r>
      <w:bookmarkEnd w:id="6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实现社会治理体系现代化。坚持党委领导、政府负责，坚持以基层党组织建设为关键、居民需求为导向、改革创新为动力，健全体系、整合资源、增强能力，完善城乡社区治理体制和“大数据+网格化+铁脚板”基层治理服务机制，构建人人有责、人人尽责、人人享有的社区治理共同体新格局。深化基层民主自治，推进城乡社区协商制度化、规范化和程序化建设，加强村务监督，推广“微自治”实践，扩大基层群众自治范围。实施市域社会治理大脑建设工程，探索“互联网+居民自治”，积极发展“互联网+社区便民服务”，引导互联网企业和各类社会力量、市场主体参与社区便民服务，形成线上线下有机结合的社区服务模式。（责任单位：市委政法委、市文明办、市民政局、市司法局、市政务办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快推进数字社会建设。科学规划全市大数据基础设施建设布局，构建以“一朵云、一张网、一平台”为基础的全市一体化大数据中心。推进城市管理领域智慧应用建设，推行城市运行“一网统管”，依托“智慧城管云脑”，加快城市综合管理服务平台试点建设。采用“平台+应用”的模式，植入物联网、大数据、云计算等技术应用，推进平台管理智慧化。搭建“城市运行—网管理”工作体系，集统筹协调、智慧调度、监督考核、综合评价于一体。加强互联互通，纵向对接国家、省平台，联通辖市区平台，横向整合或共享城市管理相关部门数据资源。（责任单位：市大数据管理中心、市发展改革委、市工信局、市城管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创造优质舒心营商环境。擦亮常州“畅通办”营商环境品牌，深化“放管服”改革，强化数字政务，线上加大数据共享、系统集成、平台整合力度，加强“一网通办”“政企通”“我的常州”APP等门户建设，线下推进“一件事一次办”改革，推动服务事项向基层延伸，实现“就近办、网上办、掌上办”，全面打造“高新事、高兴办”特色服务品牌。营造优质规范的市场环境，落实市场准入负面清单制度，深化“证照分离”改革，加强和规范事中事后监管，完善“双随机、一公开”监管、信用监管、“互联网+监管”、跨部门协同监管等有效做法，对新业态新模式积极探索创新包容审慎监管。创优公正透明的法治环境，平等保护投资者合法权益，为企业提供更优法律服务。创新包容开放的社会环境，完善政务服务“好差评”制度，以市场主体获得感为评价标准，建立企业全生命周期服务体系，加大对企业家鼓励激励，大力弘扬激发企业家精神。（责任单位：市政务办、市发展改革委、市市</w:t>
      </w:r>
      <w:r>
        <w:rPr>
          <w:rFonts w:hint="eastAsia" w:ascii="Times New Roman" w:hAnsi="Times New Roman" w:eastAsia="方正仿宋_GBK"/>
          <w:sz w:val="32"/>
          <w:szCs w:val="32"/>
        </w:rPr>
        <w:t>场</w:t>
      </w:r>
      <w:r>
        <w:rPr>
          <w:rFonts w:ascii="Times New Roman" w:hAnsi="Times New Roman" w:eastAsia="方正仿宋_GBK"/>
          <w:sz w:val="32"/>
          <w:szCs w:val="32"/>
        </w:rPr>
        <w:t>监</w:t>
      </w:r>
      <w:r>
        <w:rPr>
          <w:rFonts w:hint="eastAsia" w:ascii="Times New Roman" w:hAnsi="Times New Roman" w:eastAsia="方正仿宋_GBK"/>
          <w:sz w:val="32"/>
          <w:szCs w:val="32"/>
        </w:rPr>
        <w:t>管</w:t>
      </w:r>
      <w:r>
        <w:rPr>
          <w:rFonts w:ascii="Times New Roman" w:hAnsi="Times New Roman" w:eastAsia="方正仿宋_GBK"/>
          <w:sz w:val="32"/>
          <w:szCs w:val="32"/>
        </w:rPr>
        <w:t>局、市商务局按职责分工负责）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维护社会稳定安全。突出打造公共安全体系、提升安全水平和安全治理体系等重要举措，加快建设国家安全发展示范城市。以创建全国治安防控体系示范城市为契机，加快构建点线面结合、网上网下结合、人防物防技防结合、打防管控结合的立体化、智能化社会治安防控体系。全面提升公共安全保障能力，落实安全生产责任制，完善安全生产长效机制，强化危化品、道路交通、建筑施工、消防等重点行业领域安全风险排查，坚决遏制重特大生产安全事故发生。进一步加强食品、药品等安全工作，提高关系人民健康产品和服务的安全保障水平，科学防控公共卫生风险，完善重大疫情防控机制，提高预测预警预防各类风险的能力。加快推进应急管理能力现代化建设，完善事前防范、事中响应、事后恢复并重的应急管理体系，提升重大安全风险防范化解能</w:t>
      </w:r>
      <w:r>
        <w:rPr>
          <w:rFonts w:ascii="Times New Roman" w:hAnsi="Times New Roman" w:eastAsia="方正仿宋_GBK"/>
          <w:spacing w:val="-4"/>
          <w:sz w:val="32"/>
          <w:szCs w:val="32"/>
        </w:rPr>
        <w:t>力，打造更具“韧性”、更可持续的安全发展城市。（责任单位：市委政法委、市公安局、市市</w:t>
      </w:r>
      <w:r>
        <w:rPr>
          <w:rFonts w:hint="eastAsia" w:ascii="Times New Roman" w:hAnsi="Times New Roman" w:eastAsia="方正仿宋_GBK"/>
          <w:spacing w:val="-4"/>
          <w:sz w:val="32"/>
          <w:szCs w:val="32"/>
        </w:rPr>
        <w:t>场</w:t>
      </w:r>
      <w:r>
        <w:rPr>
          <w:rFonts w:ascii="Times New Roman" w:hAnsi="Times New Roman" w:eastAsia="方正仿宋_GBK"/>
          <w:spacing w:val="-4"/>
          <w:sz w:val="32"/>
          <w:szCs w:val="32"/>
        </w:rPr>
        <w:t>监</w:t>
      </w:r>
      <w:r>
        <w:rPr>
          <w:rFonts w:hint="eastAsia" w:ascii="Times New Roman" w:hAnsi="Times New Roman" w:eastAsia="方正仿宋_GBK"/>
          <w:spacing w:val="-4"/>
          <w:sz w:val="32"/>
          <w:szCs w:val="32"/>
        </w:rPr>
        <w:t>管</w:t>
      </w:r>
      <w:r>
        <w:rPr>
          <w:rFonts w:ascii="Times New Roman" w:hAnsi="Times New Roman" w:eastAsia="方正仿宋_GBK"/>
          <w:spacing w:val="-4"/>
          <w:sz w:val="32"/>
          <w:szCs w:val="32"/>
        </w:rPr>
        <w:t>局、市应急管理局按职责分工负责）</w:t>
      </w:r>
    </w:p>
    <w:p>
      <w:pPr>
        <w:adjustRightInd w:val="0"/>
        <w:snapToGrid w:val="0"/>
        <w:spacing w:line="570" w:lineRule="exact"/>
        <w:jc w:val="center"/>
        <w:rPr>
          <w:rFonts w:hint="eastAsia" w:ascii="方正小标宋_GBK" w:eastAsia="方正小标宋_GBK"/>
          <w:sz w:val="44"/>
          <w:szCs w:val="44"/>
        </w:rPr>
      </w:pPr>
      <w:r>
        <w:br w:type="page"/>
      </w:r>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bookmarkStart w:id="66" w:name="_Toc81592707"/>
      <w:r>
        <w:rPr>
          <w:rFonts w:hint="eastAsia" w:ascii="方正小标宋_GBK" w:hAnsi="Times New Roman" w:eastAsia="方正小标宋_GBK"/>
          <w:sz w:val="44"/>
          <w:szCs w:val="44"/>
        </w:rPr>
        <w:t>第九章  加强制度保障建设，绘就美丽常州</w:t>
      </w:r>
    </w:p>
    <w:p>
      <w:pPr>
        <w:overflowPunct w:val="0"/>
        <w:autoSpaceDE w:val="0"/>
        <w:autoSpaceDN w:val="0"/>
        <w:adjustRightInd w:val="0"/>
        <w:snapToGrid w:val="0"/>
        <w:spacing w:before="12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建设新篇章</w:t>
      </w:r>
      <w:bookmarkEnd w:id="66"/>
    </w:p>
    <w:p>
      <w:pPr>
        <w:overflowPunct w:val="0"/>
        <w:autoSpaceDE w:val="0"/>
        <w:autoSpaceDN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after="240" w:line="570" w:lineRule="exact"/>
        <w:jc w:val="center"/>
        <w:rPr>
          <w:rFonts w:ascii="Times New Roman" w:hAnsi="Times New Roman" w:eastAsia="方正黑体_GBK"/>
          <w:sz w:val="32"/>
          <w:szCs w:val="32"/>
        </w:rPr>
      </w:pPr>
      <w:bookmarkStart w:id="67" w:name="_Toc81592708"/>
      <w:r>
        <w:rPr>
          <w:rFonts w:ascii="Times New Roman" w:hAnsi="Times New Roman" w:eastAsia="方正黑体_GBK"/>
          <w:sz w:val="32"/>
          <w:szCs w:val="32"/>
        </w:rPr>
        <w:t>第一节  加强组织领导</w:t>
      </w:r>
      <w:bookmarkEnd w:id="67"/>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建立协同推进机制。充分发挥市委领导核心作用，坚定不移把党的领导贯穿美丽常州建设全过程。市委、市政府建立美丽常州建设领导小组，发挥牵头抓总、统筹协调作用。领导小组由市委书记任第一组长、市长任组长，领导小组办公室设在市发展改革委。发挥美丽常州建设领导小组的重要作用，建立健全工作机制，以重大工程项目为支撑，贯彻落实各项重大政策、重大改革措施，保障美丽常州建设持续推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强化“专班”工作机制。根据实际需要设立工作专班，建立横向和纵向的工作矩阵，研究制定重点领域工作计划，全力推进相关工作实施。实行“专班”工作机制常态长效工作机制，解决项目谋划、落位、推进过程中存在的实际问题，确保规划明确的重点工作、重点项目、重点工程落地，做到各项目标任务件件有落实、事事见成效。</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规划衔接。遵循下级规划服从上级规划、专项规划和区域规划服从总体规划、同级规划相互协调的原则，确保美丽常州建设专项规划有效衔接“十四五”发展规划、国土空间规划，以重大工程项目为支撑，贯彻落实各项重大政策、重大改革措施，保障美丽常州建设持续推进。加强约束性指标的衔接，确保各级各类规划在总体要求上指向一致、空间配置上相互协调、时序安排上科学有序。</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考核评价工作。对接《美丽中国建设评估指标体系》，根据省统一部署，研究制定美丽常州建设指标体系和评价体系，将美丽常州建设相关指标纳入全市高质量发展综合考核内容。鼓励各地开展美丽常州建设试点示范，充分发挥以点带面作用。支持人大、政协对美丽常州建设开展法律监督和民主监督，支持民主党派、工商联、无党派人士积极建言献策，支持社会组织和机构智库开展美丽常州建设政策研究咨询。（责任单位：市发展改革委、市委宣传部、市科技局、市工信局、市自然资源局、市生态环境局、市住建局、市交通局、市城管局、市水利局、市农业农村局、市文广旅局等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68" w:name="_Toc81592709"/>
      <w:r>
        <w:rPr>
          <w:rFonts w:ascii="方正黑体_GBK" w:hAnsi="Times New Roman" w:eastAsia="方正黑体_GBK"/>
          <w:sz w:val="32"/>
          <w:szCs w:val="32"/>
        </w:rPr>
        <w:t>第二节  创新体制机制</w:t>
      </w:r>
      <w:bookmarkEnd w:id="6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生态环境制度体系。实施最严格的自然资源和生态空间保护、环境准入等制度，完善能源资源、环境、建设用地总量和强度“双控”机制。建立生态产品价值评价体系，制定生态产品价值核算规范，完善生态产品市场交易体系和水权、排污权交易市场机制。严格落实生态环境损害赔偿制度、资源及环境保护税费制度，建立环境损害责任终身追究制度。健全生态补偿机制，探索通过发行企业生态债券和社会捐助等方式，拓宽生态保护补偿资金渠道。完善环保信用评价制度，探索实施企业环保承诺制，完善守信激励、失信惩戒机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创新投融资机制。持续加大生态文明建设和生态环境保护的财政经费投入力度，建立并完善常态化、稳定的财政资金投入机制。推行以奖代补、先建后补、贷款贴息等方式，支持美丽常州建设。创新多元化投入保障机制，鼓励采用股份合作等多种模式，吸引更多社会资本参与美丽常州建设，对美丽常州建设相关领域有稳定收益的项目，积极探索推广政府和社会资本合作（PPP）等模式加以推进。探索推进相关领域基础设施资产证券化和基础设施REITs试点工作。加快建设“龙城金谷”，促进风投、创投等基金产业集聚发展、参与产业转型。探索与沿线城市共同设立宁杭生态经济带发展投资基金，推进区域性生态资源交易平台建设。（责任单位：市发展改革委、市工信局、市财政局、市生态环境局、市自然资源和规划局、市地方金融监管局等按职责分工负责）</w:t>
      </w:r>
    </w:p>
    <w:p>
      <w:pPr>
        <w:overflowPunct w:val="0"/>
        <w:autoSpaceDE w:val="0"/>
        <w:autoSpaceDN w:val="0"/>
        <w:adjustRightInd w:val="0"/>
        <w:snapToGrid w:val="0"/>
        <w:spacing w:before="240" w:after="240" w:line="570" w:lineRule="exact"/>
        <w:jc w:val="center"/>
        <w:rPr>
          <w:rFonts w:ascii="方正黑体_GBK" w:hAnsi="Times New Roman" w:eastAsia="方正黑体_GBK"/>
          <w:sz w:val="32"/>
          <w:szCs w:val="32"/>
        </w:rPr>
      </w:pPr>
      <w:bookmarkStart w:id="69" w:name="_Toc81592710"/>
      <w:r>
        <w:rPr>
          <w:rFonts w:ascii="方正黑体_GBK" w:hAnsi="Times New Roman" w:eastAsia="方正黑体_GBK"/>
          <w:sz w:val="32"/>
          <w:szCs w:val="32"/>
        </w:rPr>
        <w:t>第三节  强化法治建设</w:t>
      </w:r>
      <w:bookmarkEnd w:id="6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增强全民法治观念。增强美丽常州建设法律意识和法治观念，深化“法润常州”“德法涵养文明”“美好生活・德法相伴”等专项行动，将法律法规宣传与核心价值观教育、公民道德实践有机融合，开展全生命周期法治宣传，在全社会形成依法建设美丽常州、自觉履行建设美丽常州义务的氛围。充分发挥领导干部带头尊法学法守法用法对全社会的示范带动作用，进一步落实国家工作人员学法用法制度，健全日常学法制度，强化法治培训，完善考核评估机制，不断增强国家工作人员特别是各级领导干部依法办事的意识和能力，提高运用法治思维和法治方式开展美丽常州建设的能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健全社会领域制度规范。坚持依法建设理念，加快建立健全社会领域法律制度，完善多层次多领域社会规范，强化道德规范建设，以良法解决美丽常州建设过程中的突出矛盾和问题。深入贯彻环境保护法和相关法律法规，重点围绕生态环境、城乡建设、文化文明、社会治理、美丽新经济等方面，加强相关地方性法规制定和修订工作，推动人大出台美丽常州建设的有关决定及配套的地方性法规，清理现有不符合美丽常州建设要求的规章、行政规范性文件和政策措施类文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执法力度。建立健全多部门、多领域统一协调联动机制，优化整合监管执法力量，推动异地交叉执法、多部门联合执法，不断提升美丽常州建设和保护执法监管水平。完善环境经济政策，建立健全生态补偿机制，健全环境损害责任终身追究制度，不断提高生态环境司法保护水平，严格落实资源及环境保护税费制度和生态环境损害赔偿制度，有效强化企业治污减排责任约束。（责任单位：市委政法委、市公安局、市生态环境局、市司法局按职责分工负责）</w:t>
      </w:r>
    </w:p>
    <w:p>
      <w:pPr>
        <w:overflowPunct w:val="0"/>
        <w:autoSpaceDE w:val="0"/>
        <w:autoSpaceDN w:val="0"/>
        <w:adjustRightInd w:val="0"/>
        <w:snapToGrid w:val="0"/>
        <w:spacing w:before="240" w:after="240" w:line="550" w:lineRule="exact"/>
        <w:jc w:val="center"/>
        <w:rPr>
          <w:rFonts w:ascii="方正黑体_GBK" w:hAnsi="Times New Roman" w:eastAsia="方正黑体_GBK"/>
          <w:sz w:val="32"/>
          <w:szCs w:val="32"/>
        </w:rPr>
      </w:pPr>
      <w:bookmarkStart w:id="70" w:name="_Toc81592711"/>
      <w:r>
        <w:rPr>
          <w:rFonts w:ascii="方正黑体_GBK" w:hAnsi="Times New Roman" w:eastAsia="方正黑体_GBK"/>
          <w:sz w:val="32"/>
          <w:szCs w:val="32"/>
        </w:rPr>
        <w:t>第四节  引导公众参与</w:t>
      </w:r>
      <w:bookmarkEnd w:id="70"/>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仿宋_GBK"/>
          <w:sz w:val="32"/>
          <w:szCs w:val="32"/>
        </w:rPr>
        <w:t>强化人才支撑。加强人才培养引进，实施“龙城英才”计划升级版，探索创新人才引进模式，开展“柔性引才汇智”行动，办好“万名硕博常州行”等活动，加快形成支撑美丽常州建设的人才队伍。支持智库机构等社会组织加强研究咨询，充分调动社会中介组织和机构智库作用，为推进建设美丽常州提供智力支持。</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仿宋_GBK"/>
          <w:sz w:val="32"/>
          <w:szCs w:val="32"/>
        </w:rPr>
        <w:t>加强宣传引导。创新宣传形式，创设贴近生活、贴近实际、贴近群众、贴近时代的引导载体，通过群众喜闻乐见的传播形式，实现规划宣传大众化、时代化、通俗化。充分利用互联网、报刊杂志、广播电视等媒体平台，加强美丽常州建设宣传推介，畅通信息公开渠道，及时回应公众关切，营造良好推进氛围。</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仿宋_GBK"/>
          <w:sz w:val="32"/>
          <w:szCs w:val="32"/>
        </w:rPr>
        <w:t>鼓励多元参与。完善规划实施的公众参与机制，着力构建推动美丽常州建设的全民行动体系，提高全社会参与美丽常州建设积极性主动性。充分发挥工会、共青团、妇联等群团组织积极作用，动员各方面力量，激发广大干部群众的热情和干劲，让美丽常州建设成为全社会的共同意志和自觉行动。（责任单位：市委组织部、市委宣传部、市发展改革委、市文广旅局等按职责分工负责）</w:t>
      </w:r>
    </w:p>
    <w:p>
      <w:bookmarkStart w:id="71" w:name="_GoBack"/>
      <w:bookmarkEnd w:id="7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4EFABF-9DCB-4D3E-9D42-DADB1D1790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AB2519C-7503-45B8-8A41-A924CA772FCB}"/>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embedRegular r:id="rId3" w:fontKey="{28D97992-F9A7-4F2B-ABE0-613722851632}"/>
  </w:font>
  <w:font w:name="方正仿宋_GBK">
    <w:altName w:val="Arial Unicode MS"/>
    <w:panose1 w:val="03000509000000000000"/>
    <w:charset w:val="86"/>
    <w:family w:val="script"/>
    <w:pitch w:val="default"/>
    <w:sig w:usb0="00000000" w:usb1="00000000" w:usb2="00000010" w:usb3="00000000" w:csb0="00040000" w:csb1="00000000"/>
    <w:embedRegular r:id="rId4" w:fontKey="{9AB3F0DA-80DE-4946-AD44-6351D141E3B2}"/>
  </w:font>
  <w:font w:name="方正楷体_GBK">
    <w:altName w:val="Arial Unicode MS"/>
    <w:panose1 w:val="03000509000000000000"/>
    <w:charset w:val="86"/>
    <w:family w:val="script"/>
    <w:pitch w:val="default"/>
    <w:sig w:usb0="00000000" w:usb1="00000000" w:usb2="00000010" w:usb3="00000000" w:csb0="00040000" w:csb1="00000000"/>
    <w:embedRegular r:id="rId5" w:fontKey="{E85ABC98-F822-4768-8164-62E93EFAE61F}"/>
  </w:font>
  <w:font w:name="方正小标宋_GBK">
    <w:panose1 w:val="02000000000000000000"/>
    <w:charset w:val="86"/>
    <w:family w:val="script"/>
    <w:pitch w:val="default"/>
    <w:sig w:usb0="A00002BF" w:usb1="38CF7CFA" w:usb2="00082016" w:usb3="00000000" w:csb0="00040001" w:csb1="00000000"/>
    <w:embedRegular r:id="rId6" w:fontKey="{AF03CEE9-181C-4CE0-BEC2-4DE1459E2E55}"/>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2E401D"/>
    <w:multiLevelType w:val="multilevel"/>
    <w:tmpl w:val="112E401D"/>
    <w:lvl w:ilvl="0" w:tentative="0">
      <w:start w:val="1"/>
      <w:numFmt w:val="decimal"/>
      <w:suff w:val="nothing"/>
      <w:lvlText w:val="%1"/>
      <w:lvlJc w:val="left"/>
      <w:pPr>
        <w:ind w:left="-32767" w:firstLine="32767"/>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2D28B3"/>
    <w:rsid w:val="6F2D2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正文首句 字符"/>
    <w:basedOn w:val="5"/>
    <w:link w:val="7"/>
    <w:qFormat/>
    <w:uiPriority w:val="0"/>
    <w:rPr>
      <w:rFonts w:ascii="Times New Roman" w:hAnsi="Times New Roman" w:eastAsia="楷体_GB2312"/>
      <w:sz w:val="32"/>
    </w:rPr>
  </w:style>
  <w:style w:type="paragraph" w:customStyle="1" w:styleId="7">
    <w:name w:val="正文首句"/>
    <w:basedOn w:val="1"/>
    <w:link w:val="6"/>
    <w:qFormat/>
    <w:uiPriority w:val="0"/>
    <w:pPr>
      <w:adjustRightInd w:val="0"/>
      <w:snapToGrid w:val="0"/>
      <w:spacing w:line="580" w:lineRule="exact"/>
      <w:ind w:firstLine="200" w:firstLineChars="200"/>
    </w:pPr>
    <w:rPr>
      <w:rFonts w:ascii="Times New Roman" w:hAnsi="Times New Roman" w:eastAsia="楷体_GB2312"/>
      <w:sz w:val="32"/>
    </w:rPr>
  </w:style>
  <w:style w:type="paragraph" w:styleId="8">
    <w:name w:val="List Paragraph"/>
    <w:basedOn w:val="1"/>
    <w:qFormat/>
    <w:uiPriority w:val="34"/>
    <w:pPr>
      <w:ind w:firstLine="420" w:firstLineChars="200"/>
    </w:pPr>
  </w:style>
  <w:style w:type="paragraph" w:customStyle="1" w:styleId="9">
    <w:name w:val="表头"/>
    <w:basedOn w:val="1"/>
    <w:qFormat/>
    <w:uiPriority w:val="0"/>
    <w:pPr>
      <w:adjustRightInd w:val="0"/>
      <w:snapToGrid w:val="0"/>
      <w:jc w:val="center"/>
    </w:pPr>
    <w:rPr>
      <w:rFonts w:ascii="Times New Roman" w:hAnsi="Times New Roman" w:eastAsia="方正黑体_GBK"/>
      <w:sz w:val="28"/>
    </w:rPr>
  </w:style>
  <w:style w:type="paragraph" w:customStyle="1" w:styleId="10">
    <w:name w:val="表格内文字"/>
    <w:basedOn w:val="1"/>
    <w:qFormat/>
    <w:uiPriority w:val="0"/>
    <w:pPr>
      <w:adjustRightInd w:val="0"/>
      <w:snapToGrid w:val="0"/>
      <w:ind w:firstLine="200" w:firstLineChars="200"/>
    </w:pPr>
    <w:rPr>
      <w:rFonts w:ascii="Times New Roman" w:hAnsi="Times New Roman" w:eastAsia="方正仿宋_GBK"/>
      <w:sz w:val="28"/>
    </w:rPr>
  </w:style>
  <w:style w:type="paragraph" w:customStyle="1" w:styleId="11">
    <w:name w:val="表格内正文"/>
    <w:basedOn w:val="1"/>
    <w:qFormat/>
    <w:uiPriority w:val="0"/>
    <w:pPr>
      <w:adjustRightInd w:val="0"/>
      <w:snapToGrid w:val="0"/>
      <w:ind w:firstLine="200" w:firstLineChars="200"/>
    </w:pPr>
    <w:rPr>
      <w:rFonts w:ascii="Times New Roman" w:hAnsi="Times New Roman" w:eastAsia="楷体_GB2312"/>
      <w:bCs/>
      <w:sz w:val="28"/>
      <w:szCs w:val="21"/>
    </w:rPr>
  </w:style>
  <w:style w:type="paragraph" w:customStyle="1" w:styleId="12">
    <w:name w:val="专栏标题"/>
    <w:basedOn w:val="9"/>
    <w:qFormat/>
    <w:uiPriority w:val="0"/>
  </w:style>
  <w:style w:type="paragraph" w:customStyle="1" w:styleId="13">
    <w:name w:val="专栏内容"/>
    <w:basedOn w:val="10"/>
    <w:qFormat/>
    <w:uiPriority w:val="0"/>
    <w:pPr>
      <w:adjustRightInd/>
      <w:snapToGrid/>
      <w:spacing w:line="276" w:lineRule="auto"/>
      <w:ind w:firstLine="482"/>
    </w:pPr>
    <w:rPr>
      <w:rFonts w:eastAsia="方正楷体_GBK"/>
      <w:sz w:val="24"/>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2021-12-03T03:17:00Z</dcterms:created>
  <dc:creator>丹丹</dc:creator>
  <cp:lastModifiedBy>丹丹</cp:lastModifiedBy>
  <dcterms:modified xsi:type="dcterms:W3CDTF">2021-12-03T03:17:29Z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1E0D8D1C00F34DE588B791895DA4F3D2</vt:lpwstr>
  </property>
</Properties>
</file>