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60" w:lineRule="exact"/>
        <w:jc w:val="center"/>
        <w:rPr>
          <w:rFonts w:ascii="方正小标宋简体" w:hAnsi="方正小标宋简体" w:eastAsia="方正小标宋简体" w:cs="方正小标宋简体"/>
          <w:snapToGrid w:val="0"/>
          <w:color w:val="000000" w:themeColor="text1"/>
          <w:kern w:val="0"/>
          <w:sz w:val="44"/>
          <w:szCs w:val="44"/>
        </w:rPr>
      </w:pPr>
    </w:p>
    <w:p>
      <w:pPr>
        <w:overflowPunct w:val="0"/>
        <w:autoSpaceDE w:val="0"/>
        <w:autoSpaceDN w:val="0"/>
        <w:adjustRightInd w:val="0"/>
        <w:snapToGrid w:val="0"/>
        <w:spacing w:line="560" w:lineRule="exact"/>
        <w:jc w:val="center"/>
        <w:rPr>
          <w:rFonts w:ascii="方正小标宋简体" w:hAnsi="方正小标宋简体" w:eastAsia="方正小标宋简体" w:cs="方正小标宋简体"/>
          <w:snapToGrid w:val="0"/>
          <w:color w:val="000000" w:themeColor="text1"/>
          <w:kern w:val="0"/>
          <w:sz w:val="44"/>
          <w:szCs w:val="44"/>
        </w:rPr>
      </w:pPr>
      <w:r>
        <w:rPr>
          <w:rFonts w:hint="eastAsia" w:ascii="方正小标宋简体" w:hAnsi="方正小标宋简体" w:eastAsia="方正小标宋简体" w:cs="方正小标宋简体"/>
          <w:snapToGrid w:val="0"/>
          <w:color w:val="000000" w:themeColor="text1"/>
          <w:kern w:val="0"/>
          <w:sz w:val="44"/>
          <w:szCs w:val="44"/>
        </w:rPr>
        <w:t>2020年常州市人民政府</w:t>
      </w:r>
    </w:p>
    <w:p>
      <w:pPr>
        <w:overflowPunct w:val="0"/>
        <w:autoSpaceDE w:val="0"/>
        <w:autoSpaceDN w:val="0"/>
        <w:adjustRightInd w:val="0"/>
        <w:snapToGrid w:val="0"/>
        <w:spacing w:before="120" w:line="560" w:lineRule="exact"/>
        <w:jc w:val="center"/>
        <w:rPr>
          <w:rFonts w:ascii="方正小标宋简体" w:hAnsi="方正小标宋简体" w:eastAsia="方正小标宋简体" w:cs="方正小标宋简体"/>
          <w:snapToGrid w:val="0"/>
          <w:color w:val="000000" w:themeColor="text1"/>
          <w:kern w:val="0"/>
          <w:sz w:val="44"/>
          <w:szCs w:val="44"/>
        </w:rPr>
      </w:pPr>
      <w:r>
        <w:rPr>
          <w:rFonts w:hint="eastAsia" w:ascii="方正小标宋简体" w:hAnsi="方正小标宋简体" w:eastAsia="方正小标宋简体" w:cs="方正小标宋简体"/>
          <w:snapToGrid w:val="0"/>
          <w:color w:val="000000" w:themeColor="text1"/>
          <w:kern w:val="0"/>
          <w:sz w:val="44"/>
          <w:szCs w:val="44"/>
        </w:rPr>
        <w:t>政府信息公开工作年度报告</w:t>
      </w:r>
    </w:p>
    <w:p>
      <w:pPr>
        <w:overflowPunct w:val="0"/>
        <w:autoSpaceDE w:val="0"/>
        <w:autoSpaceDN w:val="0"/>
        <w:adjustRightInd w:val="0"/>
        <w:snapToGrid w:val="0"/>
        <w:spacing w:line="560" w:lineRule="exact"/>
        <w:jc w:val="center"/>
        <w:rPr>
          <w:rFonts w:ascii="方正小标宋简体" w:hAnsi="方正小标宋简体" w:eastAsia="方正小标宋简体" w:cs="方正小标宋简体"/>
          <w:snapToGrid w:val="0"/>
          <w:color w:val="000000" w:themeColor="text1"/>
          <w:kern w:val="0"/>
          <w:sz w:val="44"/>
          <w:szCs w:val="44"/>
        </w:rPr>
      </w:pP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hAnsi="仿宋_GB2312" w:eastAsia="仿宋_GB2312"/>
          <w:snapToGrid w:val="0"/>
          <w:color w:val="000000" w:themeColor="text1"/>
          <w:kern w:val="0"/>
          <w:sz w:val="32"/>
          <w:szCs w:val="32"/>
        </w:rPr>
        <w:t>本年报依据《中华人民共和国政府信息公开条例》（以下简称《条例》）和江苏省、常州市有关政府信息公开工作要求编制，全文包括总体情况、主动公开政府信息情况、收到和处理政府信息公开申请情况、因政府信息公开工作被申请行政复议和提起行政诉讼情况、政府信息公开工作存在的主要问题和改进措施以及其他需要报告的事项。本年报中所列数据的统计期限自</w:t>
      </w:r>
      <w:r>
        <w:rPr>
          <w:rFonts w:eastAsia="仿宋_GB2312"/>
          <w:snapToGrid w:val="0"/>
          <w:color w:val="000000" w:themeColor="text1"/>
          <w:kern w:val="0"/>
          <w:sz w:val="32"/>
          <w:szCs w:val="32"/>
        </w:rPr>
        <w:t>2020</w:t>
      </w:r>
      <w:r>
        <w:rPr>
          <w:rFonts w:hAnsi="仿宋_GB2312" w:eastAsia="仿宋_GB2312"/>
          <w:snapToGrid w:val="0"/>
          <w:color w:val="000000" w:themeColor="text1"/>
          <w:kern w:val="0"/>
          <w:sz w:val="32"/>
          <w:szCs w:val="32"/>
        </w:rPr>
        <w:t>年</w:t>
      </w:r>
      <w:r>
        <w:rPr>
          <w:rFonts w:eastAsia="仿宋_GB2312"/>
          <w:snapToGrid w:val="0"/>
          <w:color w:val="000000" w:themeColor="text1"/>
          <w:kern w:val="0"/>
          <w:sz w:val="32"/>
          <w:szCs w:val="32"/>
        </w:rPr>
        <w:t>1</w:t>
      </w:r>
      <w:r>
        <w:rPr>
          <w:rFonts w:hAnsi="仿宋_GB2312" w:eastAsia="仿宋_GB2312"/>
          <w:snapToGrid w:val="0"/>
          <w:color w:val="000000" w:themeColor="text1"/>
          <w:kern w:val="0"/>
          <w:sz w:val="32"/>
          <w:szCs w:val="32"/>
        </w:rPr>
        <w:t>月</w:t>
      </w:r>
      <w:r>
        <w:rPr>
          <w:rFonts w:eastAsia="仿宋_GB2312"/>
          <w:snapToGrid w:val="0"/>
          <w:color w:val="000000" w:themeColor="text1"/>
          <w:kern w:val="0"/>
          <w:sz w:val="32"/>
          <w:szCs w:val="32"/>
        </w:rPr>
        <w:t>1</w:t>
      </w:r>
      <w:r>
        <w:rPr>
          <w:rFonts w:hAnsi="仿宋_GB2312" w:eastAsia="仿宋_GB2312"/>
          <w:snapToGrid w:val="0"/>
          <w:color w:val="000000" w:themeColor="text1"/>
          <w:kern w:val="0"/>
          <w:sz w:val="32"/>
          <w:szCs w:val="32"/>
        </w:rPr>
        <w:t>日起至</w:t>
      </w:r>
      <w:r>
        <w:rPr>
          <w:rFonts w:eastAsia="仿宋_GB2312"/>
          <w:snapToGrid w:val="0"/>
          <w:color w:val="000000" w:themeColor="text1"/>
          <w:kern w:val="0"/>
          <w:sz w:val="32"/>
          <w:szCs w:val="32"/>
        </w:rPr>
        <w:t>2020</w:t>
      </w:r>
      <w:r>
        <w:rPr>
          <w:rFonts w:hAnsi="仿宋_GB2312" w:eastAsia="仿宋_GB2312"/>
          <w:snapToGrid w:val="0"/>
          <w:color w:val="000000" w:themeColor="text1"/>
          <w:kern w:val="0"/>
          <w:sz w:val="32"/>
          <w:szCs w:val="32"/>
        </w:rPr>
        <w:t>年</w:t>
      </w:r>
      <w:r>
        <w:rPr>
          <w:rFonts w:eastAsia="仿宋_GB2312"/>
          <w:snapToGrid w:val="0"/>
          <w:color w:val="000000" w:themeColor="text1"/>
          <w:kern w:val="0"/>
          <w:sz w:val="32"/>
          <w:szCs w:val="32"/>
        </w:rPr>
        <w:t>12</w:t>
      </w:r>
      <w:r>
        <w:rPr>
          <w:rFonts w:hAnsi="仿宋_GB2312" w:eastAsia="仿宋_GB2312"/>
          <w:snapToGrid w:val="0"/>
          <w:color w:val="000000" w:themeColor="text1"/>
          <w:kern w:val="0"/>
          <w:sz w:val="32"/>
          <w:szCs w:val="32"/>
        </w:rPr>
        <w:t>月</w:t>
      </w:r>
      <w:r>
        <w:rPr>
          <w:rFonts w:eastAsia="仿宋_GB2312"/>
          <w:snapToGrid w:val="0"/>
          <w:color w:val="000000" w:themeColor="text1"/>
          <w:kern w:val="0"/>
          <w:sz w:val="32"/>
          <w:szCs w:val="32"/>
        </w:rPr>
        <w:t>31</w:t>
      </w:r>
      <w:r>
        <w:rPr>
          <w:rFonts w:hAnsi="仿宋_GB2312" w:eastAsia="仿宋_GB2312"/>
          <w:snapToGrid w:val="0"/>
          <w:color w:val="000000" w:themeColor="text1"/>
          <w:kern w:val="0"/>
          <w:sz w:val="32"/>
          <w:szCs w:val="32"/>
        </w:rPr>
        <w:t>日止。</w:t>
      </w:r>
    </w:p>
    <w:p>
      <w:pPr>
        <w:overflowPunct w:val="0"/>
        <w:autoSpaceDE w:val="0"/>
        <w:autoSpaceDN w:val="0"/>
        <w:adjustRightInd w:val="0"/>
        <w:snapToGrid w:val="0"/>
        <w:spacing w:line="560" w:lineRule="exact"/>
        <w:ind w:firstLine="641"/>
        <w:rPr>
          <w:rFonts w:ascii="黑体" w:hAnsi="黑体" w:eastAsia="黑体"/>
          <w:bCs/>
          <w:snapToGrid w:val="0"/>
          <w:color w:val="000000" w:themeColor="text1"/>
          <w:kern w:val="0"/>
          <w:sz w:val="32"/>
          <w:szCs w:val="32"/>
        </w:rPr>
      </w:pPr>
      <w:r>
        <w:rPr>
          <w:rFonts w:ascii="黑体" w:hAnsi="黑体" w:eastAsia="黑体"/>
          <w:bCs/>
          <w:snapToGrid w:val="0"/>
          <w:color w:val="000000" w:themeColor="text1"/>
          <w:kern w:val="0"/>
          <w:sz w:val="32"/>
          <w:szCs w:val="32"/>
        </w:rPr>
        <w:t>一、总体情况</w:t>
      </w:r>
    </w:p>
    <w:p>
      <w:pPr>
        <w:overflowPunct w:val="0"/>
        <w:autoSpaceDE w:val="0"/>
        <w:autoSpaceDN w:val="0"/>
        <w:adjustRightInd w:val="0"/>
        <w:snapToGrid w:val="0"/>
        <w:spacing w:line="560" w:lineRule="exact"/>
        <w:ind w:firstLine="641"/>
        <w:rPr>
          <w:rFonts w:eastAsia="仿宋_GB2312"/>
          <w:bCs/>
          <w:snapToGrid w:val="0"/>
          <w:color w:val="000000" w:themeColor="text1"/>
          <w:kern w:val="0"/>
          <w:sz w:val="32"/>
          <w:szCs w:val="32"/>
        </w:rPr>
      </w:pPr>
      <w:r>
        <w:rPr>
          <w:rFonts w:eastAsia="仿宋_GB2312"/>
          <w:bCs/>
          <w:snapToGrid w:val="0"/>
          <w:color w:val="000000" w:themeColor="text1"/>
          <w:kern w:val="0"/>
          <w:sz w:val="32"/>
          <w:szCs w:val="32"/>
        </w:rPr>
        <w:t>2020年，常州市坚持</w:t>
      </w:r>
      <w:r>
        <w:rPr>
          <w:rFonts w:eastAsia="仿宋_GB2312"/>
          <w:snapToGrid w:val="0"/>
          <w:color w:val="000000" w:themeColor="text1"/>
          <w:kern w:val="0"/>
          <w:sz w:val="32"/>
          <w:szCs w:val="32"/>
        </w:rPr>
        <w:t>以习近平新时代中国特色社会主义思想为</w:t>
      </w:r>
      <w:r>
        <w:rPr>
          <w:rFonts w:eastAsia="仿宋_GB2312"/>
          <w:bCs/>
          <w:snapToGrid w:val="0"/>
          <w:color w:val="000000" w:themeColor="text1"/>
          <w:kern w:val="0"/>
          <w:sz w:val="32"/>
          <w:szCs w:val="32"/>
        </w:rPr>
        <w:t>指引，严格落实国家、省对政务公开工作的各项部署，认真贯彻执行新《条例》，</w:t>
      </w:r>
      <w:r>
        <w:rPr>
          <w:rFonts w:eastAsia="仿宋_GB2312"/>
          <w:snapToGrid w:val="0"/>
          <w:color w:val="000000" w:themeColor="text1"/>
          <w:kern w:val="0"/>
          <w:sz w:val="32"/>
          <w:szCs w:val="32"/>
        </w:rPr>
        <w:t>围绕市委、市政府中心工作，统筹做好疫情防控常态化和经济社会发展中的信息公开，聚焦企业和群众关切，着力提高政务公开标准化规范化水平</w:t>
      </w:r>
      <w:r>
        <w:rPr>
          <w:rFonts w:eastAsia="仿宋_GB2312"/>
          <w:bCs/>
          <w:snapToGrid w:val="0"/>
          <w:color w:val="000000" w:themeColor="text1"/>
          <w:kern w:val="0"/>
          <w:sz w:val="32"/>
          <w:szCs w:val="32"/>
        </w:rPr>
        <w:t>，切实提升人民群众获得感和满意度。</w:t>
      </w:r>
    </w:p>
    <w:p>
      <w:pPr>
        <w:overflowPunct w:val="0"/>
        <w:autoSpaceDE w:val="0"/>
        <w:autoSpaceDN w:val="0"/>
        <w:adjustRightInd w:val="0"/>
        <w:snapToGrid w:val="0"/>
        <w:spacing w:line="560" w:lineRule="exact"/>
        <w:ind w:left="641"/>
        <w:rPr>
          <w:rFonts w:eastAsia="楷体_GB2312"/>
          <w:b/>
          <w:snapToGrid w:val="0"/>
          <w:color w:val="000000" w:themeColor="text1"/>
          <w:kern w:val="0"/>
          <w:sz w:val="32"/>
          <w:szCs w:val="32"/>
        </w:rPr>
      </w:pPr>
      <w:r>
        <w:rPr>
          <w:rFonts w:eastAsia="楷体_GB2312"/>
          <w:b/>
          <w:snapToGrid w:val="0"/>
          <w:color w:val="000000" w:themeColor="text1"/>
          <w:kern w:val="0"/>
          <w:sz w:val="32"/>
          <w:szCs w:val="32"/>
        </w:rPr>
        <w:t>（一）主动公开方面</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按照《条例》要求，坚持以公开为常态、不公开为例外，围绕决策、执行、管理、服务和结果五公开，积极做好政府信息主动公开工作。</w:t>
      </w:r>
    </w:p>
    <w:p>
      <w:pPr>
        <w:overflowPunct w:val="0"/>
        <w:autoSpaceDE w:val="0"/>
        <w:autoSpaceDN w:val="0"/>
        <w:adjustRightInd w:val="0"/>
        <w:snapToGrid w:val="0"/>
        <w:spacing w:line="560" w:lineRule="exact"/>
        <w:ind w:firstLine="641"/>
        <w:rPr>
          <w:rFonts w:eastAsia="仿宋_GB2312"/>
          <w:b/>
          <w:bCs/>
          <w:snapToGrid w:val="0"/>
          <w:color w:val="000000" w:themeColor="text1"/>
          <w:kern w:val="0"/>
          <w:sz w:val="32"/>
          <w:szCs w:val="32"/>
        </w:rPr>
      </w:pPr>
      <w:r>
        <w:rPr>
          <w:rFonts w:eastAsia="仿宋_GB2312"/>
          <w:b/>
          <w:bCs/>
          <w:snapToGrid w:val="0"/>
          <w:color w:val="000000" w:themeColor="text1"/>
          <w:kern w:val="0"/>
          <w:sz w:val="32"/>
          <w:szCs w:val="32"/>
        </w:rPr>
        <w:t>1.</w:t>
      </w:r>
      <w:r>
        <w:rPr>
          <w:rFonts w:hint="eastAsia" w:eastAsia="仿宋_GB2312"/>
          <w:b/>
          <w:bCs/>
          <w:snapToGrid w:val="0"/>
          <w:color w:val="000000" w:themeColor="text1"/>
          <w:kern w:val="0"/>
          <w:sz w:val="32"/>
          <w:szCs w:val="32"/>
        </w:rPr>
        <w:t xml:space="preserve"> </w:t>
      </w:r>
      <w:r>
        <w:rPr>
          <w:rFonts w:eastAsia="仿宋_GB2312"/>
          <w:b/>
          <w:bCs/>
          <w:snapToGrid w:val="0"/>
          <w:color w:val="000000" w:themeColor="text1"/>
          <w:kern w:val="0"/>
          <w:sz w:val="32"/>
          <w:szCs w:val="32"/>
        </w:rPr>
        <w:t>聚焦“疫情防控”做好信息发布</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bCs/>
          <w:snapToGrid w:val="0"/>
          <w:color w:val="000000" w:themeColor="text1"/>
          <w:kern w:val="0"/>
          <w:sz w:val="32"/>
          <w:szCs w:val="32"/>
        </w:rPr>
        <w:t>在</w:t>
      </w:r>
      <w:r>
        <w:rPr>
          <w:rFonts w:eastAsia="仿宋_GB2312"/>
          <w:snapToGrid w:val="0"/>
          <w:color w:val="000000" w:themeColor="text1"/>
          <w:kern w:val="0"/>
          <w:sz w:val="32"/>
          <w:szCs w:val="32"/>
        </w:rPr>
        <w:t>“常州市人民政府”门户网站设立“</w:t>
      </w:r>
      <w:r>
        <w:rPr>
          <w:rFonts w:hAnsi="仿宋_GB2312" w:eastAsia="仿宋_GB2312"/>
          <w:snapToGrid w:val="0"/>
          <w:color w:val="000000" w:themeColor="text1"/>
          <w:kern w:val="0"/>
          <w:sz w:val="32"/>
          <w:szCs w:val="32"/>
        </w:rPr>
        <w:t>疫情防控专栏</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w:t>
      </w:r>
      <w:r>
        <w:rPr>
          <w:rFonts w:eastAsia="仿宋_GB2312"/>
          <w:snapToGrid w:val="0"/>
          <w:color w:val="000000" w:themeColor="text1"/>
          <w:kern w:val="0"/>
          <w:sz w:val="32"/>
          <w:szCs w:val="32"/>
        </w:rPr>
        <w:t>每天通报本地确诊病例具体情况，</w:t>
      </w:r>
      <w:r>
        <w:rPr>
          <w:rFonts w:hAnsi="仿宋_GB2312" w:eastAsia="仿宋_GB2312"/>
          <w:snapToGrid w:val="0"/>
          <w:color w:val="000000" w:themeColor="text1"/>
          <w:kern w:val="0"/>
          <w:sz w:val="32"/>
          <w:szCs w:val="32"/>
        </w:rPr>
        <w:t>及时准确发布本市疫情防控举措、复工复产相关政策文件以及公共服务类、政务服务类政府信息，全面发挥政府信息公开在疫情防控中的显政作用，让企业群众及时全面掌握疫情防控进展</w:t>
      </w:r>
      <w:r>
        <w:rPr>
          <w:rFonts w:eastAsia="仿宋_GB2312"/>
          <w:snapToGrid w:val="0"/>
          <w:color w:val="000000" w:themeColor="text1"/>
          <w:kern w:val="0"/>
          <w:sz w:val="32"/>
          <w:szCs w:val="32"/>
        </w:rPr>
        <w:t>。截至12月31日，共发布信息1848条，其中疫</w:t>
      </w:r>
      <w:r>
        <w:rPr>
          <w:rFonts w:hAnsi="仿宋_GB2312" w:eastAsia="仿宋_GB2312"/>
          <w:snapToGrid w:val="0"/>
          <w:color w:val="000000" w:themeColor="text1"/>
          <w:kern w:val="0"/>
          <w:sz w:val="32"/>
          <w:szCs w:val="32"/>
        </w:rPr>
        <w:t>情通报</w:t>
      </w:r>
      <w:r>
        <w:rPr>
          <w:rFonts w:eastAsia="仿宋_GB2312"/>
          <w:snapToGrid w:val="0"/>
          <w:color w:val="000000" w:themeColor="text1"/>
          <w:kern w:val="0"/>
          <w:sz w:val="32"/>
          <w:szCs w:val="32"/>
        </w:rPr>
        <w:t>364</w:t>
      </w:r>
      <w:r>
        <w:rPr>
          <w:rFonts w:hAnsi="仿宋_GB2312" w:eastAsia="仿宋_GB2312"/>
          <w:snapToGrid w:val="0"/>
          <w:color w:val="000000" w:themeColor="text1"/>
          <w:kern w:val="0"/>
          <w:sz w:val="32"/>
          <w:szCs w:val="32"/>
        </w:rPr>
        <w:t>条、要闻聚集</w:t>
      </w:r>
      <w:r>
        <w:rPr>
          <w:rFonts w:eastAsia="仿宋_GB2312"/>
          <w:snapToGrid w:val="0"/>
          <w:color w:val="000000" w:themeColor="text1"/>
          <w:kern w:val="0"/>
          <w:sz w:val="32"/>
          <w:szCs w:val="32"/>
        </w:rPr>
        <w:t>578</w:t>
      </w:r>
      <w:r>
        <w:rPr>
          <w:rFonts w:hAnsi="仿宋_GB2312" w:eastAsia="仿宋_GB2312"/>
          <w:snapToGrid w:val="0"/>
          <w:color w:val="000000" w:themeColor="text1"/>
          <w:kern w:val="0"/>
          <w:sz w:val="32"/>
          <w:szCs w:val="32"/>
        </w:rPr>
        <w:t>条、防控举措</w:t>
      </w:r>
      <w:r>
        <w:rPr>
          <w:rFonts w:eastAsia="仿宋_GB2312"/>
          <w:snapToGrid w:val="0"/>
          <w:color w:val="000000" w:themeColor="text1"/>
          <w:kern w:val="0"/>
          <w:sz w:val="32"/>
          <w:szCs w:val="32"/>
        </w:rPr>
        <w:t>87</w:t>
      </w:r>
      <w:r>
        <w:rPr>
          <w:rFonts w:hAnsi="仿宋_GB2312" w:eastAsia="仿宋_GB2312"/>
          <w:snapToGrid w:val="0"/>
          <w:color w:val="000000" w:themeColor="text1"/>
          <w:kern w:val="0"/>
          <w:sz w:val="32"/>
          <w:szCs w:val="32"/>
        </w:rPr>
        <w:t>条、业务公告</w:t>
      </w:r>
      <w:r>
        <w:rPr>
          <w:rFonts w:eastAsia="仿宋_GB2312"/>
          <w:snapToGrid w:val="0"/>
          <w:color w:val="000000" w:themeColor="text1"/>
          <w:kern w:val="0"/>
          <w:sz w:val="32"/>
          <w:szCs w:val="32"/>
        </w:rPr>
        <w:t>82</w:t>
      </w:r>
      <w:r>
        <w:rPr>
          <w:rFonts w:hAnsi="仿宋_GB2312" w:eastAsia="仿宋_GB2312"/>
          <w:snapToGrid w:val="0"/>
          <w:color w:val="000000" w:themeColor="text1"/>
          <w:kern w:val="0"/>
          <w:sz w:val="32"/>
          <w:szCs w:val="32"/>
        </w:rPr>
        <w:t>条、政策文件</w:t>
      </w:r>
      <w:r>
        <w:rPr>
          <w:rFonts w:eastAsia="仿宋_GB2312"/>
          <w:snapToGrid w:val="0"/>
          <w:color w:val="000000" w:themeColor="text1"/>
          <w:kern w:val="0"/>
          <w:sz w:val="32"/>
          <w:szCs w:val="32"/>
        </w:rPr>
        <w:t>25</w:t>
      </w:r>
      <w:r>
        <w:rPr>
          <w:rFonts w:hAnsi="仿宋_GB2312" w:eastAsia="仿宋_GB2312"/>
          <w:snapToGrid w:val="0"/>
          <w:color w:val="000000" w:themeColor="text1"/>
          <w:kern w:val="0"/>
          <w:sz w:val="32"/>
          <w:szCs w:val="32"/>
        </w:rPr>
        <w:t>条、相关新闻</w:t>
      </w:r>
      <w:r>
        <w:rPr>
          <w:rFonts w:eastAsia="仿宋_GB2312"/>
          <w:snapToGrid w:val="0"/>
          <w:color w:val="000000" w:themeColor="text1"/>
          <w:kern w:val="0"/>
          <w:sz w:val="32"/>
          <w:szCs w:val="32"/>
        </w:rPr>
        <w:t>712</w:t>
      </w:r>
      <w:r>
        <w:rPr>
          <w:rFonts w:hAnsi="仿宋_GB2312" w:eastAsia="仿宋_GB2312"/>
          <w:snapToGrid w:val="0"/>
          <w:color w:val="000000" w:themeColor="text1"/>
          <w:kern w:val="0"/>
          <w:sz w:val="32"/>
          <w:szCs w:val="32"/>
        </w:rPr>
        <w:t>条</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梳理归集制作《助企指南汇编》《惠企政策汇编》，为企业提供精准的政策服务，网上访问量达</w:t>
      </w:r>
      <w:r>
        <w:rPr>
          <w:rFonts w:eastAsia="仿宋_GB2312"/>
          <w:snapToGrid w:val="0"/>
          <w:color w:val="000000" w:themeColor="text1"/>
          <w:kern w:val="0"/>
          <w:sz w:val="32"/>
          <w:szCs w:val="32"/>
        </w:rPr>
        <w:t>232.8</w:t>
      </w:r>
      <w:r>
        <w:rPr>
          <w:rFonts w:hAnsi="仿宋_GB2312" w:eastAsia="仿宋_GB2312"/>
          <w:snapToGrid w:val="0"/>
          <w:color w:val="000000" w:themeColor="text1"/>
          <w:kern w:val="0"/>
          <w:sz w:val="32"/>
          <w:szCs w:val="32"/>
        </w:rPr>
        <w:t>万余次。</w:t>
      </w:r>
    </w:p>
    <w:p>
      <w:pPr>
        <w:overflowPunct w:val="0"/>
        <w:autoSpaceDE w:val="0"/>
        <w:autoSpaceDN w:val="0"/>
        <w:adjustRightInd w:val="0"/>
        <w:snapToGrid w:val="0"/>
        <w:spacing w:line="560" w:lineRule="exact"/>
        <w:ind w:firstLine="641"/>
        <w:rPr>
          <w:rFonts w:eastAsia="仿宋_GB2312"/>
          <w:b/>
          <w:bCs/>
          <w:snapToGrid w:val="0"/>
          <w:color w:val="000000" w:themeColor="text1"/>
          <w:kern w:val="0"/>
          <w:sz w:val="32"/>
          <w:szCs w:val="32"/>
        </w:rPr>
      </w:pPr>
      <w:r>
        <w:rPr>
          <w:rFonts w:eastAsia="仿宋_GB2312"/>
          <w:b/>
          <w:bCs/>
          <w:snapToGrid w:val="0"/>
          <w:color w:val="000000" w:themeColor="text1"/>
          <w:kern w:val="0"/>
          <w:sz w:val="32"/>
          <w:szCs w:val="32"/>
        </w:rPr>
        <w:t>2.</w:t>
      </w:r>
      <w:r>
        <w:rPr>
          <w:rFonts w:hint="eastAsia" w:eastAsia="仿宋_GB2312"/>
          <w:b/>
          <w:bCs/>
          <w:snapToGrid w:val="0"/>
          <w:color w:val="000000" w:themeColor="text1"/>
          <w:kern w:val="0"/>
          <w:sz w:val="32"/>
          <w:szCs w:val="32"/>
        </w:rPr>
        <w:t xml:space="preserve"> </w:t>
      </w:r>
      <w:r>
        <w:rPr>
          <w:rFonts w:eastAsia="仿宋_GB2312"/>
          <w:b/>
          <w:bCs/>
          <w:snapToGrid w:val="0"/>
          <w:color w:val="000000" w:themeColor="text1"/>
          <w:kern w:val="0"/>
          <w:sz w:val="32"/>
          <w:szCs w:val="32"/>
        </w:rPr>
        <w:t>紧扣“重点领域”做好信息发布</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围绕“六稳”“六保”决策部署、全市中心工作，做好社会救助、教育、医疗卫生、就业和社会保障领域的信息发布工作，及时通过政府网站、政务新媒体向社会公开2020年度常州市十大民生实事项目。</w:t>
      </w:r>
      <w:r>
        <w:rPr>
          <w:rFonts w:hAnsi="仿宋_GB2312" w:eastAsia="仿宋_GB2312"/>
          <w:snapToGrid w:val="0"/>
          <w:color w:val="000000" w:themeColor="text1"/>
          <w:kern w:val="0"/>
          <w:sz w:val="32"/>
          <w:szCs w:val="32"/>
          <w:shd w:val="clear" w:color="auto" w:fill="FFFFFF"/>
        </w:rPr>
        <w:t>稳步推动镇村两级精准赋权，梳理制定事项</w:t>
      </w:r>
      <w:r>
        <w:rPr>
          <w:rFonts w:eastAsia="仿宋_GB2312"/>
          <w:snapToGrid w:val="0"/>
          <w:color w:val="000000" w:themeColor="text1"/>
          <w:kern w:val="0"/>
          <w:sz w:val="32"/>
          <w:szCs w:val="32"/>
          <w:shd w:val="clear" w:color="auto" w:fill="FFFFFF"/>
        </w:rPr>
        <w:t>“</w:t>
      </w:r>
      <w:r>
        <w:rPr>
          <w:rFonts w:hAnsi="仿宋_GB2312" w:eastAsia="仿宋_GB2312"/>
          <w:snapToGrid w:val="0"/>
          <w:color w:val="000000" w:themeColor="text1"/>
          <w:kern w:val="0"/>
          <w:sz w:val="32"/>
          <w:szCs w:val="32"/>
          <w:shd w:val="clear" w:color="auto" w:fill="FFFFFF"/>
        </w:rPr>
        <w:t>应进、选进</w:t>
      </w:r>
      <w:r>
        <w:rPr>
          <w:rFonts w:eastAsia="仿宋_GB2312"/>
          <w:snapToGrid w:val="0"/>
          <w:color w:val="000000" w:themeColor="text1"/>
          <w:kern w:val="0"/>
          <w:sz w:val="32"/>
          <w:szCs w:val="32"/>
          <w:shd w:val="clear" w:color="auto" w:fill="FFFFFF"/>
        </w:rPr>
        <w:t>”4</w:t>
      </w:r>
      <w:r>
        <w:rPr>
          <w:rFonts w:hAnsi="仿宋_GB2312" w:eastAsia="仿宋_GB2312"/>
          <w:snapToGrid w:val="0"/>
          <w:color w:val="000000" w:themeColor="text1"/>
          <w:kern w:val="0"/>
          <w:sz w:val="32"/>
          <w:szCs w:val="32"/>
          <w:shd w:val="clear" w:color="auto" w:fill="FFFFFF"/>
        </w:rPr>
        <w:t>张清单，推行一次告知、公开公示、帮办代办、</w:t>
      </w:r>
      <w:r>
        <w:rPr>
          <w:rFonts w:eastAsia="仿宋_GB2312"/>
          <w:snapToGrid w:val="0"/>
          <w:color w:val="000000" w:themeColor="text1"/>
          <w:kern w:val="0"/>
          <w:sz w:val="32"/>
          <w:szCs w:val="32"/>
          <w:shd w:val="clear" w:color="auto" w:fill="FFFFFF"/>
        </w:rPr>
        <w:t>“</w:t>
      </w:r>
      <w:r>
        <w:rPr>
          <w:rFonts w:hAnsi="仿宋_GB2312" w:eastAsia="仿宋_GB2312"/>
          <w:snapToGrid w:val="0"/>
          <w:color w:val="000000" w:themeColor="text1"/>
          <w:kern w:val="0"/>
          <w:sz w:val="32"/>
          <w:szCs w:val="32"/>
          <w:shd w:val="clear" w:color="auto" w:fill="FFFFFF"/>
        </w:rPr>
        <w:t>好差评</w:t>
      </w:r>
      <w:r>
        <w:rPr>
          <w:rFonts w:eastAsia="仿宋_GB2312"/>
          <w:snapToGrid w:val="0"/>
          <w:color w:val="000000" w:themeColor="text1"/>
          <w:kern w:val="0"/>
          <w:sz w:val="32"/>
          <w:szCs w:val="32"/>
          <w:shd w:val="clear" w:color="auto" w:fill="FFFFFF"/>
        </w:rPr>
        <w:t>”</w:t>
      </w:r>
      <w:r>
        <w:rPr>
          <w:rFonts w:hAnsi="仿宋_GB2312" w:eastAsia="仿宋_GB2312"/>
          <w:snapToGrid w:val="0"/>
          <w:color w:val="000000" w:themeColor="text1"/>
          <w:kern w:val="0"/>
          <w:sz w:val="32"/>
          <w:szCs w:val="32"/>
          <w:shd w:val="clear" w:color="auto" w:fill="FFFFFF"/>
        </w:rPr>
        <w:t>服务工作制，深化镇村两级服务频道建设应用，探索高频民生事项向银行等社会网点延伸扩散，基层政务服务整体功能进一步强化。落实国家、省关于公共资源交易平台整合共享的决策部署，狠抓交易资源配置、</w:t>
      </w:r>
      <w:r>
        <w:rPr>
          <w:rFonts w:eastAsia="仿宋_GB2312"/>
          <w:snapToGrid w:val="0"/>
          <w:color w:val="000000" w:themeColor="text1"/>
          <w:kern w:val="0"/>
          <w:sz w:val="32"/>
          <w:szCs w:val="32"/>
          <w:shd w:val="clear" w:color="auto" w:fill="FFFFFF"/>
        </w:rPr>
        <w:t>“</w:t>
      </w:r>
      <w:r>
        <w:rPr>
          <w:rFonts w:hAnsi="仿宋_GB2312" w:eastAsia="仿宋_GB2312"/>
          <w:snapToGrid w:val="0"/>
          <w:color w:val="000000" w:themeColor="text1"/>
          <w:kern w:val="0"/>
          <w:sz w:val="32"/>
          <w:szCs w:val="32"/>
          <w:shd w:val="clear" w:color="auto" w:fill="FFFFFF"/>
        </w:rPr>
        <w:t>不见面</w:t>
      </w:r>
      <w:r>
        <w:rPr>
          <w:rFonts w:eastAsia="仿宋_GB2312"/>
          <w:snapToGrid w:val="0"/>
          <w:color w:val="000000" w:themeColor="text1"/>
          <w:kern w:val="0"/>
          <w:sz w:val="32"/>
          <w:szCs w:val="32"/>
          <w:shd w:val="clear" w:color="auto" w:fill="FFFFFF"/>
        </w:rPr>
        <w:t>”</w:t>
      </w:r>
      <w:r>
        <w:rPr>
          <w:rFonts w:hAnsi="仿宋_GB2312" w:eastAsia="仿宋_GB2312"/>
          <w:snapToGrid w:val="0"/>
          <w:color w:val="000000" w:themeColor="text1"/>
          <w:kern w:val="0"/>
          <w:sz w:val="32"/>
          <w:szCs w:val="32"/>
          <w:shd w:val="clear" w:color="auto" w:fill="FFFFFF"/>
        </w:rPr>
        <w:t>交易和标准化管理，全市公共资源交易管理水平显著提升。根据《江苏省公共资源交易目录》编修并公布全市新版《公共资源进场交易目录》，省内率先开发启用电子《进场交易证明书》，高质量实现了公共资源交易项目</w:t>
      </w:r>
      <w:r>
        <w:rPr>
          <w:rFonts w:eastAsia="仿宋_GB2312"/>
          <w:snapToGrid w:val="0"/>
          <w:color w:val="000000" w:themeColor="text1"/>
          <w:kern w:val="0"/>
          <w:sz w:val="32"/>
          <w:szCs w:val="32"/>
          <w:shd w:val="clear" w:color="auto" w:fill="FFFFFF"/>
        </w:rPr>
        <w:t>“</w:t>
      </w:r>
      <w:r>
        <w:rPr>
          <w:rFonts w:hAnsi="仿宋_GB2312" w:eastAsia="仿宋_GB2312"/>
          <w:snapToGrid w:val="0"/>
          <w:color w:val="000000" w:themeColor="text1"/>
          <w:kern w:val="0"/>
          <w:sz w:val="32"/>
          <w:szCs w:val="32"/>
          <w:shd w:val="clear" w:color="auto" w:fill="FFFFFF"/>
        </w:rPr>
        <w:t>应进必进、应进尽进</w:t>
      </w:r>
      <w:r>
        <w:rPr>
          <w:rFonts w:eastAsia="仿宋_GB2312"/>
          <w:snapToGrid w:val="0"/>
          <w:color w:val="000000" w:themeColor="text1"/>
          <w:kern w:val="0"/>
          <w:sz w:val="32"/>
          <w:szCs w:val="32"/>
          <w:shd w:val="clear" w:color="auto" w:fill="FFFFFF"/>
        </w:rPr>
        <w:t>”</w:t>
      </w:r>
      <w:r>
        <w:rPr>
          <w:rFonts w:hAnsi="仿宋_GB2312" w:eastAsia="仿宋_GB2312"/>
          <w:snapToGrid w:val="0"/>
          <w:color w:val="000000" w:themeColor="text1"/>
          <w:kern w:val="0"/>
          <w:sz w:val="32"/>
          <w:szCs w:val="32"/>
          <w:shd w:val="clear" w:color="auto" w:fill="FFFFFF"/>
        </w:rPr>
        <w:t>。</w:t>
      </w:r>
    </w:p>
    <w:p>
      <w:pPr>
        <w:overflowPunct w:val="0"/>
        <w:autoSpaceDE w:val="0"/>
        <w:autoSpaceDN w:val="0"/>
        <w:adjustRightInd w:val="0"/>
        <w:snapToGrid w:val="0"/>
        <w:spacing w:line="560" w:lineRule="exact"/>
        <w:ind w:firstLine="641"/>
        <w:rPr>
          <w:rFonts w:eastAsia="仿宋_GB2312"/>
          <w:b w:val="0"/>
          <w:bCs w:val="0"/>
          <w:snapToGrid w:val="0"/>
          <w:color w:val="000000" w:themeColor="text1"/>
          <w:kern w:val="0"/>
          <w:sz w:val="32"/>
          <w:szCs w:val="32"/>
        </w:rPr>
      </w:pPr>
      <w:r>
        <w:rPr>
          <w:rFonts w:hAnsi="仿宋_GB2312" w:eastAsia="仿宋_GB2312"/>
          <w:snapToGrid w:val="0"/>
          <w:color w:val="000000" w:themeColor="text1"/>
          <w:kern w:val="0"/>
          <w:sz w:val="32"/>
          <w:szCs w:val="32"/>
        </w:rPr>
        <w:t>强化解读回应，严格落实解读材料和政策文件</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同步起草、同步审批、同步发布</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工作制度，对规章、规范性文件和重大政策</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应解读尽解读</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。积极采用专家解读、图示图解、视频等形式开展解读，方便公众更直观清晰地理解政策的核心内容，扩大政策的覆盖面和认可度。</w:t>
      </w:r>
      <w:r>
        <w:rPr>
          <w:rFonts w:eastAsia="仿宋_GB2312"/>
          <w:snapToGrid w:val="0"/>
          <w:color w:val="000000" w:themeColor="text1"/>
          <w:kern w:val="0"/>
          <w:sz w:val="32"/>
          <w:szCs w:val="32"/>
        </w:rPr>
        <w:t>全年公开规章6件、规范性文件35件、其他文件1500余件，编发《常州市人民政府公报》3期，</w:t>
      </w:r>
      <w:r>
        <w:rPr>
          <w:rFonts w:hAnsi="仿宋_GB2312" w:eastAsia="仿宋_GB2312"/>
          <w:snapToGrid w:val="0"/>
          <w:color w:val="000000" w:themeColor="text1"/>
          <w:kern w:val="0"/>
          <w:sz w:val="32"/>
          <w:szCs w:val="32"/>
        </w:rPr>
        <w:t>共举办新</w:t>
      </w:r>
      <w:r>
        <w:rPr>
          <w:rFonts w:hAnsi="仿宋_GB2312" w:eastAsia="仿宋_GB2312"/>
          <w:b w:val="0"/>
          <w:bCs w:val="0"/>
          <w:snapToGrid w:val="0"/>
          <w:color w:val="000000" w:themeColor="text1"/>
          <w:kern w:val="0"/>
          <w:sz w:val="32"/>
          <w:szCs w:val="32"/>
        </w:rPr>
        <w:t>闻发布会</w:t>
      </w:r>
      <w:r>
        <w:rPr>
          <w:rFonts w:eastAsia="仿宋_GB2312"/>
          <w:b w:val="0"/>
          <w:bCs w:val="0"/>
          <w:snapToGrid w:val="0"/>
          <w:color w:val="000000" w:themeColor="text1"/>
          <w:kern w:val="0"/>
          <w:sz w:val="32"/>
          <w:szCs w:val="32"/>
        </w:rPr>
        <w:t>113</w:t>
      </w:r>
      <w:r>
        <w:rPr>
          <w:rFonts w:hAnsi="仿宋_GB2312" w:eastAsia="仿宋_GB2312"/>
          <w:b w:val="0"/>
          <w:bCs w:val="0"/>
          <w:snapToGrid w:val="0"/>
          <w:color w:val="000000" w:themeColor="text1"/>
          <w:kern w:val="0"/>
          <w:sz w:val="32"/>
          <w:szCs w:val="32"/>
        </w:rPr>
        <w:t>场，举办在线访谈</w:t>
      </w:r>
      <w:r>
        <w:rPr>
          <w:rFonts w:eastAsia="仿宋_GB2312"/>
          <w:b w:val="0"/>
          <w:bCs w:val="0"/>
          <w:snapToGrid w:val="0"/>
          <w:color w:val="000000" w:themeColor="text1"/>
          <w:kern w:val="0"/>
          <w:sz w:val="32"/>
          <w:szCs w:val="32"/>
        </w:rPr>
        <w:t>250</w:t>
      </w:r>
      <w:r>
        <w:rPr>
          <w:rFonts w:hAnsi="仿宋_GB2312" w:eastAsia="仿宋_GB2312"/>
          <w:b w:val="0"/>
          <w:bCs w:val="0"/>
          <w:snapToGrid w:val="0"/>
          <w:color w:val="000000" w:themeColor="text1"/>
          <w:kern w:val="0"/>
          <w:sz w:val="32"/>
          <w:szCs w:val="32"/>
        </w:rPr>
        <w:t>期，通过各种渠道发布政策解读</w:t>
      </w:r>
      <w:r>
        <w:rPr>
          <w:rFonts w:eastAsia="仿宋_GB2312"/>
          <w:b w:val="0"/>
          <w:bCs w:val="0"/>
          <w:snapToGrid w:val="0"/>
          <w:color w:val="000000" w:themeColor="text1"/>
          <w:kern w:val="0"/>
          <w:sz w:val="32"/>
          <w:szCs w:val="32"/>
        </w:rPr>
        <w:t>395</w:t>
      </w:r>
      <w:r>
        <w:rPr>
          <w:rFonts w:hAnsi="仿宋_GB2312" w:eastAsia="仿宋_GB2312"/>
          <w:b w:val="0"/>
          <w:bCs w:val="0"/>
          <w:snapToGrid w:val="0"/>
          <w:color w:val="000000" w:themeColor="text1"/>
          <w:kern w:val="0"/>
          <w:sz w:val="32"/>
          <w:szCs w:val="32"/>
        </w:rPr>
        <w:t>篇。全年回应公众关注热点共</w:t>
      </w:r>
      <w:r>
        <w:rPr>
          <w:rFonts w:eastAsia="仿宋_GB2312"/>
          <w:b w:val="0"/>
          <w:bCs w:val="0"/>
          <w:snapToGrid w:val="0"/>
          <w:color w:val="000000" w:themeColor="text1"/>
          <w:kern w:val="0"/>
          <w:sz w:val="32"/>
          <w:szCs w:val="32"/>
        </w:rPr>
        <w:t>11627</w:t>
      </w:r>
      <w:r>
        <w:rPr>
          <w:rFonts w:hAnsi="仿宋_GB2312" w:eastAsia="仿宋_GB2312"/>
          <w:b w:val="0"/>
          <w:bCs w:val="0"/>
          <w:snapToGrid w:val="0"/>
          <w:color w:val="000000" w:themeColor="text1"/>
          <w:kern w:val="0"/>
          <w:sz w:val="32"/>
          <w:szCs w:val="32"/>
        </w:rPr>
        <w:t>次，通过</w:t>
      </w:r>
      <w:r>
        <w:rPr>
          <w:rFonts w:eastAsia="仿宋_GB2312"/>
          <w:b w:val="0"/>
          <w:bCs w:val="0"/>
          <w:snapToGrid w:val="0"/>
          <w:color w:val="000000" w:themeColor="text1"/>
          <w:kern w:val="0"/>
          <w:sz w:val="32"/>
          <w:szCs w:val="32"/>
        </w:rPr>
        <w:t>“</w:t>
      </w:r>
      <w:r>
        <w:rPr>
          <w:rFonts w:hAnsi="仿宋_GB2312" w:eastAsia="仿宋_GB2312"/>
          <w:b w:val="0"/>
          <w:bCs w:val="0"/>
          <w:snapToGrid w:val="0"/>
          <w:color w:val="000000" w:themeColor="text1"/>
          <w:kern w:val="0"/>
          <w:sz w:val="32"/>
          <w:szCs w:val="32"/>
        </w:rPr>
        <w:t>常州</w:t>
      </w:r>
      <w:r>
        <w:rPr>
          <w:rFonts w:eastAsia="仿宋_GB2312"/>
          <w:b w:val="0"/>
          <w:bCs w:val="0"/>
          <w:snapToGrid w:val="0"/>
          <w:color w:val="000000" w:themeColor="text1"/>
          <w:kern w:val="0"/>
          <w:sz w:val="32"/>
          <w:szCs w:val="32"/>
        </w:rPr>
        <w:t>12345”</w:t>
      </w:r>
      <w:r>
        <w:rPr>
          <w:rFonts w:hAnsi="仿宋_GB2312" w:eastAsia="仿宋_GB2312"/>
          <w:b w:val="0"/>
          <w:bCs w:val="0"/>
          <w:snapToGrid w:val="0"/>
          <w:color w:val="000000" w:themeColor="text1"/>
          <w:kern w:val="0"/>
          <w:sz w:val="32"/>
          <w:szCs w:val="32"/>
        </w:rPr>
        <w:t>热线、</w:t>
      </w:r>
      <w:r>
        <w:rPr>
          <w:rFonts w:eastAsia="仿宋_GB2312"/>
          <w:b w:val="0"/>
          <w:bCs w:val="0"/>
          <w:snapToGrid w:val="0"/>
          <w:color w:val="000000" w:themeColor="text1"/>
          <w:kern w:val="0"/>
          <w:sz w:val="32"/>
          <w:szCs w:val="32"/>
        </w:rPr>
        <w:t>“</w:t>
      </w:r>
      <w:r>
        <w:rPr>
          <w:rFonts w:hAnsi="仿宋_GB2312" w:eastAsia="仿宋_GB2312"/>
          <w:b w:val="0"/>
          <w:bCs w:val="0"/>
          <w:snapToGrid w:val="0"/>
          <w:color w:val="000000" w:themeColor="text1"/>
          <w:kern w:val="0"/>
          <w:sz w:val="32"/>
          <w:szCs w:val="32"/>
        </w:rPr>
        <w:t>常州政企通</w:t>
      </w:r>
      <w:r>
        <w:rPr>
          <w:rFonts w:eastAsia="仿宋_GB2312"/>
          <w:b w:val="0"/>
          <w:bCs w:val="0"/>
          <w:snapToGrid w:val="0"/>
          <w:color w:val="000000" w:themeColor="text1"/>
          <w:kern w:val="0"/>
          <w:sz w:val="32"/>
          <w:szCs w:val="32"/>
        </w:rPr>
        <w:t>”</w:t>
      </w:r>
      <w:r>
        <w:rPr>
          <w:rFonts w:hAnsi="仿宋_GB2312" w:eastAsia="仿宋_GB2312"/>
          <w:b w:val="0"/>
          <w:bCs w:val="0"/>
          <w:snapToGrid w:val="0"/>
          <w:color w:val="000000" w:themeColor="text1"/>
          <w:kern w:val="0"/>
          <w:sz w:val="32"/>
          <w:szCs w:val="32"/>
        </w:rPr>
        <w:t>微信公众号等解答各类咨询</w:t>
      </w:r>
      <w:r>
        <w:rPr>
          <w:rFonts w:eastAsia="仿宋_GB2312"/>
          <w:b w:val="0"/>
          <w:bCs w:val="0"/>
          <w:snapToGrid w:val="0"/>
          <w:color w:val="000000" w:themeColor="text1"/>
          <w:kern w:val="0"/>
          <w:sz w:val="32"/>
          <w:szCs w:val="32"/>
        </w:rPr>
        <w:t>75</w:t>
      </w:r>
      <w:r>
        <w:rPr>
          <w:rFonts w:hAnsi="仿宋_GB2312" w:eastAsia="仿宋_GB2312"/>
          <w:b w:val="0"/>
          <w:bCs w:val="0"/>
          <w:snapToGrid w:val="0"/>
          <w:color w:val="000000" w:themeColor="text1"/>
          <w:kern w:val="0"/>
          <w:sz w:val="32"/>
          <w:szCs w:val="32"/>
        </w:rPr>
        <w:t>万余件，派发相关单位处理</w:t>
      </w:r>
      <w:r>
        <w:rPr>
          <w:rFonts w:eastAsia="仿宋_GB2312"/>
          <w:b w:val="0"/>
          <w:bCs w:val="0"/>
          <w:snapToGrid w:val="0"/>
          <w:color w:val="000000" w:themeColor="text1"/>
          <w:kern w:val="0"/>
          <w:sz w:val="32"/>
          <w:szCs w:val="32"/>
        </w:rPr>
        <w:t>16</w:t>
      </w:r>
      <w:r>
        <w:rPr>
          <w:rFonts w:hAnsi="仿宋_GB2312" w:eastAsia="仿宋_GB2312"/>
          <w:b w:val="0"/>
          <w:bCs w:val="0"/>
          <w:snapToGrid w:val="0"/>
          <w:color w:val="000000" w:themeColor="text1"/>
          <w:kern w:val="0"/>
          <w:sz w:val="32"/>
          <w:szCs w:val="32"/>
        </w:rPr>
        <w:t>万余件。</w:t>
      </w:r>
    </w:p>
    <w:p>
      <w:pPr>
        <w:overflowPunct w:val="0"/>
        <w:autoSpaceDE w:val="0"/>
        <w:autoSpaceDN w:val="0"/>
        <w:adjustRightInd w:val="0"/>
        <w:snapToGrid w:val="0"/>
        <w:spacing w:line="560" w:lineRule="exact"/>
        <w:ind w:firstLine="641"/>
        <w:rPr>
          <w:rFonts w:eastAsia="仿宋_GB2312"/>
          <w:b/>
          <w:bCs/>
          <w:snapToGrid w:val="0"/>
          <w:color w:val="000000" w:themeColor="text1"/>
          <w:kern w:val="0"/>
          <w:sz w:val="32"/>
          <w:szCs w:val="32"/>
        </w:rPr>
      </w:pPr>
      <w:r>
        <w:rPr>
          <w:rFonts w:eastAsia="仿宋_GB2312"/>
          <w:b/>
          <w:bCs/>
          <w:snapToGrid w:val="0"/>
          <w:color w:val="000000" w:themeColor="text1"/>
          <w:kern w:val="0"/>
          <w:sz w:val="32"/>
          <w:szCs w:val="32"/>
        </w:rPr>
        <w:t>3.</w:t>
      </w:r>
      <w:r>
        <w:rPr>
          <w:rFonts w:hint="eastAsia" w:eastAsia="仿宋_GB2312"/>
          <w:b/>
          <w:bCs/>
          <w:snapToGrid w:val="0"/>
          <w:color w:val="000000" w:themeColor="text1"/>
          <w:kern w:val="0"/>
          <w:sz w:val="32"/>
          <w:szCs w:val="32"/>
        </w:rPr>
        <w:t xml:space="preserve"> </w:t>
      </w:r>
      <w:r>
        <w:rPr>
          <w:rFonts w:hAnsi="仿宋_GB2312" w:eastAsia="仿宋_GB2312"/>
          <w:b/>
          <w:bCs/>
          <w:snapToGrid w:val="0"/>
          <w:color w:val="000000" w:themeColor="text1"/>
          <w:kern w:val="0"/>
          <w:sz w:val="32"/>
          <w:szCs w:val="32"/>
        </w:rPr>
        <w:t>围绕</w:t>
      </w:r>
      <w:r>
        <w:rPr>
          <w:rFonts w:eastAsia="仿宋_GB2312"/>
          <w:b/>
          <w:bCs/>
          <w:snapToGrid w:val="0"/>
          <w:color w:val="000000" w:themeColor="text1"/>
          <w:kern w:val="0"/>
          <w:sz w:val="32"/>
          <w:szCs w:val="32"/>
        </w:rPr>
        <w:t>“</w:t>
      </w:r>
      <w:r>
        <w:rPr>
          <w:rFonts w:hAnsi="仿宋_GB2312" w:eastAsia="仿宋_GB2312"/>
          <w:b/>
          <w:bCs/>
          <w:snapToGrid w:val="0"/>
          <w:color w:val="000000" w:themeColor="text1"/>
          <w:kern w:val="0"/>
          <w:sz w:val="32"/>
          <w:szCs w:val="32"/>
        </w:rPr>
        <w:t>优化营商环境</w:t>
      </w:r>
      <w:r>
        <w:rPr>
          <w:rFonts w:eastAsia="仿宋_GB2312"/>
          <w:b/>
          <w:bCs/>
          <w:snapToGrid w:val="0"/>
          <w:color w:val="000000" w:themeColor="text1"/>
          <w:kern w:val="0"/>
          <w:sz w:val="32"/>
          <w:szCs w:val="32"/>
        </w:rPr>
        <w:t>”</w:t>
      </w:r>
      <w:r>
        <w:rPr>
          <w:rFonts w:hAnsi="仿宋_GB2312" w:eastAsia="仿宋_GB2312"/>
          <w:b/>
          <w:bCs/>
          <w:snapToGrid w:val="0"/>
          <w:color w:val="000000" w:themeColor="text1"/>
          <w:kern w:val="0"/>
          <w:sz w:val="32"/>
          <w:szCs w:val="32"/>
        </w:rPr>
        <w:t>做好信息发布</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积极发挥政务公开在优化营商环境的助推作用，依托市政府门户网站建成全市权威、规范、统一的“优化营商环境惠企政策服务平台”，为全市各类市场主体提供精准政策服务，营造公开透明、可预期的制度环境，形成以“常州市人民政府门户网站”为主体，“常州发布”“常州政企通”“我的常州APP”“常州12345”为支撑的“1+4”惠企政策集中发布体系。截至12月底，“优化营商环境惠企政策服务平台”已上传国家、省、市各类惠企政策714条以及疫情期间本市支持企业复工复产精准扶持政策14类130条，1391家企业主动关注平台，访问量达41.18万余次。</w:t>
      </w:r>
    </w:p>
    <w:p>
      <w:pPr>
        <w:overflowPunct w:val="0"/>
        <w:autoSpaceDE w:val="0"/>
        <w:autoSpaceDN w:val="0"/>
        <w:adjustRightInd w:val="0"/>
        <w:snapToGrid w:val="0"/>
        <w:spacing w:line="560" w:lineRule="exact"/>
        <w:ind w:left="641"/>
        <w:rPr>
          <w:rFonts w:eastAsia="楷体_GB2312"/>
          <w:b/>
          <w:snapToGrid w:val="0"/>
          <w:color w:val="000000" w:themeColor="text1"/>
          <w:kern w:val="0"/>
          <w:sz w:val="32"/>
          <w:szCs w:val="32"/>
        </w:rPr>
      </w:pPr>
      <w:r>
        <w:rPr>
          <w:rFonts w:hint="eastAsia" w:eastAsia="楷体_GB2312"/>
          <w:b/>
          <w:snapToGrid w:val="0"/>
          <w:color w:val="000000" w:themeColor="text1"/>
          <w:kern w:val="0"/>
          <w:sz w:val="32"/>
          <w:szCs w:val="32"/>
        </w:rPr>
        <w:t>（二）</w:t>
      </w:r>
      <w:r>
        <w:rPr>
          <w:rFonts w:eastAsia="楷体_GB2312"/>
          <w:b/>
          <w:snapToGrid w:val="0"/>
          <w:color w:val="000000" w:themeColor="text1"/>
          <w:kern w:val="0"/>
          <w:sz w:val="32"/>
          <w:szCs w:val="32"/>
        </w:rPr>
        <w:t>依申请公开方面</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制定《常州市政府信息公开申请办理规范》，修订“政府信息公开申请答复格式文书”，进一步完善信息公开申请办理机制和依申请公开流程。严格设置依申请办理工作流程，依托“常州市人民政府”门户网站“申请公开政府信息”平台对全市依申请办理实行全过程监管，实现了政府信息依申请公开工作全程信息化、流程化、规范化。</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全市各级行政机关累计受理政府信息公开申请2114件，较2019年增长8.6%，在法定期限内答复政府信息公开申请2114件（含上年度结转申请65件），另有65件申请按照《条例》要求顺延到下年度答复。其中予以公开及部分公开1004件，占47.5%；不予公开54件，占2.5% ；因本机关不掌握等原因无法提供771件，占36.5% ；不予处理146件，占6.9% ；其他处理139件，占6.6%。</w:t>
      </w:r>
    </w:p>
    <w:p>
      <w:pPr>
        <w:overflowPunct w:val="0"/>
        <w:autoSpaceDE w:val="0"/>
        <w:autoSpaceDN w:val="0"/>
        <w:adjustRightInd w:val="0"/>
        <w:snapToGrid w:val="0"/>
        <w:spacing w:line="560" w:lineRule="exact"/>
        <w:ind w:left="641"/>
        <w:rPr>
          <w:rFonts w:eastAsia="楷体_GB2312"/>
          <w:b/>
          <w:snapToGrid w:val="0"/>
          <w:color w:val="000000" w:themeColor="text1"/>
          <w:kern w:val="0"/>
          <w:sz w:val="32"/>
          <w:szCs w:val="32"/>
        </w:rPr>
      </w:pPr>
      <w:r>
        <w:rPr>
          <w:rFonts w:hint="eastAsia" w:eastAsia="楷体_GB2312"/>
          <w:b/>
          <w:snapToGrid w:val="0"/>
          <w:color w:val="000000" w:themeColor="text1"/>
          <w:kern w:val="0"/>
          <w:sz w:val="32"/>
          <w:szCs w:val="32"/>
        </w:rPr>
        <w:t>（三）</w:t>
      </w:r>
      <w:r>
        <w:rPr>
          <w:rFonts w:eastAsia="楷体_GB2312"/>
          <w:b/>
          <w:snapToGrid w:val="0"/>
          <w:color w:val="000000" w:themeColor="text1"/>
          <w:kern w:val="0"/>
          <w:sz w:val="32"/>
          <w:szCs w:val="32"/>
        </w:rPr>
        <w:t>政府信息管理方面</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强力推进文件清理评估工作，落实行政规范性文件监督管理各项制度，依据法律法规规章制定变化及上级政策规定要求，及时组织开展行政规范性文件评估清理。对2019年以前发布现行有效的市政府规章、行政规范性文件及政策措施文件开展全面清理，经梳理准备、部门清理、汇总审核，此次清理共涉及文件1498件，决定废止市政府规章1件，继续有效（含拟修改）9件；废止市政府行政规范性文件17件，继续有效（含拟修改）74件；废止和失效市政府政策措施类文件457件，继续有效（含拟修改）940件。</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全面推进基层政务公开标准化规范化工作，出台《常州市全面推进基层政务公开标准化规范化工作实施方案》，谋划基层政务公开标准化规范化工作推进的目标任务、时间节点以及实施步骤，加强基层行政权力监督制约，提升基层政府治理能力。统筹推进全市基层政务公开事项目录编制有关工作，同步部署开展市、区、镇（街道）三级26个试点领域政务公开事项梳理和公开标准目录编制工作，截至12月底，已初步完成市、区政务公开标准目录编制工作。</w:t>
      </w:r>
    </w:p>
    <w:p>
      <w:pPr>
        <w:pStyle w:val="5"/>
        <w:widowControl w:val="0"/>
        <w:overflowPunct w:val="0"/>
        <w:autoSpaceDE w:val="0"/>
        <w:autoSpaceDN w:val="0"/>
        <w:adjustRightInd w:val="0"/>
        <w:snapToGrid w:val="0"/>
        <w:spacing w:before="0" w:beforeAutospacing="0" w:after="0" w:afterAutospacing="0" w:line="560" w:lineRule="exact"/>
        <w:ind w:firstLine="641"/>
        <w:jc w:val="both"/>
        <w:rPr>
          <w:rFonts w:ascii="Times New Roman" w:hAnsi="Times New Roman" w:eastAsia="仿宋_GB2312" w:cs="Times New Roman"/>
          <w:snapToGrid w:val="0"/>
          <w:color w:val="000000" w:themeColor="text1"/>
          <w:sz w:val="32"/>
          <w:szCs w:val="32"/>
        </w:rPr>
      </w:pPr>
      <w:r>
        <w:rPr>
          <w:rFonts w:ascii="Times New Roman" w:hAnsi="Times New Roman" w:eastAsia="仿宋_GB2312" w:cs="Times New Roman"/>
          <w:snapToGrid w:val="0"/>
          <w:color w:val="000000" w:themeColor="text1"/>
          <w:sz w:val="32"/>
          <w:szCs w:val="32"/>
        </w:rPr>
        <w:t>推动完善基层政务公开与村务公开的协调发展机制，积极探索在各村、社区利用公开栏、电子显示屏、微信公众号、楼道宣传栏等媒介，常态化、制度化、规范化实行“三务（村居务、财务、党务）公开”制度，城乡社区大小事务及时公布，实现政务公开与村务公开有效衔接，基层群众的知情权得到有效保障。</w:t>
      </w:r>
    </w:p>
    <w:p>
      <w:pPr>
        <w:overflowPunct w:val="0"/>
        <w:autoSpaceDE w:val="0"/>
        <w:autoSpaceDN w:val="0"/>
        <w:adjustRightInd w:val="0"/>
        <w:snapToGrid w:val="0"/>
        <w:spacing w:line="560" w:lineRule="exact"/>
        <w:ind w:left="641"/>
        <w:rPr>
          <w:rFonts w:eastAsia="楷体_GB2312"/>
          <w:b/>
          <w:snapToGrid w:val="0"/>
          <w:color w:val="000000" w:themeColor="text1"/>
          <w:kern w:val="0"/>
          <w:sz w:val="32"/>
          <w:szCs w:val="32"/>
        </w:rPr>
      </w:pPr>
      <w:r>
        <w:rPr>
          <w:rFonts w:eastAsia="楷体_GB2312"/>
          <w:b/>
          <w:snapToGrid w:val="0"/>
          <w:color w:val="000000" w:themeColor="text1"/>
          <w:kern w:val="0"/>
          <w:sz w:val="32"/>
          <w:szCs w:val="32"/>
        </w:rPr>
        <w:t>（四）平台建设方面</w:t>
      </w:r>
    </w:p>
    <w:p>
      <w:pPr>
        <w:pStyle w:val="5"/>
        <w:widowControl w:val="0"/>
        <w:overflowPunct w:val="0"/>
        <w:autoSpaceDE w:val="0"/>
        <w:autoSpaceDN w:val="0"/>
        <w:adjustRightInd w:val="0"/>
        <w:snapToGrid w:val="0"/>
        <w:spacing w:before="0" w:beforeAutospacing="0" w:after="0" w:afterAutospacing="0" w:line="560" w:lineRule="exact"/>
        <w:ind w:firstLine="641"/>
        <w:jc w:val="both"/>
        <w:rPr>
          <w:rFonts w:ascii="Times New Roman" w:hAnsi="Times New Roman" w:eastAsia="仿宋_GB2312" w:cs="Times New Roman"/>
          <w:snapToGrid w:val="0"/>
          <w:color w:val="000000" w:themeColor="text1"/>
          <w:sz w:val="32"/>
          <w:szCs w:val="32"/>
        </w:rPr>
      </w:pPr>
      <w:r>
        <w:rPr>
          <w:rFonts w:ascii="Times New Roman" w:hAnsi="Times New Roman" w:eastAsia="仿宋_GB2312" w:cs="Times New Roman"/>
          <w:snapToGrid w:val="0"/>
          <w:color w:val="000000" w:themeColor="text1"/>
          <w:sz w:val="32"/>
          <w:szCs w:val="32"/>
        </w:rPr>
        <w:t>根据国办公开办函</w:t>
      </w:r>
      <w:r>
        <w:rPr>
          <w:rFonts w:ascii="Times New Roman" w:hAnsi="仿宋_GB2312" w:eastAsia="仿宋_GB2312" w:cs="Times New Roman"/>
          <w:snapToGrid w:val="0"/>
          <w:color w:val="000000" w:themeColor="text1"/>
          <w:sz w:val="32"/>
          <w:szCs w:val="32"/>
        </w:rPr>
        <w:t>〔</w:t>
      </w:r>
      <w:r>
        <w:rPr>
          <w:rFonts w:ascii="Times New Roman" w:hAnsi="Times New Roman" w:eastAsia="仿宋_GB2312" w:cs="Times New Roman"/>
          <w:snapToGrid w:val="0"/>
          <w:color w:val="000000" w:themeColor="text1"/>
          <w:sz w:val="32"/>
          <w:szCs w:val="32"/>
        </w:rPr>
        <w:t>2019</w:t>
      </w:r>
      <w:r>
        <w:rPr>
          <w:rFonts w:ascii="Times New Roman" w:hAnsi="仿宋_GB2312" w:eastAsia="仿宋_GB2312" w:cs="Times New Roman"/>
          <w:snapToGrid w:val="0"/>
          <w:color w:val="000000" w:themeColor="text1"/>
          <w:sz w:val="32"/>
          <w:szCs w:val="32"/>
        </w:rPr>
        <w:t>〕</w:t>
      </w:r>
      <w:r>
        <w:rPr>
          <w:rFonts w:ascii="Times New Roman" w:hAnsi="Times New Roman" w:eastAsia="仿宋_GB2312" w:cs="Times New Roman"/>
          <w:snapToGrid w:val="0"/>
          <w:color w:val="000000" w:themeColor="text1"/>
          <w:sz w:val="32"/>
          <w:szCs w:val="32"/>
        </w:rPr>
        <w:t>61</w:t>
      </w:r>
      <w:r>
        <w:rPr>
          <w:rFonts w:ascii="Times New Roman" w:hAnsi="仿宋_GB2312" w:eastAsia="仿宋_GB2312" w:cs="Times New Roman"/>
          <w:snapToGrid w:val="0"/>
          <w:color w:val="000000" w:themeColor="text1"/>
          <w:sz w:val="32"/>
          <w:szCs w:val="32"/>
        </w:rPr>
        <w:t>号文要求，</w:t>
      </w:r>
      <w:r>
        <w:rPr>
          <w:rFonts w:ascii="Times New Roman" w:hAnsi="Times New Roman" w:eastAsia="仿宋_GB2312" w:cs="Times New Roman"/>
          <w:snapToGrid w:val="0"/>
          <w:color w:val="000000" w:themeColor="text1"/>
          <w:sz w:val="32"/>
          <w:szCs w:val="32"/>
        </w:rPr>
        <w:t>全面推进全市统一的政府信息公开平台改版建设工作，</w:t>
      </w:r>
      <w:r>
        <w:rPr>
          <w:rFonts w:ascii="Times New Roman" w:hAnsi="仿宋_GB2312" w:eastAsia="仿宋_GB2312" w:cs="Times New Roman"/>
          <w:snapToGrid w:val="0"/>
          <w:color w:val="000000" w:themeColor="text1"/>
          <w:sz w:val="32"/>
          <w:szCs w:val="32"/>
        </w:rPr>
        <w:t>进一步规范</w:t>
      </w:r>
      <w:r>
        <w:rPr>
          <w:rFonts w:ascii="Times New Roman" w:hAnsi="Times New Roman" w:eastAsia="仿宋_GB2312" w:cs="Times New Roman"/>
          <w:snapToGrid w:val="0"/>
          <w:color w:val="000000" w:themeColor="text1"/>
          <w:sz w:val="32"/>
          <w:szCs w:val="32"/>
        </w:rPr>
        <w:t>“</w:t>
      </w:r>
      <w:r>
        <w:rPr>
          <w:rFonts w:ascii="Times New Roman" w:hAnsi="仿宋_GB2312" w:eastAsia="仿宋_GB2312" w:cs="Times New Roman"/>
          <w:snapToGrid w:val="0"/>
          <w:color w:val="000000" w:themeColor="text1"/>
          <w:sz w:val="32"/>
          <w:szCs w:val="32"/>
        </w:rPr>
        <w:t>政府信息公开</w:t>
      </w:r>
      <w:r>
        <w:rPr>
          <w:rFonts w:ascii="Times New Roman" w:hAnsi="Times New Roman" w:eastAsia="仿宋_GB2312" w:cs="Times New Roman"/>
          <w:snapToGrid w:val="0"/>
          <w:color w:val="000000" w:themeColor="text1"/>
          <w:sz w:val="32"/>
          <w:szCs w:val="32"/>
        </w:rPr>
        <w:t>”</w:t>
      </w:r>
      <w:r>
        <w:rPr>
          <w:rFonts w:ascii="Times New Roman" w:hAnsi="仿宋_GB2312" w:eastAsia="仿宋_GB2312" w:cs="Times New Roman"/>
          <w:snapToGrid w:val="0"/>
          <w:color w:val="000000" w:themeColor="text1"/>
          <w:sz w:val="32"/>
          <w:szCs w:val="32"/>
        </w:rPr>
        <w:t>专栏设置。</w:t>
      </w:r>
      <w:r>
        <w:rPr>
          <w:rFonts w:ascii="Times New Roman" w:hAnsi="Times New Roman" w:eastAsia="仿宋_GB2312" w:cs="Times New Roman"/>
          <w:snapToGrid w:val="0"/>
          <w:color w:val="000000" w:themeColor="text1"/>
          <w:sz w:val="32"/>
          <w:szCs w:val="32"/>
        </w:rPr>
        <w:t>目前政府信息公开平台已在各地各部门门户网站上线并集中发布政府信息公开目录、政府信息公开指南、法定主动公开内容等，明确公众获取主动公开和依申请公开信息的主要渠道和具体方式。</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有效推动政务新媒体规范发展。抓好常态化监管，全年委托第三方公司每季度开展抽查检查，基本实现全市政务新媒体“应查尽查”，关停一批运维能力差、用户关注少和利用率低的政务新媒体，清理整合成效明显，截至12月底，全市现有政务新媒体账号194个。全面加强政务新媒体功能建设，信息发布、新闻报道以及为企业和市民服务的功能分别融合到“常州发布”“常州政企通”“常州12345”三个主账号，不断拓展政务新媒体服务应用，打造“指尖上的政府”，方便企业群众办事创业。持续放大品牌效应，打造政务新媒体精品，“常州发布”微信公众号权威发布我市经济社会发展相关情况，“健康常州”微信公众号及时发布疫情期间防控指南、医疗公益援助等，“我的常州APP”打造了“为民服务”一体化集约化平台，“常州人社APP”助力实现智慧“五云”就业服务新体系，“常州12345”微信公众号及时回应公众诉求。这些群众关注度高、服务功能强的政务新媒体初步形成了矩阵体系，彰显了信息发布权威快速、舆论引导及时高效、政务服务精准精细等强大优势，为筑牢疫情防控防线、引导社会发展预期、推动复工复产贡献了力量。</w:t>
      </w:r>
    </w:p>
    <w:p>
      <w:pPr>
        <w:overflowPunct w:val="0"/>
        <w:autoSpaceDE w:val="0"/>
        <w:autoSpaceDN w:val="0"/>
        <w:adjustRightInd w:val="0"/>
        <w:snapToGrid w:val="0"/>
        <w:spacing w:line="560" w:lineRule="exact"/>
        <w:ind w:left="641"/>
        <w:rPr>
          <w:rFonts w:eastAsia="楷体_GB2312"/>
          <w:b/>
          <w:snapToGrid w:val="0"/>
          <w:color w:val="000000" w:themeColor="text1"/>
          <w:kern w:val="0"/>
          <w:sz w:val="32"/>
          <w:szCs w:val="32"/>
        </w:rPr>
      </w:pPr>
      <w:r>
        <w:rPr>
          <w:rFonts w:eastAsia="楷体_GB2312"/>
          <w:b/>
          <w:snapToGrid w:val="0"/>
          <w:color w:val="000000" w:themeColor="text1"/>
          <w:kern w:val="0"/>
          <w:sz w:val="32"/>
          <w:szCs w:val="32"/>
        </w:rPr>
        <w:t>（五）监督保障方面</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仿宋_GB2312"/>
          <w:snapToGrid w:val="0"/>
          <w:color w:val="000000" w:themeColor="text1"/>
          <w:kern w:val="0"/>
          <w:sz w:val="32"/>
          <w:szCs w:val="32"/>
        </w:rPr>
        <w:t>完善考核体系和细化考核办法。</w:t>
      </w:r>
      <w:r>
        <w:rPr>
          <w:rFonts w:hAnsi="仿宋_GB2312" w:eastAsia="仿宋_GB2312"/>
          <w:snapToGrid w:val="0"/>
          <w:color w:val="000000" w:themeColor="text1"/>
          <w:kern w:val="0"/>
          <w:sz w:val="32"/>
          <w:szCs w:val="32"/>
        </w:rPr>
        <w:t>出台《常州市政务公开工作考核办法》《常州市政务公开工作社会评议制度》《常州市政府信息公开责任追究制度》，通过调整考核项目、考核方式，引导各单位对照考核清单解决政务公开的薄弱环节和瓶颈问题，</w:t>
      </w:r>
      <w:r>
        <w:rPr>
          <w:rFonts w:eastAsia="仿宋_GB2312"/>
          <w:snapToGrid w:val="0"/>
          <w:color w:val="000000" w:themeColor="text1"/>
          <w:kern w:val="0"/>
          <w:sz w:val="32"/>
          <w:szCs w:val="32"/>
        </w:rPr>
        <w:t>发挥了以考核促工作的良性作用。</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hAnsi="仿宋_GB2312" w:eastAsia="仿宋_GB2312"/>
          <w:snapToGrid w:val="0"/>
          <w:color w:val="000000" w:themeColor="text1"/>
          <w:kern w:val="0"/>
          <w:sz w:val="32"/>
          <w:szCs w:val="32"/>
        </w:rPr>
        <w:t>加强日常指导和监督检查。政府信息公开工作意见箱全年收到网民留言</w:t>
      </w:r>
      <w:r>
        <w:rPr>
          <w:rFonts w:eastAsia="仿宋_GB2312"/>
          <w:snapToGrid w:val="0"/>
          <w:color w:val="000000" w:themeColor="text1"/>
          <w:kern w:val="0"/>
          <w:sz w:val="32"/>
          <w:szCs w:val="32"/>
        </w:rPr>
        <w:t>11</w:t>
      </w:r>
      <w:r>
        <w:rPr>
          <w:rFonts w:hAnsi="仿宋_GB2312" w:eastAsia="仿宋_GB2312"/>
          <w:snapToGrid w:val="0"/>
          <w:color w:val="000000" w:themeColor="text1"/>
          <w:kern w:val="0"/>
          <w:sz w:val="32"/>
          <w:szCs w:val="32"/>
        </w:rPr>
        <w:t>条，均已指引网民向有关部门咨询。全年共收到信息公开举报投诉来信</w:t>
      </w:r>
      <w:r>
        <w:rPr>
          <w:rFonts w:eastAsia="仿宋_GB2312"/>
          <w:snapToGrid w:val="0"/>
          <w:color w:val="000000" w:themeColor="text1"/>
          <w:kern w:val="0"/>
          <w:sz w:val="32"/>
          <w:szCs w:val="32"/>
        </w:rPr>
        <w:t>2</w:t>
      </w:r>
      <w:r>
        <w:rPr>
          <w:rFonts w:hAnsi="仿宋_GB2312" w:eastAsia="仿宋_GB2312"/>
          <w:snapToGrid w:val="0"/>
          <w:color w:val="000000" w:themeColor="text1"/>
          <w:kern w:val="0"/>
          <w:sz w:val="32"/>
          <w:szCs w:val="32"/>
        </w:rPr>
        <w:t>件，未发现责任部门存在违反《条例》的行为，并向来信人进行了书面告知。针对全市高质量考核中政务公开工作发现的问题，出具书面工作建议督促相关责任部门按照细化的问题清单，逐一对照整改，充分发挥考核评估</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照镜子</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的作用，提升全市政务公开工作质效。</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hAnsi="仿宋_GB2312" w:eastAsia="仿宋_GB2312"/>
          <w:snapToGrid w:val="0"/>
          <w:color w:val="000000" w:themeColor="text1"/>
          <w:kern w:val="0"/>
          <w:sz w:val="32"/>
          <w:szCs w:val="32"/>
        </w:rPr>
        <w:t>做好政务公开业务培训工作。结合全市基层政务公开标准化规范化工作，组织开展全市政务公开业务培训，不断提高全市政府信息公开工作人员的工作能力和水平。</w:t>
      </w:r>
    </w:p>
    <w:p>
      <w:pPr>
        <w:overflowPunct w:val="0"/>
        <w:autoSpaceDE w:val="0"/>
        <w:autoSpaceDN w:val="0"/>
        <w:adjustRightInd w:val="0"/>
        <w:snapToGrid w:val="0"/>
        <w:spacing w:after="120" w:line="560" w:lineRule="exact"/>
        <w:ind w:firstLine="641"/>
        <w:rPr>
          <w:rFonts w:ascii="黑体" w:hAnsi="黑体" w:eastAsia="黑体"/>
          <w:bCs/>
          <w:snapToGrid w:val="0"/>
          <w:color w:val="000000" w:themeColor="text1"/>
          <w:kern w:val="0"/>
          <w:sz w:val="32"/>
          <w:szCs w:val="32"/>
        </w:rPr>
      </w:pPr>
      <w:r>
        <w:rPr>
          <w:rFonts w:ascii="黑体" w:hAnsi="黑体" w:eastAsia="黑体"/>
          <w:bCs/>
          <w:snapToGrid w:val="0"/>
          <w:color w:val="000000" w:themeColor="text1"/>
          <w:kern w:val="0"/>
          <w:sz w:val="32"/>
          <w:szCs w:val="32"/>
        </w:rPr>
        <w:t>二、主动公开政府信息情况</w:t>
      </w:r>
    </w:p>
    <w:tbl>
      <w:tblPr>
        <w:tblStyle w:val="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3465"/>
        <w:gridCol w:w="2093"/>
        <w:gridCol w:w="1415"/>
        <w:gridCol w:w="208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5000" w:type="pct"/>
            <w:gridSpan w:val="4"/>
            <w:shd w:val="clear" w:color="auto" w:fill="C6D9F1"/>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第二十条第（一）项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信息内容</w:t>
            </w:r>
          </w:p>
        </w:tc>
        <w:tc>
          <w:tcPr>
            <w:tcW w:w="1152" w:type="pct"/>
            <w:noWrap/>
            <w:tcMar>
              <w:top w:w="0" w:type="dxa"/>
              <w:left w:w="108" w:type="dxa"/>
              <w:bottom w:w="0" w:type="dxa"/>
              <w:right w:w="108" w:type="dxa"/>
            </w:tcMar>
            <w:vAlign w:val="center"/>
          </w:tcPr>
          <w:p>
            <w:pPr>
              <w:widowControl/>
              <w:spacing w:line="320" w:lineRule="exact"/>
              <w:jc w:val="center"/>
              <w:rPr>
                <w:rFonts w:hAnsi="宋体"/>
                <w:snapToGrid w:val="0"/>
                <w:color w:val="000000" w:themeColor="text1"/>
                <w:kern w:val="0"/>
                <w:szCs w:val="21"/>
              </w:rPr>
            </w:pPr>
            <w:r>
              <w:rPr>
                <w:rFonts w:hAnsi="宋体"/>
                <w:snapToGrid w:val="0"/>
                <w:color w:val="000000" w:themeColor="text1"/>
                <w:kern w:val="0"/>
                <w:szCs w:val="21"/>
              </w:rPr>
              <w:t>本年新</w:t>
            </w:r>
          </w:p>
          <w:p>
            <w:pPr>
              <w:widowControl/>
              <w:spacing w:line="320" w:lineRule="exact"/>
              <w:jc w:val="center"/>
              <w:rPr>
                <w:snapToGrid w:val="0"/>
                <w:color w:val="000000" w:themeColor="text1"/>
                <w:kern w:val="0"/>
                <w:szCs w:val="21"/>
              </w:rPr>
            </w:pPr>
            <w:r>
              <w:rPr>
                <w:rFonts w:hAnsi="宋体"/>
                <w:snapToGrid w:val="0"/>
                <w:color w:val="000000" w:themeColor="text1"/>
                <w:kern w:val="0"/>
                <w:szCs w:val="21"/>
              </w:rPr>
              <w:t>制作数量</w:t>
            </w:r>
          </w:p>
        </w:tc>
        <w:tc>
          <w:tcPr>
            <w:tcW w:w="781" w:type="pct"/>
            <w:tcMar>
              <w:top w:w="0" w:type="dxa"/>
              <w:left w:w="108" w:type="dxa"/>
              <w:bottom w:w="0" w:type="dxa"/>
              <w:right w:w="108" w:type="dxa"/>
            </w:tcMar>
            <w:vAlign w:val="center"/>
          </w:tcPr>
          <w:p>
            <w:pPr>
              <w:widowControl/>
              <w:spacing w:line="320" w:lineRule="exact"/>
              <w:jc w:val="center"/>
              <w:rPr>
                <w:rFonts w:hAnsi="宋体"/>
                <w:snapToGrid w:val="0"/>
                <w:color w:val="000000" w:themeColor="text1"/>
                <w:kern w:val="0"/>
                <w:szCs w:val="21"/>
              </w:rPr>
            </w:pPr>
            <w:r>
              <w:rPr>
                <w:rFonts w:hAnsi="宋体"/>
                <w:snapToGrid w:val="0"/>
                <w:color w:val="000000" w:themeColor="text1"/>
                <w:kern w:val="0"/>
                <w:szCs w:val="21"/>
              </w:rPr>
              <w:t>本年新</w:t>
            </w:r>
          </w:p>
          <w:p>
            <w:pPr>
              <w:widowControl/>
              <w:spacing w:line="320" w:lineRule="exact"/>
              <w:jc w:val="center"/>
              <w:rPr>
                <w:snapToGrid w:val="0"/>
                <w:color w:val="000000" w:themeColor="text1"/>
                <w:kern w:val="0"/>
                <w:szCs w:val="21"/>
              </w:rPr>
            </w:pPr>
            <w:r>
              <w:rPr>
                <w:rFonts w:hAnsi="宋体"/>
                <w:snapToGrid w:val="0"/>
                <w:color w:val="000000" w:themeColor="text1"/>
                <w:kern w:val="0"/>
                <w:szCs w:val="21"/>
              </w:rPr>
              <w:t>公开数量</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对外公开总数量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规章</w:t>
            </w:r>
          </w:p>
        </w:tc>
        <w:tc>
          <w:tcPr>
            <w:tcW w:w="1152"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6</w:t>
            </w:r>
          </w:p>
        </w:tc>
        <w:tc>
          <w:tcPr>
            <w:tcW w:w="781" w:type="pct"/>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6</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规范性文件</w:t>
            </w:r>
          </w:p>
        </w:tc>
        <w:tc>
          <w:tcPr>
            <w:tcW w:w="1152"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35</w:t>
            </w:r>
          </w:p>
        </w:tc>
        <w:tc>
          <w:tcPr>
            <w:tcW w:w="781" w:type="pct"/>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35</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968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5000" w:type="pct"/>
            <w:gridSpan w:val="4"/>
            <w:shd w:val="clear" w:color="auto" w:fill="C6D9F1"/>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第二十条第（五）项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信息内容</w:t>
            </w:r>
          </w:p>
        </w:tc>
        <w:tc>
          <w:tcPr>
            <w:tcW w:w="1152"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上一年项目数量</w:t>
            </w:r>
          </w:p>
        </w:tc>
        <w:tc>
          <w:tcPr>
            <w:tcW w:w="781" w:type="pct"/>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本年增</w:t>
            </w:r>
            <w:r>
              <w:rPr>
                <w:snapToGrid w:val="0"/>
                <w:color w:val="000000" w:themeColor="text1"/>
                <w:kern w:val="0"/>
                <w:szCs w:val="21"/>
              </w:rPr>
              <w:t>/</w:t>
            </w:r>
            <w:r>
              <w:rPr>
                <w:rFonts w:hAnsi="宋体"/>
                <w:snapToGrid w:val="0"/>
                <w:color w:val="000000" w:themeColor="text1"/>
                <w:kern w:val="0"/>
                <w:szCs w:val="21"/>
              </w:rPr>
              <w:t>减</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处理决定数量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行政许可</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417</w:t>
            </w:r>
          </w:p>
        </w:tc>
        <w:tc>
          <w:tcPr>
            <w:tcW w:w="777"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+38</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884661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其他对外管理服务事项</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544</w:t>
            </w:r>
          </w:p>
        </w:tc>
        <w:tc>
          <w:tcPr>
            <w:tcW w:w="777"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-28</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2231518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5000" w:type="pct"/>
            <w:gridSpan w:val="4"/>
            <w:shd w:val="clear" w:color="auto" w:fill="C6D9F1"/>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第二十条第（六）项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信息内容</w:t>
            </w:r>
          </w:p>
        </w:tc>
        <w:tc>
          <w:tcPr>
            <w:tcW w:w="1152"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上一年项目数量</w:t>
            </w:r>
          </w:p>
        </w:tc>
        <w:tc>
          <w:tcPr>
            <w:tcW w:w="781" w:type="pct"/>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本年增</w:t>
            </w:r>
            <w:r>
              <w:rPr>
                <w:snapToGrid w:val="0"/>
                <w:color w:val="000000" w:themeColor="text1"/>
                <w:kern w:val="0"/>
                <w:szCs w:val="21"/>
              </w:rPr>
              <w:t>/</w:t>
            </w:r>
            <w:r>
              <w:rPr>
                <w:rFonts w:hAnsi="宋体"/>
                <w:snapToGrid w:val="0"/>
                <w:color w:val="000000" w:themeColor="text1"/>
                <w:kern w:val="0"/>
                <w:szCs w:val="21"/>
              </w:rPr>
              <w:t>减</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处理决定数量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行政处罚</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5553</w:t>
            </w:r>
          </w:p>
        </w:tc>
        <w:tc>
          <w:tcPr>
            <w:tcW w:w="777"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+163</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5393420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行政强制</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269</w:t>
            </w:r>
          </w:p>
        </w:tc>
        <w:tc>
          <w:tcPr>
            <w:tcW w:w="777"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-14</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21518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5000" w:type="pct"/>
            <w:gridSpan w:val="4"/>
            <w:shd w:val="clear" w:color="auto" w:fill="C6D9F1"/>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第二十条第（八）项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信息内容</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上一年项目数量</w:t>
            </w:r>
          </w:p>
        </w:tc>
        <w:tc>
          <w:tcPr>
            <w:tcW w:w="1932" w:type="pct"/>
            <w:gridSpan w:val="2"/>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本年增</w:t>
            </w:r>
            <w:r>
              <w:rPr>
                <w:snapToGrid w:val="0"/>
                <w:color w:val="000000" w:themeColor="text1"/>
                <w:kern w:val="0"/>
                <w:szCs w:val="21"/>
              </w:rPr>
              <w:t>/</w:t>
            </w:r>
            <w:r>
              <w:rPr>
                <w:rFonts w:hAnsi="宋体"/>
                <w:snapToGrid w:val="0"/>
                <w:color w:val="000000" w:themeColor="text1"/>
                <w:kern w:val="0"/>
                <w:szCs w:val="21"/>
              </w:rPr>
              <w:t>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行政事业性收费</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98</w:t>
            </w:r>
          </w:p>
        </w:tc>
        <w:tc>
          <w:tcPr>
            <w:tcW w:w="1932" w:type="pct"/>
            <w:gridSpan w:val="2"/>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5000" w:type="pct"/>
            <w:gridSpan w:val="4"/>
            <w:shd w:val="clear" w:color="auto" w:fill="C6D9F1"/>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第二十条第（九）项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信息内容</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采购项目数量</w:t>
            </w:r>
          </w:p>
        </w:tc>
        <w:tc>
          <w:tcPr>
            <w:tcW w:w="1932" w:type="pct"/>
            <w:gridSpan w:val="2"/>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rFonts w:hAnsi="宋体"/>
                <w:snapToGrid w:val="0"/>
                <w:color w:val="000000" w:themeColor="text1"/>
                <w:kern w:val="0"/>
                <w:szCs w:val="21"/>
              </w:rPr>
              <w:t>采购总金额（万元）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2" w:hRule="atLeast"/>
          <w:jc w:val="center"/>
        </w:trPr>
        <w:tc>
          <w:tcPr>
            <w:tcW w:w="1912" w:type="pct"/>
            <w:noWrap/>
            <w:tcMar>
              <w:top w:w="0" w:type="dxa"/>
              <w:left w:w="108" w:type="dxa"/>
              <w:bottom w:w="0" w:type="dxa"/>
              <w:right w:w="108" w:type="dxa"/>
            </w:tcMar>
            <w:vAlign w:val="center"/>
          </w:tcPr>
          <w:p>
            <w:pPr>
              <w:widowControl/>
              <w:spacing w:line="320" w:lineRule="exact"/>
              <w:rPr>
                <w:snapToGrid w:val="0"/>
                <w:color w:val="000000" w:themeColor="text1"/>
                <w:kern w:val="0"/>
                <w:szCs w:val="21"/>
              </w:rPr>
            </w:pPr>
            <w:r>
              <w:rPr>
                <w:rFonts w:hAnsi="宋体"/>
                <w:snapToGrid w:val="0"/>
                <w:color w:val="000000" w:themeColor="text1"/>
                <w:kern w:val="0"/>
                <w:szCs w:val="21"/>
              </w:rPr>
              <w:t>政府集中采购</w:t>
            </w:r>
          </w:p>
        </w:tc>
        <w:tc>
          <w:tcPr>
            <w:tcW w:w="1155" w:type="pct"/>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6887</w:t>
            </w:r>
          </w:p>
        </w:tc>
        <w:tc>
          <w:tcPr>
            <w:tcW w:w="1932" w:type="pct"/>
            <w:gridSpan w:val="2"/>
            <w:noWrap/>
            <w:tcMar>
              <w:top w:w="0" w:type="dxa"/>
              <w:left w:w="108" w:type="dxa"/>
              <w:bottom w:w="0" w:type="dxa"/>
              <w:right w:w="108" w:type="dxa"/>
            </w:tcMar>
            <w:vAlign w:val="center"/>
          </w:tcPr>
          <w:p>
            <w:pPr>
              <w:widowControl/>
              <w:spacing w:line="320" w:lineRule="exact"/>
              <w:jc w:val="center"/>
              <w:rPr>
                <w:snapToGrid w:val="0"/>
                <w:color w:val="000000" w:themeColor="text1"/>
                <w:kern w:val="0"/>
                <w:szCs w:val="21"/>
              </w:rPr>
            </w:pPr>
            <w:r>
              <w:rPr>
                <w:snapToGrid w:val="0"/>
                <w:color w:val="000000" w:themeColor="text1"/>
                <w:kern w:val="0"/>
                <w:szCs w:val="21"/>
              </w:rPr>
              <w:t>253954.793</w:t>
            </w:r>
          </w:p>
        </w:tc>
      </w:tr>
    </w:tbl>
    <w:p>
      <w:pPr>
        <w:widowControl/>
        <w:shd w:val="clear" w:color="auto" w:fill="FFFFFF"/>
        <w:spacing w:line="360" w:lineRule="auto"/>
        <w:rPr>
          <w:rFonts w:ascii="宋体" w:hAnsi="宋体" w:cs="宋体"/>
          <w:snapToGrid w:val="0"/>
          <w:color w:val="000000" w:themeColor="text1"/>
          <w:kern w:val="0"/>
          <w:sz w:val="24"/>
        </w:rPr>
      </w:pPr>
    </w:p>
    <w:p>
      <w:pPr>
        <w:overflowPunct w:val="0"/>
        <w:autoSpaceDE w:val="0"/>
        <w:autoSpaceDN w:val="0"/>
        <w:adjustRightInd w:val="0"/>
        <w:snapToGrid w:val="0"/>
        <w:spacing w:after="120" w:line="560" w:lineRule="exact"/>
        <w:ind w:firstLine="641"/>
        <w:rPr>
          <w:rFonts w:ascii="宋体" w:hAnsi="宋体" w:cs="宋体"/>
          <w:snapToGrid w:val="0"/>
          <w:color w:val="000000" w:themeColor="text1"/>
          <w:kern w:val="0"/>
          <w:sz w:val="24"/>
        </w:rPr>
      </w:pPr>
      <w:r>
        <w:rPr>
          <w:rFonts w:hint="eastAsia" w:ascii="黑体" w:hAnsi="黑体" w:eastAsia="黑体"/>
          <w:bCs/>
          <w:snapToGrid w:val="0"/>
          <w:color w:val="000000" w:themeColor="text1"/>
          <w:kern w:val="0"/>
          <w:sz w:val="32"/>
          <w:szCs w:val="32"/>
        </w:rPr>
        <w:t>三、收到和处理政府信息公开申请情况</w:t>
      </w:r>
    </w:p>
    <w:tbl>
      <w:tblPr>
        <w:tblStyle w:val="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596"/>
        <w:gridCol w:w="846"/>
        <w:gridCol w:w="2020"/>
        <w:gridCol w:w="786"/>
        <w:gridCol w:w="730"/>
        <w:gridCol w:w="730"/>
        <w:gridCol w:w="991"/>
        <w:gridCol w:w="1004"/>
        <w:gridCol w:w="638"/>
        <w:gridCol w:w="72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1903" w:type="pct"/>
            <w:gridSpan w:val="3"/>
            <w:vMerge w:val="restart"/>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center"/>
              <w:rPr>
                <w:rFonts w:ascii="黑体" w:hAnsi="黑体" w:eastAsia="黑体"/>
                <w:snapToGrid w:val="0"/>
                <w:color w:val="000000" w:themeColor="text1"/>
                <w:spacing w:val="-6"/>
                <w:kern w:val="0"/>
                <w:szCs w:val="21"/>
              </w:rPr>
            </w:pPr>
            <w:r>
              <w:rPr>
                <w:rFonts w:ascii="黑体" w:hAnsi="黑体" w:eastAsia="黑体"/>
                <w:snapToGrid w:val="0"/>
                <w:color w:val="000000" w:themeColor="text1"/>
                <w:spacing w:val="-6"/>
                <w:kern w:val="0"/>
                <w:szCs w:val="21"/>
              </w:rPr>
              <w:t>（本列数据的勾稽关系为：第一项加第二项之和，等于第三项加第四项之和）</w:t>
            </w:r>
          </w:p>
        </w:tc>
        <w:tc>
          <w:tcPr>
            <w:tcW w:w="3097" w:type="pct"/>
            <w:gridSpan w:val="7"/>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申请人情况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1903" w:type="pct"/>
            <w:gridSpan w:val="3"/>
            <w:vMerge w:val="continue"/>
            <w:vAlign w:val="center"/>
          </w:tcPr>
          <w:p>
            <w:pPr>
              <w:overflowPunct w:val="0"/>
              <w:autoSpaceDE w:val="0"/>
              <w:autoSpaceDN w:val="0"/>
              <w:adjustRightInd w:val="0"/>
              <w:snapToGrid w:val="0"/>
              <w:spacing w:line="240" w:lineRule="exact"/>
              <w:jc w:val="left"/>
              <w:rPr>
                <w:rFonts w:ascii="黑体" w:hAnsi="黑体" w:eastAsia="黑体"/>
                <w:snapToGrid w:val="0"/>
                <w:color w:val="000000" w:themeColor="text1"/>
                <w:kern w:val="0"/>
                <w:szCs w:val="21"/>
              </w:rPr>
            </w:pPr>
          </w:p>
        </w:tc>
        <w:tc>
          <w:tcPr>
            <w:tcW w:w="435" w:type="pct"/>
            <w:vMerge w:val="restart"/>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自然人</w:t>
            </w:r>
          </w:p>
        </w:tc>
        <w:tc>
          <w:tcPr>
            <w:tcW w:w="2263" w:type="pct"/>
            <w:gridSpan w:val="5"/>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法人或其他组织</w:t>
            </w:r>
          </w:p>
        </w:tc>
        <w:tc>
          <w:tcPr>
            <w:tcW w:w="399" w:type="pct"/>
            <w:vMerge w:val="restar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总计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1903" w:type="pct"/>
            <w:gridSpan w:val="3"/>
            <w:vMerge w:val="continue"/>
            <w:vAlign w:val="center"/>
          </w:tcPr>
          <w:p>
            <w:pPr>
              <w:overflowPunct w:val="0"/>
              <w:autoSpaceDE w:val="0"/>
              <w:autoSpaceDN w:val="0"/>
              <w:adjustRightInd w:val="0"/>
              <w:snapToGrid w:val="0"/>
              <w:spacing w:line="240" w:lineRule="exact"/>
              <w:jc w:val="left"/>
              <w:rPr>
                <w:rFonts w:ascii="黑体" w:hAnsi="黑体" w:eastAsia="黑体"/>
                <w:snapToGrid w:val="0"/>
                <w:color w:val="000000" w:themeColor="text1"/>
                <w:kern w:val="0"/>
                <w:szCs w:val="21"/>
              </w:rPr>
            </w:pPr>
          </w:p>
        </w:tc>
        <w:tc>
          <w:tcPr>
            <w:tcW w:w="435" w:type="pct"/>
            <w:vMerge w:val="continue"/>
            <w:vAlign w:val="center"/>
          </w:tcPr>
          <w:p>
            <w:pPr>
              <w:overflowPunct w:val="0"/>
              <w:autoSpaceDE w:val="0"/>
              <w:autoSpaceDN w:val="0"/>
              <w:adjustRightInd w:val="0"/>
              <w:snapToGrid w:val="0"/>
              <w:spacing w:line="240" w:lineRule="exact"/>
              <w:jc w:val="left"/>
              <w:rPr>
                <w:rFonts w:ascii="黑体" w:hAnsi="黑体" w:eastAsia="黑体"/>
                <w:snapToGrid w:val="0"/>
                <w:color w:val="000000" w:themeColor="text1"/>
                <w:kern w:val="0"/>
                <w:szCs w:val="21"/>
              </w:rPr>
            </w:pP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商业企业</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科研机构</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社会</w:t>
            </w:r>
          </w:p>
          <w:p>
            <w:pPr>
              <w:overflowPunct w:val="0"/>
              <w:autoSpaceDE w:val="0"/>
              <w:autoSpaceDN w:val="0"/>
              <w:adjustRightInd w:val="0"/>
              <w:snapToGrid w:val="0"/>
              <w:spacing w:line="240" w:lineRule="exact"/>
              <w:ind w:left="-57" w:right="-57"/>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公益组织</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法律</w:t>
            </w:r>
          </w:p>
          <w:p>
            <w:pPr>
              <w:overflowPunct w:val="0"/>
              <w:autoSpaceDE w:val="0"/>
              <w:autoSpaceDN w:val="0"/>
              <w:adjustRightInd w:val="0"/>
              <w:snapToGrid w:val="0"/>
              <w:spacing w:line="240" w:lineRule="exact"/>
              <w:ind w:left="-57" w:right="-57"/>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服务机构</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center"/>
              <w:rPr>
                <w:rFonts w:ascii="黑体" w:hAnsi="黑体" w:eastAsia="黑体"/>
                <w:snapToGrid w:val="0"/>
                <w:color w:val="000000" w:themeColor="text1"/>
                <w:kern w:val="0"/>
                <w:szCs w:val="21"/>
              </w:rPr>
            </w:pPr>
            <w:r>
              <w:rPr>
                <w:rFonts w:ascii="黑体" w:hAnsi="黑体" w:eastAsia="黑体"/>
                <w:snapToGrid w:val="0"/>
                <w:color w:val="000000" w:themeColor="text1"/>
                <w:kern w:val="0"/>
                <w:szCs w:val="21"/>
              </w:rPr>
              <w:t>其他</w:t>
            </w:r>
          </w:p>
        </w:tc>
        <w:tc>
          <w:tcPr>
            <w:tcW w:w="399" w:type="pct"/>
            <w:vMerge w:val="continue"/>
            <w:vAlign w:val="center"/>
          </w:tcPr>
          <w:p>
            <w:pPr>
              <w:overflowPunct w:val="0"/>
              <w:autoSpaceDE w:val="0"/>
              <w:autoSpaceDN w:val="0"/>
              <w:adjustRightInd w:val="0"/>
              <w:snapToGrid w:val="0"/>
              <w:spacing w:line="240" w:lineRule="exact"/>
              <w:jc w:val="left"/>
              <w:rPr>
                <w:rFonts w:ascii="黑体" w:hAnsi="黑体" w:eastAsia="黑体"/>
                <w:snapToGrid w:val="0"/>
                <w:color w:val="000000" w:themeColor="text1"/>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1903" w:type="pct"/>
            <w:gridSpan w:val="3"/>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left"/>
              <w:rPr>
                <w:snapToGrid w:val="0"/>
                <w:color w:val="000000" w:themeColor="text1"/>
                <w:kern w:val="0"/>
                <w:szCs w:val="21"/>
              </w:rPr>
            </w:pPr>
            <w:r>
              <w:rPr>
                <w:rFonts w:hAnsi="宋体"/>
                <w:snapToGrid w:val="0"/>
                <w:color w:val="000000" w:themeColor="text1"/>
                <w:kern w:val="0"/>
                <w:szCs w:val="21"/>
              </w:rPr>
              <w:t>一、本年新收政府信息公开申请数量</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2000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66</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5</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4</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37</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2114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1903" w:type="pct"/>
            <w:gridSpan w:val="3"/>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left"/>
              <w:rPr>
                <w:snapToGrid w:val="0"/>
                <w:color w:val="000000" w:themeColor="text1"/>
                <w:kern w:val="0"/>
                <w:szCs w:val="21"/>
              </w:rPr>
            </w:pPr>
            <w:r>
              <w:rPr>
                <w:rFonts w:hAnsi="宋体"/>
                <w:snapToGrid w:val="0"/>
                <w:color w:val="000000" w:themeColor="text1"/>
                <w:kern w:val="0"/>
                <w:szCs w:val="21"/>
              </w:rPr>
              <w:t>二、上年结转政府信息公开申请数量</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61</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4</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restart"/>
            <w:tcMar>
              <w:top w:w="0" w:type="dxa"/>
              <w:left w:w="108" w:type="dxa"/>
              <w:bottom w:w="0" w:type="dxa"/>
              <w:right w:w="108" w:type="dxa"/>
            </w:tcMar>
            <w:vAlign w:val="center"/>
          </w:tcPr>
          <w:p>
            <w:pPr>
              <w:overflowPunct w:val="0"/>
              <w:autoSpaceDE w:val="0"/>
              <w:autoSpaceDN w:val="0"/>
              <w:adjustRightInd w:val="0"/>
              <w:snapToGrid w:val="0"/>
              <w:spacing w:line="240" w:lineRule="exact"/>
              <w:ind w:left="-57" w:right="-57"/>
              <w:jc w:val="center"/>
              <w:rPr>
                <w:snapToGrid w:val="0"/>
                <w:color w:val="000000" w:themeColor="text1"/>
                <w:spacing w:val="-4"/>
                <w:kern w:val="0"/>
                <w:szCs w:val="21"/>
              </w:rPr>
            </w:pPr>
            <w:r>
              <w:rPr>
                <w:rFonts w:hAnsi="宋体"/>
                <w:snapToGrid w:val="0"/>
                <w:color w:val="000000" w:themeColor="text1"/>
                <w:spacing w:val="-4"/>
                <w:kern w:val="0"/>
                <w:szCs w:val="21"/>
              </w:rPr>
              <w:t>三、本年度办理结果</w:t>
            </w:r>
          </w:p>
        </w:tc>
        <w:tc>
          <w:tcPr>
            <w:tcW w:w="1573" w:type="pct"/>
            <w:gridSpan w:val="2"/>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rFonts w:hAnsi="宋体"/>
                <w:snapToGrid w:val="0"/>
                <w:color w:val="000000" w:themeColor="text1"/>
                <w:kern w:val="0"/>
                <w:szCs w:val="21"/>
              </w:rPr>
              <w:t>（一）予以公开</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750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19</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5</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775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1573" w:type="pct"/>
            <w:gridSpan w:val="2"/>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spacing w:val="-6"/>
                <w:kern w:val="0"/>
                <w:szCs w:val="21"/>
              </w:rPr>
            </w:pPr>
            <w:r>
              <w:rPr>
                <w:rFonts w:hAnsi="宋体"/>
                <w:snapToGrid w:val="0"/>
                <w:color w:val="000000" w:themeColor="text1"/>
                <w:spacing w:val="-6"/>
                <w:kern w:val="0"/>
                <w:szCs w:val="21"/>
              </w:rPr>
              <w:t>（二）部分公开（区分处理的，只计这一情形，不计其他情形）</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214</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13</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restar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hAnsi="宋体"/>
                <w:snapToGrid w:val="0"/>
                <w:color w:val="000000" w:themeColor="text1"/>
                <w:kern w:val="0"/>
                <w:szCs w:val="21"/>
              </w:rPr>
            </w:pPr>
            <w:r>
              <w:rPr>
                <w:rFonts w:hAnsi="宋体"/>
                <w:snapToGrid w:val="0"/>
                <w:color w:val="000000" w:themeColor="text1"/>
                <w:kern w:val="0"/>
                <w:szCs w:val="21"/>
              </w:rPr>
              <w:t>（三）不予</w:t>
            </w:r>
          </w:p>
          <w:p>
            <w:pPr>
              <w:overflowPunct w:val="0"/>
              <w:autoSpaceDE w:val="0"/>
              <w:autoSpaceDN w:val="0"/>
              <w:adjustRightInd w:val="0"/>
              <w:snapToGrid w:val="0"/>
              <w:spacing w:line="240" w:lineRule="exact"/>
              <w:jc w:val="center"/>
              <w:rPr>
                <w:snapToGrid w:val="0"/>
                <w:color w:val="000000" w:themeColor="text1"/>
                <w:kern w:val="0"/>
                <w:szCs w:val="21"/>
              </w:rPr>
            </w:pPr>
            <w:r>
              <w:rPr>
                <w:rFonts w:hAnsi="宋体"/>
                <w:snapToGrid w:val="0"/>
                <w:color w:val="000000" w:themeColor="text1"/>
                <w:kern w:val="0"/>
                <w:szCs w:val="21"/>
              </w:rPr>
              <w:t>公开</w:t>
            </w: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1.</w:t>
            </w:r>
            <w:r>
              <w:rPr>
                <w:rFonts w:hint="eastAsia"/>
                <w:snapToGrid w:val="0"/>
                <w:color w:val="000000" w:themeColor="text1"/>
                <w:kern w:val="0"/>
                <w:szCs w:val="21"/>
              </w:rPr>
              <w:t xml:space="preserve"> </w:t>
            </w:r>
            <w:r>
              <w:rPr>
                <w:rFonts w:hAnsi="宋体"/>
                <w:snapToGrid w:val="0"/>
                <w:color w:val="000000" w:themeColor="text1"/>
                <w:kern w:val="0"/>
                <w:szCs w:val="21"/>
              </w:rPr>
              <w:t>属于国家秘密</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5</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2.</w:t>
            </w:r>
            <w:r>
              <w:rPr>
                <w:rFonts w:hint="eastAsia"/>
                <w:snapToGrid w:val="0"/>
                <w:color w:val="000000" w:themeColor="text1"/>
                <w:kern w:val="0"/>
                <w:szCs w:val="21"/>
              </w:rPr>
              <w:t xml:space="preserve"> </w:t>
            </w:r>
            <w:r>
              <w:rPr>
                <w:rFonts w:hAnsi="宋体"/>
                <w:snapToGrid w:val="0"/>
                <w:color w:val="000000" w:themeColor="text1"/>
                <w:kern w:val="0"/>
                <w:szCs w:val="21"/>
              </w:rPr>
              <w:t>其他法律行政法规禁止公开</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3.</w:t>
            </w:r>
            <w:r>
              <w:rPr>
                <w:rFonts w:hint="eastAsia"/>
                <w:snapToGrid w:val="0"/>
                <w:color w:val="000000" w:themeColor="text1"/>
                <w:kern w:val="0"/>
                <w:szCs w:val="21"/>
              </w:rPr>
              <w:t xml:space="preserve"> </w:t>
            </w:r>
            <w:r>
              <w:rPr>
                <w:rFonts w:hAnsi="宋体"/>
                <w:snapToGrid w:val="0"/>
                <w:color w:val="000000" w:themeColor="text1"/>
                <w:kern w:val="0"/>
                <w:szCs w:val="21"/>
              </w:rPr>
              <w:t>危及</w:t>
            </w:r>
            <w:r>
              <w:rPr>
                <w:snapToGrid w:val="0"/>
                <w:color w:val="000000" w:themeColor="text1"/>
                <w:kern w:val="0"/>
                <w:szCs w:val="21"/>
              </w:rPr>
              <w:t>“</w:t>
            </w:r>
            <w:r>
              <w:rPr>
                <w:rFonts w:hAnsi="宋体"/>
                <w:snapToGrid w:val="0"/>
                <w:color w:val="000000" w:themeColor="text1"/>
                <w:kern w:val="0"/>
                <w:szCs w:val="21"/>
              </w:rPr>
              <w:t>三安全一稳定</w:t>
            </w:r>
            <w:r>
              <w:rPr>
                <w:snapToGrid w:val="0"/>
                <w:color w:val="000000" w:themeColor="text1"/>
                <w:kern w:val="0"/>
                <w:szCs w:val="21"/>
              </w:rPr>
              <w:t>”</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4.</w:t>
            </w:r>
            <w:r>
              <w:rPr>
                <w:rFonts w:hint="eastAsia"/>
                <w:snapToGrid w:val="0"/>
                <w:color w:val="000000" w:themeColor="text1"/>
                <w:kern w:val="0"/>
                <w:szCs w:val="21"/>
              </w:rPr>
              <w:t xml:space="preserve"> </w:t>
            </w:r>
            <w:r>
              <w:rPr>
                <w:rFonts w:hAnsi="宋体"/>
                <w:snapToGrid w:val="0"/>
                <w:color w:val="000000" w:themeColor="text1"/>
                <w:kern w:val="0"/>
                <w:szCs w:val="21"/>
              </w:rPr>
              <w:t>保护第三方合法权益</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5.</w:t>
            </w:r>
            <w:r>
              <w:rPr>
                <w:rFonts w:hint="eastAsia"/>
                <w:snapToGrid w:val="0"/>
                <w:color w:val="000000" w:themeColor="text1"/>
                <w:kern w:val="0"/>
                <w:szCs w:val="21"/>
              </w:rPr>
              <w:t xml:space="preserve"> </w:t>
            </w:r>
            <w:r>
              <w:rPr>
                <w:rFonts w:hAnsi="宋体"/>
                <w:snapToGrid w:val="0"/>
                <w:color w:val="000000" w:themeColor="text1"/>
                <w:kern w:val="0"/>
                <w:szCs w:val="21"/>
              </w:rPr>
              <w:t>属于三类内部事务信息</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6.</w:t>
            </w:r>
            <w:r>
              <w:rPr>
                <w:rFonts w:hint="eastAsia"/>
                <w:snapToGrid w:val="0"/>
                <w:color w:val="000000" w:themeColor="text1"/>
                <w:kern w:val="0"/>
                <w:szCs w:val="21"/>
              </w:rPr>
              <w:t xml:space="preserve"> </w:t>
            </w:r>
            <w:r>
              <w:rPr>
                <w:rFonts w:hAnsi="宋体"/>
                <w:snapToGrid w:val="0"/>
                <w:color w:val="000000" w:themeColor="text1"/>
                <w:kern w:val="0"/>
                <w:szCs w:val="21"/>
              </w:rPr>
              <w:t>属于四类过程性信息</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9</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7.</w:t>
            </w:r>
            <w:r>
              <w:rPr>
                <w:rFonts w:hint="eastAsia"/>
                <w:snapToGrid w:val="0"/>
                <w:color w:val="000000" w:themeColor="text1"/>
                <w:kern w:val="0"/>
                <w:szCs w:val="21"/>
              </w:rPr>
              <w:t xml:space="preserve"> </w:t>
            </w:r>
            <w:r>
              <w:rPr>
                <w:rFonts w:hAnsi="宋体"/>
                <w:snapToGrid w:val="0"/>
                <w:color w:val="000000" w:themeColor="text1"/>
                <w:kern w:val="0"/>
                <w:szCs w:val="21"/>
              </w:rPr>
              <w:t>属于行政执法案卷</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12</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8.</w:t>
            </w:r>
            <w:r>
              <w:rPr>
                <w:rFonts w:hint="eastAsia"/>
                <w:snapToGrid w:val="0"/>
                <w:color w:val="000000" w:themeColor="text1"/>
                <w:kern w:val="0"/>
                <w:szCs w:val="21"/>
              </w:rPr>
              <w:t xml:space="preserve"> </w:t>
            </w:r>
            <w:r>
              <w:rPr>
                <w:rFonts w:hAnsi="宋体"/>
                <w:snapToGrid w:val="0"/>
                <w:color w:val="000000" w:themeColor="text1"/>
                <w:kern w:val="0"/>
                <w:szCs w:val="21"/>
              </w:rPr>
              <w:t>属于行政查询事项</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7</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9</w:t>
            </w:r>
          </w:p>
        </w:tc>
      </w:tr>
      <w:tr>
        <w:tblPrEx>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restar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hAnsi="宋体"/>
                <w:snapToGrid w:val="0"/>
                <w:color w:val="000000" w:themeColor="text1"/>
                <w:kern w:val="0"/>
                <w:szCs w:val="21"/>
              </w:rPr>
            </w:pPr>
            <w:r>
              <w:rPr>
                <w:rFonts w:hAnsi="宋体"/>
                <w:snapToGrid w:val="0"/>
                <w:color w:val="000000" w:themeColor="text1"/>
                <w:kern w:val="0"/>
                <w:szCs w:val="21"/>
              </w:rPr>
              <w:t>（四）无法</w:t>
            </w:r>
          </w:p>
          <w:p>
            <w:pPr>
              <w:overflowPunct w:val="0"/>
              <w:autoSpaceDE w:val="0"/>
              <w:autoSpaceDN w:val="0"/>
              <w:adjustRightInd w:val="0"/>
              <w:snapToGrid w:val="0"/>
              <w:spacing w:line="240" w:lineRule="exact"/>
              <w:jc w:val="center"/>
              <w:rPr>
                <w:snapToGrid w:val="0"/>
                <w:color w:val="000000" w:themeColor="text1"/>
                <w:kern w:val="0"/>
                <w:szCs w:val="21"/>
              </w:rPr>
            </w:pPr>
            <w:r>
              <w:rPr>
                <w:rFonts w:hAnsi="宋体"/>
                <w:snapToGrid w:val="0"/>
                <w:color w:val="000000" w:themeColor="text1"/>
                <w:kern w:val="0"/>
                <w:szCs w:val="21"/>
              </w:rPr>
              <w:t>提供</w:t>
            </w: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1.</w:t>
            </w:r>
            <w:r>
              <w:rPr>
                <w:rFonts w:hint="eastAsia"/>
                <w:snapToGrid w:val="0"/>
                <w:color w:val="000000" w:themeColor="text1"/>
                <w:kern w:val="0"/>
                <w:szCs w:val="21"/>
              </w:rPr>
              <w:t xml:space="preserve"> </w:t>
            </w:r>
            <w:r>
              <w:rPr>
                <w:rFonts w:hAnsi="宋体"/>
                <w:snapToGrid w:val="0"/>
                <w:color w:val="000000" w:themeColor="text1"/>
                <w:kern w:val="0"/>
                <w:szCs w:val="21"/>
              </w:rPr>
              <w:t>本机关不掌握相关政府信息</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666</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27</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34</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729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2.</w:t>
            </w:r>
            <w:r>
              <w:rPr>
                <w:rFonts w:hint="eastAsia"/>
                <w:snapToGrid w:val="0"/>
                <w:color w:val="000000" w:themeColor="text1"/>
                <w:kern w:val="0"/>
                <w:szCs w:val="21"/>
              </w:rPr>
              <w:t xml:space="preserve"> </w:t>
            </w:r>
            <w:r>
              <w:rPr>
                <w:rFonts w:hAnsi="宋体"/>
                <w:snapToGrid w:val="0"/>
                <w:color w:val="000000" w:themeColor="text1"/>
                <w:kern w:val="0"/>
                <w:szCs w:val="21"/>
              </w:rPr>
              <w:t>没有现成信息需要另行制作</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center"/>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3.</w:t>
            </w:r>
            <w:r>
              <w:rPr>
                <w:rFonts w:hint="eastAsia"/>
                <w:snapToGrid w:val="0"/>
                <w:color w:val="000000" w:themeColor="text1"/>
                <w:kern w:val="0"/>
                <w:szCs w:val="21"/>
              </w:rPr>
              <w:t xml:space="preserve"> </w:t>
            </w:r>
            <w:r>
              <w:rPr>
                <w:rFonts w:hAnsi="宋体"/>
                <w:snapToGrid w:val="0"/>
                <w:color w:val="000000" w:themeColor="text1"/>
                <w:kern w:val="0"/>
                <w:szCs w:val="21"/>
              </w:rPr>
              <w:t>补正后申请内容仍不明确</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26</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restar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rFonts w:hAnsi="宋体"/>
                <w:snapToGrid w:val="0"/>
                <w:color w:val="000000" w:themeColor="text1"/>
                <w:kern w:val="0"/>
                <w:szCs w:val="21"/>
              </w:rPr>
            </w:pPr>
            <w:r>
              <w:rPr>
                <w:rFonts w:hAnsi="宋体"/>
                <w:snapToGrid w:val="0"/>
                <w:color w:val="000000" w:themeColor="text1"/>
                <w:kern w:val="0"/>
                <w:szCs w:val="21"/>
              </w:rPr>
              <w:t>（五）不予</w:t>
            </w:r>
          </w:p>
          <w:p>
            <w:pPr>
              <w:overflowPunct w:val="0"/>
              <w:autoSpaceDE w:val="0"/>
              <w:autoSpaceDN w:val="0"/>
              <w:adjustRightInd w:val="0"/>
              <w:snapToGrid w:val="0"/>
              <w:spacing w:line="240" w:lineRule="exact"/>
              <w:jc w:val="center"/>
              <w:rPr>
                <w:snapToGrid w:val="0"/>
                <w:color w:val="000000" w:themeColor="text1"/>
                <w:kern w:val="0"/>
                <w:szCs w:val="21"/>
              </w:rPr>
            </w:pPr>
            <w:r>
              <w:rPr>
                <w:rFonts w:hAnsi="宋体"/>
                <w:snapToGrid w:val="0"/>
                <w:color w:val="000000" w:themeColor="text1"/>
                <w:kern w:val="0"/>
                <w:szCs w:val="21"/>
              </w:rPr>
              <w:t>处理</w:t>
            </w: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1.</w:t>
            </w:r>
            <w:r>
              <w:rPr>
                <w:rFonts w:hint="eastAsia"/>
                <w:snapToGrid w:val="0"/>
                <w:color w:val="000000" w:themeColor="text1"/>
                <w:kern w:val="0"/>
                <w:szCs w:val="21"/>
              </w:rPr>
              <w:t xml:space="preserve"> </w:t>
            </w:r>
            <w:r>
              <w:rPr>
                <w:rFonts w:hAnsi="宋体"/>
                <w:snapToGrid w:val="0"/>
                <w:color w:val="000000" w:themeColor="text1"/>
                <w:kern w:val="0"/>
                <w:szCs w:val="21"/>
              </w:rPr>
              <w:t>信访举报投诉类申请</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99</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2.</w:t>
            </w:r>
            <w:r>
              <w:rPr>
                <w:rFonts w:hint="eastAsia"/>
                <w:snapToGrid w:val="0"/>
                <w:color w:val="000000" w:themeColor="text1"/>
                <w:kern w:val="0"/>
                <w:szCs w:val="21"/>
              </w:rPr>
              <w:t xml:space="preserve"> </w:t>
            </w:r>
            <w:r>
              <w:rPr>
                <w:rFonts w:hAnsi="宋体"/>
                <w:snapToGrid w:val="0"/>
                <w:color w:val="000000" w:themeColor="text1"/>
                <w:kern w:val="0"/>
                <w:szCs w:val="21"/>
              </w:rPr>
              <w:t>重复申请</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36</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3.</w:t>
            </w:r>
            <w:r>
              <w:rPr>
                <w:rFonts w:hint="eastAsia"/>
                <w:snapToGrid w:val="0"/>
                <w:color w:val="000000" w:themeColor="text1"/>
                <w:kern w:val="0"/>
                <w:szCs w:val="21"/>
              </w:rPr>
              <w:t xml:space="preserve"> </w:t>
            </w:r>
            <w:r>
              <w:rPr>
                <w:rFonts w:hAnsi="宋体"/>
                <w:snapToGrid w:val="0"/>
                <w:color w:val="000000" w:themeColor="text1"/>
                <w:kern w:val="0"/>
                <w:szCs w:val="21"/>
              </w:rPr>
              <w:t>要求提供公开出版物</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4.</w:t>
            </w:r>
            <w:r>
              <w:rPr>
                <w:rFonts w:hint="eastAsia"/>
                <w:snapToGrid w:val="0"/>
                <w:color w:val="000000" w:themeColor="text1"/>
                <w:kern w:val="0"/>
                <w:szCs w:val="21"/>
              </w:rPr>
              <w:t xml:space="preserve"> </w:t>
            </w:r>
            <w:r>
              <w:rPr>
                <w:rFonts w:hAnsi="宋体"/>
                <w:snapToGrid w:val="0"/>
                <w:color w:val="000000" w:themeColor="text1"/>
                <w:kern w:val="0"/>
                <w:szCs w:val="21"/>
              </w:rPr>
              <w:t>无正当理由大量反复申请</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7</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457"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1116" w:type="pct"/>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snapToGrid w:val="0"/>
                <w:color w:val="000000" w:themeColor="text1"/>
                <w:kern w:val="0"/>
                <w:szCs w:val="21"/>
              </w:rPr>
              <w:t>5.</w:t>
            </w:r>
            <w:r>
              <w:rPr>
                <w:rFonts w:hint="eastAsia"/>
                <w:snapToGrid w:val="0"/>
                <w:color w:val="000000" w:themeColor="text1"/>
                <w:kern w:val="0"/>
                <w:szCs w:val="21"/>
              </w:rPr>
              <w:t xml:space="preserve"> </w:t>
            </w:r>
            <w:r>
              <w:rPr>
                <w:rFonts w:hAnsi="宋体"/>
                <w:snapToGrid w:val="0"/>
                <w:color w:val="000000" w:themeColor="text1"/>
                <w:kern w:val="0"/>
                <w:szCs w:val="21"/>
              </w:rPr>
              <w:t>要求行政机关确认或重新出具已获取信息</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1573" w:type="pct"/>
            <w:gridSpan w:val="2"/>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rFonts w:hAnsi="宋体"/>
                <w:snapToGrid w:val="0"/>
                <w:color w:val="000000" w:themeColor="text1"/>
                <w:kern w:val="0"/>
                <w:szCs w:val="21"/>
              </w:rPr>
              <w:t>（六）其他处理</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137</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139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330" w:type="pct"/>
            <w:vMerge w:val="continue"/>
            <w:vAlign w:val="center"/>
          </w:tcPr>
          <w:p>
            <w:pPr>
              <w:overflowPunct w:val="0"/>
              <w:autoSpaceDE w:val="0"/>
              <w:autoSpaceDN w:val="0"/>
              <w:adjustRightInd w:val="0"/>
              <w:snapToGrid w:val="0"/>
              <w:spacing w:line="240" w:lineRule="exact"/>
              <w:jc w:val="left"/>
              <w:rPr>
                <w:snapToGrid w:val="0"/>
                <w:color w:val="000000" w:themeColor="text1"/>
                <w:kern w:val="0"/>
                <w:szCs w:val="21"/>
              </w:rPr>
            </w:pPr>
          </w:p>
        </w:tc>
        <w:tc>
          <w:tcPr>
            <w:tcW w:w="1573" w:type="pct"/>
            <w:gridSpan w:val="2"/>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rFonts w:hAnsi="宋体"/>
                <w:snapToGrid w:val="0"/>
                <w:color w:val="000000" w:themeColor="text1"/>
                <w:kern w:val="0"/>
                <w:szCs w:val="21"/>
              </w:rPr>
              <w:t>（七）总计</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1997</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69</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5</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4</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37</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2114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1903" w:type="pct"/>
            <w:gridSpan w:val="3"/>
            <w:tcMar>
              <w:top w:w="0" w:type="dxa"/>
              <w:left w:w="108" w:type="dxa"/>
              <w:bottom w:w="0" w:type="dxa"/>
              <w:right w:w="108" w:type="dxa"/>
            </w:tcMar>
            <w:vAlign w:val="center"/>
          </w:tcPr>
          <w:p>
            <w:pPr>
              <w:overflowPunct w:val="0"/>
              <w:autoSpaceDE w:val="0"/>
              <w:autoSpaceDN w:val="0"/>
              <w:adjustRightInd w:val="0"/>
              <w:snapToGrid w:val="0"/>
              <w:spacing w:line="240" w:lineRule="exact"/>
              <w:jc w:val="left"/>
              <w:rPr>
                <w:snapToGrid w:val="0"/>
                <w:color w:val="000000" w:themeColor="text1"/>
                <w:kern w:val="0"/>
                <w:szCs w:val="21"/>
              </w:rPr>
            </w:pPr>
            <w:r>
              <w:rPr>
                <w:rFonts w:hAnsi="宋体"/>
                <w:snapToGrid w:val="0"/>
                <w:color w:val="000000" w:themeColor="text1"/>
                <w:kern w:val="0"/>
                <w:szCs w:val="21"/>
              </w:rPr>
              <w:t>四、结转下年度继续办理</w:t>
            </w:r>
          </w:p>
        </w:tc>
        <w:tc>
          <w:tcPr>
            <w:tcW w:w="43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64</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1</w:t>
            </w:r>
          </w:p>
        </w:tc>
        <w:tc>
          <w:tcPr>
            <w:tcW w:w="404"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48"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555"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53"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0</w:t>
            </w:r>
          </w:p>
        </w:tc>
        <w:tc>
          <w:tcPr>
            <w:tcW w:w="399" w:type="pct"/>
            <w:tcMar>
              <w:top w:w="0" w:type="dxa"/>
              <w:left w:w="108" w:type="dxa"/>
              <w:bottom w:w="0" w:type="dxa"/>
              <w:right w:w="108" w:type="dxa"/>
            </w:tcMar>
            <w:vAlign w:val="center"/>
          </w:tcPr>
          <w:p>
            <w:pPr>
              <w:overflowPunct w:val="0"/>
              <w:autoSpaceDE w:val="0"/>
              <w:autoSpaceDN w:val="0"/>
              <w:adjustRightInd w:val="0"/>
              <w:snapToGrid w:val="0"/>
              <w:spacing w:line="240" w:lineRule="exact"/>
              <w:jc w:val="center"/>
              <w:rPr>
                <w:snapToGrid w:val="0"/>
                <w:color w:val="000000" w:themeColor="text1"/>
                <w:kern w:val="0"/>
                <w:szCs w:val="21"/>
              </w:rPr>
            </w:pPr>
            <w:r>
              <w:rPr>
                <w:snapToGrid w:val="0"/>
                <w:color w:val="000000" w:themeColor="text1"/>
                <w:kern w:val="0"/>
                <w:szCs w:val="21"/>
              </w:rPr>
              <w:t>65</w:t>
            </w:r>
          </w:p>
        </w:tc>
      </w:tr>
    </w:tbl>
    <w:p>
      <w:pPr>
        <w:overflowPunct w:val="0"/>
        <w:autoSpaceDE w:val="0"/>
        <w:autoSpaceDN w:val="0"/>
        <w:adjustRightInd w:val="0"/>
        <w:snapToGrid w:val="0"/>
        <w:spacing w:after="120" w:line="560" w:lineRule="exact"/>
        <w:ind w:firstLine="641"/>
        <w:rPr>
          <w:rFonts w:ascii="黑体" w:hAnsi="黑体" w:eastAsia="黑体"/>
          <w:bCs/>
          <w:snapToGrid w:val="0"/>
          <w:color w:val="000000" w:themeColor="text1"/>
          <w:kern w:val="0"/>
          <w:sz w:val="32"/>
          <w:szCs w:val="32"/>
        </w:rPr>
      </w:pPr>
      <w:r>
        <w:rPr>
          <w:rFonts w:hint="eastAsia" w:ascii="黑体" w:hAnsi="黑体" w:eastAsia="黑体"/>
          <w:bCs/>
          <w:snapToGrid w:val="0"/>
          <w:color w:val="000000" w:themeColor="text1"/>
          <w:kern w:val="0"/>
          <w:sz w:val="32"/>
          <w:szCs w:val="32"/>
        </w:rPr>
        <w:t>四、政府信息公开行政复议、行政诉讼情况</w:t>
      </w:r>
    </w:p>
    <w:tbl>
      <w:tblPr>
        <w:tblStyle w:val="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439"/>
        <w:gridCol w:w="589"/>
        <w:gridCol w:w="589"/>
        <w:gridCol w:w="442"/>
        <w:gridCol w:w="881"/>
        <w:gridCol w:w="571"/>
        <w:gridCol w:w="629"/>
        <w:gridCol w:w="629"/>
        <w:gridCol w:w="629"/>
        <w:gridCol w:w="629"/>
        <w:gridCol w:w="629"/>
        <w:gridCol w:w="629"/>
        <w:gridCol w:w="629"/>
        <w:gridCol w:w="629"/>
        <w:gridCol w:w="51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1623" w:type="pct"/>
            <w:gridSpan w:val="5"/>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行政复议</w:t>
            </w:r>
          </w:p>
        </w:tc>
        <w:tc>
          <w:tcPr>
            <w:tcW w:w="3377" w:type="pct"/>
            <w:gridSpan w:val="10"/>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行政诉讼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43" w:type="pct"/>
            <w:vMerge w:val="restar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结果维持</w:t>
            </w:r>
          </w:p>
        </w:tc>
        <w:tc>
          <w:tcPr>
            <w:tcW w:w="325" w:type="pct"/>
            <w:vMerge w:val="restar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结果纠正</w:t>
            </w:r>
          </w:p>
        </w:tc>
        <w:tc>
          <w:tcPr>
            <w:tcW w:w="325" w:type="pct"/>
            <w:vMerge w:val="restar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其他结果</w:t>
            </w:r>
          </w:p>
        </w:tc>
        <w:tc>
          <w:tcPr>
            <w:tcW w:w="244" w:type="pct"/>
            <w:vMerge w:val="restar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尚未审结</w:t>
            </w:r>
          </w:p>
        </w:tc>
        <w:tc>
          <w:tcPr>
            <w:tcW w:w="486" w:type="pct"/>
            <w:vMerge w:val="restar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总计</w:t>
            </w:r>
          </w:p>
        </w:tc>
        <w:tc>
          <w:tcPr>
            <w:tcW w:w="1702" w:type="pct"/>
            <w:gridSpan w:val="5"/>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未经复议直接起诉</w:t>
            </w:r>
          </w:p>
        </w:tc>
        <w:tc>
          <w:tcPr>
            <w:tcW w:w="1675" w:type="pct"/>
            <w:gridSpan w:val="5"/>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复议后起诉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43" w:type="pct"/>
            <w:vMerge w:val="continue"/>
            <w:vAlign w:val="center"/>
          </w:tcPr>
          <w:p>
            <w:pPr>
              <w:widowControl/>
              <w:spacing w:line="280" w:lineRule="exact"/>
              <w:jc w:val="center"/>
              <w:rPr>
                <w:snapToGrid w:val="0"/>
                <w:color w:val="000000" w:themeColor="text1"/>
                <w:kern w:val="0"/>
                <w:szCs w:val="21"/>
              </w:rPr>
            </w:pPr>
          </w:p>
        </w:tc>
        <w:tc>
          <w:tcPr>
            <w:tcW w:w="325" w:type="pct"/>
            <w:vMerge w:val="continue"/>
            <w:vAlign w:val="center"/>
          </w:tcPr>
          <w:p>
            <w:pPr>
              <w:widowControl/>
              <w:spacing w:line="280" w:lineRule="exact"/>
              <w:jc w:val="center"/>
              <w:rPr>
                <w:snapToGrid w:val="0"/>
                <w:color w:val="000000" w:themeColor="text1"/>
                <w:kern w:val="0"/>
                <w:szCs w:val="21"/>
              </w:rPr>
            </w:pPr>
          </w:p>
        </w:tc>
        <w:tc>
          <w:tcPr>
            <w:tcW w:w="325" w:type="pct"/>
            <w:vMerge w:val="continue"/>
            <w:vAlign w:val="center"/>
          </w:tcPr>
          <w:p>
            <w:pPr>
              <w:widowControl/>
              <w:spacing w:line="280" w:lineRule="exact"/>
              <w:jc w:val="center"/>
              <w:rPr>
                <w:snapToGrid w:val="0"/>
                <w:color w:val="000000" w:themeColor="text1"/>
                <w:kern w:val="0"/>
                <w:szCs w:val="21"/>
              </w:rPr>
            </w:pPr>
          </w:p>
        </w:tc>
        <w:tc>
          <w:tcPr>
            <w:tcW w:w="244" w:type="pct"/>
            <w:vMerge w:val="continue"/>
            <w:vAlign w:val="center"/>
          </w:tcPr>
          <w:p>
            <w:pPr>
              <w:widowControl/>
              <w:spacing w:line="280" w:lineRule="exact"/>
              <w:jc w:val="center"/>
              <w:rPr>
                <w:snapToGrid w:val="0"/>
                <w:color w:val="000000" w:themeColor="text1"/>
                <w:kern w:val="0"/>
                <w:szCs w:val="21"/>
              </w:rPr>
            </w:pPr>
          </w:p>
        </w:tc>
        <w:tc>
          <w:tcPr>
            <w:tcW w:w="486" w:type="pct"/>
            <w:vMerge w:val="continue"/>
            <w:vAlign w:val="center"/>
          </w:tcPr>
          <w:p>
            <w:pPr>
              <w:widowControl/>
              <w:spacing w:line="280" w:lineRule="exact"/>
              <w:jc w:val="center"/>
              <w:rPr>
                <w:snapToGrid w:val="0"/>
                <w:color w:val="000000" w:themeColor="text1"/>
                <w:kern w:val="0"/>
                <w:szCs w:val="21"/>
              </w:rPr>
            </w:pPr>
          </w:p>
        </w:tc>
        <w:tc>
          <w:tcPr>
            <w:tcW w:w="315"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结果维持</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结果纠正</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其他结果</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尚未审结</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总计</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结果维持</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结果纠正</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其他结果</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尚未审结</w:t>
            </w:r>
          </w:p>
        </w:tc>
        <w:tc>
          <w:tcPr>
            <w:tcW w:w="28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rFonts w:hAnsi="宋体"/>
                <w:snapToGrid w:val="0"/>
                <w:color w:val="000000" w:themeColor="text1"/>
                <w:kern w:val="0"/>
                <w:szCs w:val="21"/>
              </w:rPr>
              <w:t>总计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243"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65</w:t>
            </w:r>
          </w:p>
        </w:tc>
        <w:tc>
          <w:tcPr>
            <w:tcW w:w="325"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12</w:t>
            </w:r>
          </w:p>
        </w:tc>
        <w:tc>
          <w:tcPr>
            <w:tcW w:w="325"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10</w:t>
            </w:r>
          </w:p>
        </w:tc>
        <w:tc>
          <w:tcPr>
            <w:tcW w:w="244"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8</w:t>
            </w:r>
          </w:p>
        </w:tc>
        <w:tc>
          <w:tcPr>
            <w:tcW w:w="486"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95</w:t>
            </w:r>
          </w:p>
        </w:tc>
        <w:tc>
          <w:tcPr>
            <w:tcW w:w="315"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18</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0</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13</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24</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55</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39</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0</w:t>
            </w:r>
          </w:p>
        </w:tc>
        <w:tc>
          <w:tcPr>
            <w:tcW w:w="34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8</w:t>
            </w:r>
          </w:p>
        </w:tc>
        <w:tc>
          <w:tcPr>
            <w:tcW w:w="347" w:type="pct"/>
            <w:tcMar>
              <w:top w:w="0" w:type="dxa"/>
              <w:left w:w="108" w:type="dxa"/>
              <w:bottom w:w="0" w:type="dxa"/>
              <w:right w:w="108" w:type="dxa"/>
            </w:tcMar>
            <w:vAlign w:val="center"/>
          </w:tcPr>
          <w:p>
            <w:pPr>
              <w:pStyle w:val="11"/>
              <w:widowControl/>
              <w:numPr>
                <w:ilvl w:val="255"/>
                <w:numId w:val="0"/>
              </w:numPr>
              <w:spacing w:line="280" w:lineRule="exact"/>
              <w:jc w:val="center"/>
              <w:rPr>
                <w:snapToGrid w:val="0"/>
                <w:color w:val="000000" w:themeColor="text1"/>
                <w:kern w:val="0"/>
                <w:szCs w:val="21"/>
              </w:rPr>
            </w:pPr>
            <w:r>
              <w:rPr>
                <w:snapToGrid w:val="0"/>
                <w:color w:val="000000" w:themeColor="text1"/>
                <w:kern w:val="0"/>
                <w:szCs w:val="21"/>
              </w:rPr>
              <w:t>6</w:t>
            </w:r>
          </w:p>
        </w:tc>
        <w:tc>
          <w:tcPr>
            <w:tcW w:w="287" w:type="pct"/>
            <w:tcMar>
              <w:top w:w="0" w:type="dxa"/>
              <w:left w:w="108" w:type="dxa"/>
              <w:bottom w:w="0" w:type="dxa"/>
              <w:right w:w="108" w:type="dxa"/>
            </w:tcMar>
            <w:vAlign w:val="center"/>
          </w:tcPr>
          <w:p>
            <w:pPr>
              <w:widowControl/>
              <w:spacing w:line="280" w:lineRule="exact"/>
              <w:jc w:val="center"/>
              <w:rPr>
                <w:snapToGrid w:val="0"/>
                <w:color w:val="000000" w:themeColor="text1"/>
                <w:kern w:val="0"/>
                <w:szCs w:val="21"/>
              </w:rPr>
            </w:pPr>
            <w:r>
              <w:rPr>
                <w:snapToGrid w:val="0"/>
                <w:color w:val="000000" w:themeColor="text1"/>
                <w:kern w:val="0"/>
                <w:szCs w:val="21"/>
              </w:rPr>
              <w:t>53</w:t>
            </w:r>
          </w:p>
        </w:tc>
      </w:tr>
    </w:tbl>
    <w:p>
      <w:pPr>
        <w:overflowPunct w:val="0"/>
        <w:autoSpaceDE w:val="0"/>
        <w:autoSpaceDN w:val="0"/>
        <w:adjustRightInd w:val="0"/>
        <w:snapToGrid w:val="0"/>
        <w:spacing w:line="560" w:lineRule="exact"/>
        <w:ind w:firstLine="641"/>
        <w:rPr>
          <w:rFonts w:ascii="黑体" w:hAnsi="黑体" w:eastAsia="黑体"/>
          <w:bCs/>
          <w:snapToGrid w:val="0"/>
          <w:color w:val="000000" w:themeColor="text1"/>
          <w:kern w:val="0"/>
          <w:sz w:val="32"/>
          <w:szCs w:val="32"/>
        </w:rPr>
      </w:pPr>
      <w:r>
        <w:rPr>
          <w:rFonts w:hint="eastAsia" w:ascii="黑体" w:hAnsi="黑体" w:eastAsia="黑体"/>
          <w:bCs/>
          <w:snapToGrid w:val="0"/>
          <w:color w:val="000000" w:themeColor="text1"/>
          <w:kern w:val="0"/>
          <w:sz w:val="32"/>
          <w:szCs w:val="32"/>
        </w:rPr>
        <w:t>五、存在的主要问题及改进情况</w:t>
      </w:r>
    </w:p>
    <w:p>
      <w:pPr>
        <w:overflowPunct w:val="0"/>
        <w:autoSpaceDE w:val="0"/>
        <w:autoSpaceDN w:val="0"/>
        <w:adjustRightInd w:val="0"/>
        <w:snapToGrid w:val="0"/>
        <w:spacing w:line="560" w:lineRule="exact"/>
        <w:ind w:firstLine="641"/>
        <w:rPr>
          <w:rFonts w:eastAsia="仿宋_GB2312"/>
          <w:bCs/>
          <w:snapToGrid w:val="0"/>
          <w:color w:val="000000" w:themeColor="text1"/>
          <w:kern w:val="0"/>
          <w:sz w:val="32"/>
          <w:szCs w:val="32"/>
        </w:rPr>
      </w:pPr>
      <w:r>
        <w:rPr>
          <w:rFonts w:eastAsia="仿宋_GB2312"/>
          <w:bCs/>
          <w:snapToGrid w:val="0"/>
          <w:color w:val="000000" w:themeColor="text1"/>
          <w:kern w:val="0"/>
          <w:sz w:val="32"/>
          <w:szCs w:val="32"/>
        </w:rPr>
        <w:t>2020</w:t>
      </w:r>
      <w:r>
        <w:rPr>
          <w:rFonts w:hAnsi="仿宋_GB2312" w:eastAsia="仿宋_GB2312"/>
          <w:bCs/>
          <w:snapToGrid w:val="0"/>
          <w:color w:val="000000" w:themeColor="text1"/>
          <w:kern w:val="0"/>
          <w:sz w:val="32"/>
          <w:szCs w:val="32"/>
        </w:rPr>
        <w:t>年，我市政府信息公开工作取得了一定成效，但工作中还存在一定差距，主要表现在：一是政务新媒体发展还有待进一步规范；二是日常监督有待进一步加强；三是镇、街道基层政务公开标准化规范化工作推进力度有待进一步加大。</w:t>
      </w:r>
      <w:r>
        <w:rPr>
          <w:rFonts w:eastAsia="仿宋_GB2312"/>
          <w:bCs/>
          <w:snapToGrid w:val="0"/>
          <w:color w:val="000000" w:themeColor="text1"/>
          <w:kern w:val="0"/>
          <w:sz w:val="32"/>
          <w:szCs w:val="32"/>
        </w:rPr>
        <w:t>2021</w:t>
      </w:r>
      <w:r>
        <w:rPr>
          <w:rFonts w:hAnsi="仿宋_GB2312" w:eastAsia="仿宋_GB2312"/>
          <w:bCs/>
          <w:snapToGrid w:val="0"/>
          <w:color w:val="000000" w:themeColor="text1"/>
          <w:kern w:val="0"/>
          <w:sz w:val="32"/>
          <w:szCs w:val="32"/>
        </w:rPr>
        <w:t>年，将从以下几个方面改进：</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hAnsi="仿宋_GB2312" w:eastAsia="仿宋_GB2312"/>
          <w:snapToGrid w:val="0"/>
          <w:color w:val="000000" w:themeColor="text1"/>
          <w:kern w:val="0"/>
          <w:sz w:val="32"/>
          <w:szCs w:val="32"/>
        </w:rPr>
        <w:t>（一）政务新媒体管理方面，持续开展清理整合，推动政务新媒体健康可持续发展，加强常态化抽查检查，发现问题立即整改；聚力发展政务新媒体品牌，持续做优做强一批弘扬主旋律、传播正能量的政务新媒体精品，打造亲民便民惠民为民的常州政务新媒体形象。</w:t>
      </w:r>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hAnsi="仿宋_GB2312" w:eastAsia="仿宋_GB2312"/>
          <w:snapToGrid w:val="0"/>
          <w:color w:val="000000" w:themeColor="text1"/>
          <w:kern w:val="0"/>
          <w:sz w:val="32"/>
          <w:szCs w:val="32"/>
        </w:rPr>
        <w:t>（二）政务公开日常监管方面，</w:t>
      </w:r>
      <w:r>
        <w:rPr>
          <w:rFonts w:eastAsia="仿宋_GB2312"/>
          <w:snapToGrid w:val="0"/>
          <w:color w:val="000000" w:themeColor="text1"/>
          <w:kern w:val="0"/>
          <w:sz w:val="32"/>
          <w:szCs w:val="32"/>
        </w:rPr>
        <w:t>采取在线大数据分析、实地查看、随机抽查等方式，对政务公开工作开展情况进行抽查检查，督促各单位整改相关问题；建立健全“季通报、年考核”长效机制，及时发现问题，持续改进工作；探索通过第三方评估、民意调查等方式，定期对政务公开成效和群众满意度等开展评估评议，切实提升政务公开质量和水平。</w:t>
      </w:r>
    </w:p>
    <w:p>
      <w:pPr>
        <w:overflowPunct w:val="0"/>
        <w:autoSpaceDE w:val="0"/>
        <w:autoSpaceDN w:val="0"/>
        <w:adjustRightInd w:val="0"/>
        <w:snapToGrid w:val="0"/>
        <w:spacing w:line="560" w:lineRule="exact"/>
        <w:ind w:firstLine="641"/>
        <w:rPr>
          <w:rFonts w:eastAsia="仿宋_GB2312"/>
          <w:b/>
          <w:snapToGrid w:val="0"/>
          <w:color w:val="000000" w:themeColor="text1"/>
          <w:kern w:val="0"/>
          <w:sz w:val="32"/>
          <w:szCs w:val="32"/>
        </w:rPr>
      </w:pPr>
      <w:r>
        <w:rPr>
          <w:rFonts w:hAnsi="仿宋_GB2312" w:eastAsia="仿宋_GB2312"/>
          <w:snapToGrid w:val="0"/>
          <w:color w:val="000000" w:themeColor="text1"/>
          <w:kern w:val="0"/>
          <w:sz w:val="32"/>
          <w:szCs w:val="32"/>
        </w:rPr>
        <w:t>（三）基层政务公开标准化规范化工作方面，针对镇、街道基层工作力量薄弱、政务公开目录编制质量不高的情况，加强业务指导和沟通联络，确保高质量完成目录编制工作。</w:t>
      </w:r>
    </w:p>
    <w:p>
      <w:pPr>
        <w:overflowPunct w:val="0"/>
        <w:autoSpaceDE w:val="0"/>
        <w:autoSpaceDN w:val="0"/>
        <w:adjustRightInd w:val="0"/>
        <w:snapToGrid w:val="0"/>
        <w:spacing w:line="560" w:lineRule="exact"/>
        <w:ind w:firstLine="641"/>
        <w:rPr>
          <w:rFonts w:ascii="黑体" w:hAnsi="黑体" w:eastAsia="黑体"/>
          <w:bCs/>
          <w:snapToGrid w:val="0"/>
          <w:color w:val="000000" w:themeColor="text1"/>
          <w:kern w:val="0"/>
          <w:sz w:val="32"/>
          <w:szCs w:val="32"/>
        </w:rPr>
      </w:pPr>
      <w:r>
        <w:rPr>
          <w:rFonts w:ascii="黑体" w:hAnsi="黑体" w:eastAsia="黑体"/>
          <w:bCs/>
          <w:snapToGrid w:val="0"/>
          <w:color w:val="000000" w:themeColor="text1"/>
          <w:kern w:val="0"/>
          <w:sz w:val="32"/>
          <w:szCs w:val="32"/>
        </w:rPr>
        <w:t>六、其他需要报告的事项</w:t>
      </w:r>
    </w:p>
    <w:p>
      <w:pPr>
        <w:overflowPunct w:val="0"/>
        <w:autoSpaceDE w:val="0"/>
        <w:autoSpaceDN w:val="0"/>
        <w:adjustRightInd w:val="0"/>
        <w:snapToGrid w:val="0"/>
        <w:spacing w:line="560" w:lineRule="exact"/>
        <w:ind w:firstLine="641"/>
        <w:rPr>
          <w:rFonts w:eastAsia="仿宋_GB2312"/>
          <w:bCs/>
          <w:snapToGrid w:val="0"/>
          <w:color w:val="000000" w:themeColor="text1"/>
          <w:kern w:val="0"/>
          <w:sz w:val="32"/>
          <w:szCs w:val="32"/>
        </w:rPr>
      </w:pPr>
      <w:r>
        <w:rPr>
          <w:rFonts w:eastAsia="楷体_GB2312"/>
          <w:b/>
          <w:bCs/>
          <w:snapToGrid w:val="0"/>
          <w:color w:val="000000" w:themeColor="text1"/>
          <w:kern w:val="0"/>
          <w:sz w:val="32"/>
          <w:szCs w:val="32"/>
        </w:rPr>
        <w:t>（一）规范抓好建议提案办理。</w:t>
      </w:r>
      <w:r>
        <w:rPr>
          <w:rFonts w:hAnsi="仿宋_GB2312" w:eastAsia="仿宋_GB2312"/>
          <w:bCs/>
          <w:snapToGrid w:val="0"/>
          <w:color w:val="000000" w:themeColor="text1"/>
          <w:kern w:val="0"/>
          <w:sz w:val="32"/>
          <w:szCs w:val="32"/>
        </w:rPr>
        <w:t>严格依照</w:t>
      </w:r>
      <w:r>
        <w:rPr>
          <w:rFonts w:eastAsia="仿宋_GB2312"/>
          <w:snapToGrid w:val="0"/>
          <w:color w:val="000000" w:themeColor="text1"/>
          <w:kern w:val="0"/>
          <w:sz w:val="32"/>
          <w:szCs w:val="32"/>
        </w:rPr>
        <w:t>《常州市建议提案办理工作考核细则》，在办理时限、代表委员满意度、建议提案办成率等方面抓好考核工作，以高标准、严要求办理好建议提案。全年办理建议提案</w:t>
      </w:r>
      <w:r>
        <w:rPr>
          <w:rFonts w:eastAsia="仿宋_GB2312"/>
          <w:b/>
          <w:bCs/>
          <w:snapToGrid w:val="0"/>
          <w:color w:val="000000" w:themeColor="text1"/>
          <w:kern w:val="0"/>
          <w:sz w:val="32"/>
          <w:szCs w:val="32"/>
        </w:rPr>
        <w:t>551件</w:t>
      </w:r>
      <w:r>
        <w:rPr>
          <w:rFonts w:eastAsia="仿宋_GB2312"/>
          <w:snapToGrid w:val="0"/>
          <w:color w:val="000000" w:themeColor="text1"/>
          <w:kern w:val="0"/>
          <w:sz w:val="32"/>
          <w:szCs w:val="32"/>
        </w:rPr>
        <w:t>，所有建议提案按时按要求完成答复，代表委员</w:t>
      </w:r>
      <w:r>
        <w:rPr>
          <w:rFonts w:eastAsia="仿宋_GB2312"/>
          <w:b/>
          <w:bCs/>
          <w:snapToGrid w:val="0"/>
          <w:color w:val="000000" w:themeColor="text1"/>
          <w:kern w:val="0"/>
          <w:sz w:val="32"/>
          <w:szCs w:val="32"/>
        </w:rPr>
        <w:t>反馈率100%</w:t>
      </w:r>
      <w:r>
        <w:rPr>
          <w:rFonts w:eastAsia="仿宋_GB2312"/>
          <w:snapToGrid w:val="0"/>
          <w:color w:val="000000" w:themeColor="text1"/>
          <w:kern w:val="0"/>
          <w:sz w:val="32"/>
          <w:szCs w:val="32"/>
        </w:rPr>
        <w:t>、</w:t>
      </w:r>
      <w:r>
        <w:rPr>
          <w:rFonts w:eastAsia="仿宋_GB2312"/>
          <w:b/>
          <w:bCs/>
          <w:snapToGrid w:val="0"/>
          <w:color w:val="000000" w:themeColor="text1"/>
          <w:kern w:val="0"/>
          <w:sz w:val="32"/>
          <w:szCs w:val="32"/>
        </w:rPr>
        <w:t>满意率和基本满意率100%</w:t>
      </w:r>
      <w:r>
        <w:rPr>
          <w:rFonts w:eastAsia="仿宋_GB2312"/>
          <w:snapToGrid w:val="0"/>
          <w:color w:val="000000" w:themeColor="text1"/>
          <w:kern w:val="0"/>
          <w:sz w:val="32"/>
          <w:szCs w:val="32"/>
        </w:rPr>
        <w:t>，并通过“建议提案网上办理与公示平台”公开。</w:t>
      </w:r>
      <w:bookmarkStart w:id="0" w:name="_GoBack"/>
      <w:bookmarkEnd w:id="0"/>
    </w:p>
    <w:p>
      <w:pPr>
        <w:overflowPunct w:val="0"/>
        <w:autoSpaceDE w:val="0"/>
        <w:autoSpaceDN w:val="0"/>
        <w:adjustRightInd w:val="0"/>
        <w:snapToGrid w:val="0"/>
        <w:spacing w:line="560" w:lineRule="exact"/>
        <w:ind w:firstLine="641"/>
        <w:rPr>
          <w:rFonts w:eastAsia="仿宋_GB2312"/>
          <w:snapToGrid w:val="0"/>
          <w:color w:val="000000" w:themeColor="text1"/>
          <w:kern w:val="0"/>
          <w:sz w:val="32"/>
          <w:szCs w:val="32"/>
        </w:rPr>
      </w:pPr>
      <w:r>
        <w:rPr>
          <w:rFonts w:eastAsia="楷体_GB2312"/>
          <w:b/>
          <w:bCs/>
          <w:snapToGrid w:val="0"/>
          <w:color w:val="000000" w:themeColor="text1"/>
          <w:kern w:val="0"/>
          <w:sz w:val="32"/>
          <w:szCs w:val="32"/>
        </w:rPr>
        <w:t>（二）持续打造政民互动品牌。</w:t>
      </w:r>
      <w:r>
        <w:rPr>
          <w:rFonts w:hAnsi="仿宋_GB2312" w:eastAsia="仿宋_GB2312"/>
          <w:snapToGrid w:val="0"/>
          <w:color w:val="000000" w:themeColor="text1"/>
          <w:kern w:val="0"/>
          <w:sz w:val="32"/>
          <w:szCs w:val="32"/>
        </w:rPr>
        <w:t>在疫情常态化防控形势下，持续打造</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政在你身边</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政务公开品牌，全年共开展</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政府开放日</w:t>
      </w:r>
      <w:r>
        <w:rPr>
          <w:rFonts w:eastAsia="仿宋_GB2312"/>
          <w:snapToGrid w:val="0"/>
          <w:color w:val="000000" w:themeColor="text1"/>
          <w:kern w:val="0"/>
          <w:sz w:val="32"/>
          <w:szCs w:val="32"/>
        </w:rPr>
        <w:t>”</w:t>
      </w:r>
      <w:r>
        <w:rPr>
          <w:rFonts w:hAnsi="仿宋_GB2312" w:eastAsia="仿宋_GB2312"/>
          <w:snapToGrid w:val="0"/>
          <w:color w:val="000000" w:themeColor="text1"/>
          <w:kern w:val="0"/>
          <w:sz w:val="32"/>
          <w:szCs w:val="32"/>
        </w:rPr>
        <w:t>活动</w:t>
      </w:r>
      <w:r>
        <w:rPr>
          <w:rFonts w:eastAsia="仿宋_GB2312"/>
          <w:snapToGrid w:val="0"/>
          <w:color w:val="000000" w:themeColor="text1"/>
          <w:kern w:val="0"/>
          <w:sz w:val="32"/>
          <w:szCs w:val="32"/>
        </w:rPr>
        <w:t>3</w:t>
      </w:r>
      <w:r>
        <w:rPr>
          <w:rFonts w:hAnsi="仿宋_GB2312" w:eastAsia="仿宋_GB2312"/>
          <w:snapToGrid w:val="0"/>
          <w:color w:val="000000" w:themeColor="text1"/>
          <w:kern w:val="0"/>
          <w:sz w:val="32"/>
          <w:szCs w:val="32"/>
        </w:rPr>
        <w:t>次，邀请市民代表们列席市政府全体（扩大）会议，了解政府工作并提出意见建议，有效增强政民互动。</w:t>
      </w:r>
    </w:p>
    <w:p>
      <w:pPr>
        <w:overflowPunct w:val="0"/>
        <w:autoSpaceDE w:val="0"/>
        <w:autoSpaceDN w:val="0"/>
        <w:adjustRightInd w:val="0"/>
        <w:snapToGrid w:val="0"/>
        <w:spacing w:line="560" w:lineRule="exact"/>
        <w:ind w:firstLine="641"/>
        <w:rPr>
          <w:rFonts w:eastAsia="仿宋_GB2312"/>
          <w:bCs/>
          <w:snapToGrid w:val="0"/>
          <w:color w:val="000000" w:themeColor="text1"/>
          <w:kern w:val="0"/>
          <w:sz w:val="32"/>
          <w:szCs w:val="32"/>
        </w:rPr>
      </w:pPr>
      <w:r>
        <w:rPr>
          <w:rFonts w:hAnsi="仿宋_GB2312" w:eastAsia="仿宋_GB2312"/>
          <w:bCs/>
          <w:snapToGrid w:val="0"/>
          <w:color w:val="000000" w:themeColor="text1"/>
          <w:kern w:val="0"/>
          <w:sz w:val="32"/>
          <w:szCs w:val="32"/>
        </w:rPr>
        <w:t>本年报的电子版可在常州市人民政府门户网站（</w:t>
      </w:r>
      <w:r>
        <w:rPr>
          <w:rFonts w:hint="eastAsia" w:eastAsia="仿宋_GB2312"/>
          <w:bCs/>
          <w:snapToGrid w:val="0"/>
          <w:color w:val="000000" w:themeColor="text1"/>
          <w:kern w:val="0"/>
          <w:sz w:val="32"/>
          <w:szCs w:val="32"/>
        </w:rPr>
        <w:t>www.chang</w:t>
      </w:r>
    </w:p>
    <w:p>
      <w:pPr>
        <w:overflowPunct w:val="0"/>
        <w:autoSpaceDE w:val="0"/>
        <w:autoSpaceDN w:val="0"/>
        <w:adjustRightInd w:val="0"/>
        <w:snapToGrid w:val="0"/>
        <w:spacing w:line="560" w:lineRule="exact"/>
        <w:rPr>
          <w:rFonts w:eastAsia="仿宋_GB2312"/>
          <w:snapToGrid w:val="0"/>
          <w:color w:val="000000" w:themeColor="text1"/>
          <w:kern w:val="0"/>
          <w:sz w:val="32"/>
          <w:szCs w:val="32"/>
        </w:rPr>
      </w:pPr>
      <w:r>
        <w:rPr>
          <w:rFonts w:eastAsia="仿宋_GB2312"/>
          <w:bCs/>
          <w:snapToGrid w:val="0"/>
          <w:color w:val="000000" w:themeColor="text1"/>
          <w:kern w:val="0"/>
          <w:sz w:val="32"/>
          <w:szCs w:val="32"/>
        </w:rPr>
        <w:t>zhou.gov.cn</w:t>
      </w:r>
      <w:r>
        <w:rPr>
          <w:rFonts w:hAnsi="仿宋_GB2312" w:eastAsia="仿宋_GB2312"/>
          <w:bCs/>
          <w:snapToGrid w:val="0"/>
          <w:color w:val="000000" w:themeColor="text1"/>
          <w:kern w:val="0"/>
          <w:sz w:val="32"/>
          <w:szCs w:val="32"/>
        </w:rPr>
        <w:t>）下载。如对年报有任何疑问，请与常州市人民政府办公室政务公开处联系（地址：常州市龙城大道</w:t>
      </w:r>
      <w:r>
        <w:rPr>
          <w:rFonts w:eastAsia="仿宋_GB2312"/>
          <w:bCs/>
          <w:snapToGrid w:val="0"/>
          <w:color w:val="000000" w:themeColor="text1"/>
          <w:kern w:val="0"/>
          <w:sz w:val="32"/>
          <w:szCs w:val="32"/>
        </w:rPr>
        <w:t>1280</w:t>
      </w:r>
      <w:r>
        <w:rPr>
          <w:rFonts w:hAnsi="仿宋_GB2312" w:eastAsia="仿宋_GB2312"/>
          <w:bCs/>
          <w:snapToGrid w:val="0"/>
          <w:color w:val="000000" w:themeColor="text1"/>
          <w:kern w:val="0"/>
          <w:sz w:val="32"/>
          <w:szCs w:val="32"/>
        </w:rPr>
        <w:t>号，常州市行政中心</w:t>
      </w:r>
      <w:r>
        <w:rPr>
          <w:rFonts w:eastAsia="仿宋_GB2312"/>
          <w:bCs/>
          <w:snapToGrid w:val="0"/>
          <w:color w:val="000000" w:themeColor="text1"/>
          <w:kern w:val="0"/>
          <w:sz w:val="32"/>
          <w:szCs w:val="32"/>
        </w:rPr>
        <w:t>1</w:t>
      </w:r>
      <w:r>
        <w:rPr>
          <w:rFonts w:hAnsi="仿宋_GB2312" w:eastAsia="仿宋_GB2312"/>
          <w:bCs/>
          <w:snapToGrid w:val="0"/>
          <w:color w:val="000000" w:themeColor="text1"/>
          <w:kern w:val="0"/>
          <w:sz w:val="32"/>
          <w:szCs w:val="32"/>
        </w:rPr>
        <w:t>号楼</w:t>
      </w:r>
      <w:r>
        <w:rPr>
          <w:rFonts w:eastAsia="仿宋_GB2312"/>
          <w:bCs/>
          <w:snapToGrid w:val="0"/>
          <w:color w:val="000000" w:themeColor="text1"/>
          <w:kern w:val="0"/>
          <w:sz w:val="32"/>
          <w:szCs w:val="32"/>
        </w:rPr>
        <w:t>B</w:t>
      </w:r>
      <w:r>
        <w:rPr>
          <w:rFonts w:hAnsi="仿宋_GB2312" w:eastAsia="仿宋_GB2312"/>
          <w:bCs/>
          <w:snapToGrid w:val="0"/>
          <w:color w:val="000000" w:themeColor="text1"/>
          <w:kern w:val="0"/>
          <w:sz w:val="32"/>
          <w:szCs w:val="32"/>
        </w:rPr>
        <w:t>座</w:t>
      </w:r>
      <w:r>
        <w:rPr>
          <w:rFonts w:eastAsia="仿宋_GB2312"/>
          <w:bCs/>
          <w:snapToGrid w:val="0"/>
          <w:color w:val="000000" w:themeColor="text1"/>
          <w:kern w:val="0"/>
          <w:sz w:val="32"/>
          <w:szCs w:val="32"/>
        </w:rPr>
        <w:t>1922</w:t>
      </w:r>
      <w:r>
        <w:rPr>
          <w:rFonts w:hAnsi="仿宋_GB2312" w:eastAsia="仿宋_GB2312"/>
          <w:bCs/>
          <w:snapToGrid w:val="0"/>
          <w:color w:val="000000" w:themeColor="text1"/>
          <w:kern w:val="0"/>
          <w:sz w:val="32"/>
          <w:szCs w:val="32"/>
        </w:rPr>
        <w:t>室；邮编：</w:t>
      </w:r>
      <w:r>
        <w:rPr>
          <w:rFonts w:eastAsia="仿宋_GB2312"/>
          <w:bCs/>
          <w:snapToGrid w:val="0"/>
          <w:color w:val="000000" w:themeColor="text1"/>
          <w:kern w:val="0"/>
          <w:sz w:val="32"/>
          <w:szCs w:val="32"/>
        </w:rPr>
        <w:t>213022</w:t>
      </w:r>
      <w:r>
        <w:rPr>
          <w:rFonts w:hAnsi="仿宋_GB2312" w:eastAsia="仿宋_GB2312"/>
          <w:bCs/>
          <w:snapToGrid w:val="0"/>
          <w:color w:val="000000" w:themeColor="text1"/>
          <w:kern w:val="0"/>
          <w:sz w:val="32"/>
          <w:szCs w:val="32"/>
        </w:rPr>
        <w:t>；电话：</w:t>
      </w:r>
      <w:r>
        <w:rPr>
          <w:rFonts w:eastAsia="仿宋_GB2312"/>
          <w:bCs/>
          <w:snapToGrid w:val="0"/>
          <w:color w:val="000000" w:themeColor="text1"/>
          <w:kern w:val="0"/>
          <w:sz w:val="32"/>
          <w:szCs w:val="32"/>
        </w:rPr>
        <w:t>0519-85685020</w:t>
      </w:r>
      <w:r>
        <w:rPr>
          <w:rFonts w:hAnsi="仿宋_GB2312" w:eastAsia="仿宋_GB2312"/>
          <w:bCs/>
          <w:snapToGrid w:val="0"/>
          <w:color w:val="000000" w:themeColor="text1"/>
          <w:kern w:val="0"/>
          <w:sz w:val="32"/>
          <w:szCs w:val="32"/>
        </w:rPr>
        <w:t>；电子邮箱：</w:t>
      </w:r>
      <w:r>
        <w:rPr>
          <w:rFonts w:eastAsia="仿宋_GB2312"/>
          <w:bCs/>
          <w:snapToGrid w:val="0"/>
          <w:color w:val="000000" w:themeColor="text1"/>
          <w:kern w:val="0"/>
          <w:sz w:val="32"/>
          <w:szCs w:val="32"/>
        </w:rPr>
        <w:t>zfxxgk@changzhou.gov.cn</w:t>
      </w:r>
      <w:r>
        <w:rPr>
          <w:rFonts w:hAnsi="仿宋_GB2312" w:eastAsia="仿宋_GB2312"/>
          <w:bCs/>
          <w:snapToGrid w:val="0"/>
          <w:color w:val="000000" w:themeColor="text1"/>
          <w:kern w:val="0"/>
          <w:sz w:val="32"/>
          <w:szCs w:val="32"/>
        </w:rPr>
        <w:t>）。</w:t>
      </w:r>
    </w:p>
    <w:sectPr>
      <w:footerReference r:id="rId3" w:type="default"/>
      <w:pgSz w:w="11907" w:h="16840"/>
      <w:pgMar w:top="1814"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24450224"/>
      <w:docPartObj>
        <w:docPartGallery w:val="AutoText"/>
      </w:docPartObj>
    </w:sdtPr>
    <w:sdtEndPr>
      <w:rPr>
        <w:sz w:val="28"/>
        <w:szCs w:val="28"/>
      </w:rPr>
    </w:sdtEndPr>
    <w:sdtContent>
      <w:p>
        <w:pPr>
          <w:pStyle w:val="3"/>
          <w:jc w:val="center"/>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r>
          <w:rPr>
            <w:rFonts w:hint="eastAsia"/>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6013820B000095D7" w:val=" "/>
  </w:docVars>
  <w:rsids>
    <w:rsidRoot w:val="00D413A3"/>
    <w:rsid w:val="00043528"/>
    <w:rsid w:val="00046880"/>
    <w:rsid w:val="00052BF9"/>
    <w:rsid w:val="00087862"/>
    <w:rsid w:val="000E6F7A"/>
    <w:rsid w:val="000F7118"/>
    <w:rsid w:val="00121FC6"/>
    <w:rsid w:val="00123821"/>
    <w:rsid w:val="00140C34"/>
    <w:rsid w:val="00152564"/>
    <w:rsid w:val="00162AB9"/>
    <w:rsid w:val="001B0A90"/>
    <w:rsid w:val="001C547A"/>
    <w:rsid w:val="001D297A"/>
    <w:rsid w:val="001D6E80"/>
    <w:rsid w:val="001E177E"/>
    <w:rsid w:val="002028AD"/>
    <w:rsid w:val="002035DE"/>
    <w:rsid w:val="002105D7"/>
    <w:rsid w:val="00226D98"/>
    <w:rsid w:val="00263D43"/>
    <w:rsid w:val="00293486"/>
    <w:rsid w:val="002C04DB"/>
    <w:rsid w:val="002C6B3C"/>
    <w:rsid w:val="002D0DA1"/>
    <w:rsid w:val="002D1EC3"/>
    <w:rsid w:val="003145DC"/>
    <w:rsid w:val="0031727D"/>
    <w:rsid w:val="00335F0C"/>
    <w:rsid w:val="003B3439"/>
    <w:rsid w:val="003D3A16"/>
    <w:rsid w:val="003E310D"/>
    <w:rsid w:val="003E6B25"/>
    <w:rsid w:val="003F6459"/>
    <w:rsid w:val="00414424"/>
    <w:rsid w:val="00424B69"/>
    <w:rsid w:val="00426FB7"/>
    <w:rsid w:val="00443469"/>
    <w:rsid w:val="00451308"/>
    <w:rsid w:val="00456A51"/>
    <w:rsid w:val="004655DA"/>
    <w:rsid w:val="004A4C4C"/>
    <w:rsid w:val="004A689E"/>
    <w:rsid w:val="004B1EAE"/>
    <w:rsid w:val="004E1A7F"/>
    <w:rsid w:val="004F150C"/>
    <w:rsid w:val="005346D4"/>
    <w:rsid w:val="00542D2A"/>
    <w:rsid w:val="00543EDD"/>
    <w:rsid w:val="00546D1A"/>
    <w:rsid w:val="00553959"/>
    <w:rsid w:val="005728CA"/>
    <w:rsid w:val="00576246"/>
    <w:rsid w:val="00586857"/>
    <w:rsid w:val="005972AF"/>
    <w:rsid w:val="005A20AC"/>
    <w:rsid w:val="005B15B9"/>
    <w:rsid w:val="005D2773"/>
    <w:rsid w:val="005D4A1A"/>
    <w:rsid w:val="005E2E01"/>
    <w:rsid w:val="005E6C32"/>
    <w:rsid w:val="005F7698"/>
    <w:rsid w:val="00623319"/>
    <w:rsid w:val="00626721"/>
    <w:rsid w:val="00631D3E"/>
    <w:rsid w:val="00652465"/>
    <w:rsid w:val="006C6C53"/>
    <w:rsid w:val="006F429F"/>
    <w:rsid w:val="006F77EA"/>
    <w:rsid w:val="00707EED"/>
    <w:rsid w:val="0073288A"/>
    <w:rsid w:val="00736B9F"/>
    <w:rsid w:val="00743732"/>
    <w:rsid w:val="007676D9"/>
    <w:rsid w:val="00777140"/>
    <w:rsid w:val="007934FA"/>
    <w:rsid w:val="007D00B3"/>
    <w:rsid w:val="007D65AC"/>
    <w:rsid w:val="0081433C"/>
    <w:rsid w:val="0082078F"/>
    <w:rsid w:val="00851E3F"/>
    <w:rsid w:val="00857E8C"/>
    <w:rsid w:val="008B6C3B"/>
    <w:rsid w:val="008D2FC3"/>
    <w:rsid w:val="008D768E"/>
    <w:rsid w:val="008F4AAD"/>
    <w:rsid w:val="009127EA"/>
    <w:rsid w:val="00913551"/>
    <w:rsid w:val="00932D58"/>
    <w:rsid w:val="00933DB0"/>
    <w:rsid w:val="00952CFD"/>
    <w:rsid w:val="00956374"/>
    <w:rsid w:val="0096121E"/>
    <w:rsid w:val="009703B5"/>
    <w:rsid w:val="009903D3"/>
    <w:rsid w:val="00990C61"/>
    <w:rsid w:val="009948AF"/>
    <w:rsid w:val="009A7C26"/>
    <w:rsid w:val="009B5802"/>
    <w:rsid w:val="009E7770"/>
    <w:rsid w:val="009F7620"/>
    <w:rsid w:val="00A25593"/>
    <w:rsid w:val="00A35C90"/>
    <w:rsid w:val="00A56100"/>
    <w:rsid w:val="00A62B67"/>
    <w:rsid w:val="00A636ED"/>
    <w:rsid w:val="00AB30FF"/>
    <w:rsid w:val="00AB7BEA"/>
    <w:rsid w:val="00AC5D32"/>
    <w:rsid w:val="00AD7956"/>
    <w:rsid w:val="00AF035E"/>
    <w:rsid w:val="00AF1AF1"/>
    <w:rsid w:val="00B41D5C"/>
    <w:rsid w:val="00B6056A"/>
    <w:rsid w:val="00B75EF8"/>
    <w:rsid w:val="00B7795D"/>
    <w:rsid w:val="00B80D34"/>
    <w:rsid w:val="00B911C7"/>
    <w:rsid w:val="00BC744F"/>
    <w:rsid w:val="00BD3614"/>
    <w:rsid w:val="00BE6383"/>
    <w:rsid w:val="00BF1E14"/>
    <w:rsid w:val="00C0330A"/>
    <w:rsid w:val="00C377EA"/>
    <w:rsid w:val="00C51A94"/>
    <w:rsid w:val="00C6622E"/>
    <w:rsid w:val="00C7116C"/>
    <w:rsid w:val="00C806DE"/>
    <w:rsid w:val="00C82E6D"/>
    <w:rsid w:val="00C86CA6"/>
    <w:rsid w:val="00CD302D"/>
    <w:rsid w:val="00CD37BA"/>
    <w:rsid w:val="00D14B52"/>
    <w:rsid w:val="00D23D24"/>
    <w:rsid w:val="00D413A3"/>
    <w:rsid w:val="00D4230B"/>
    <w:rsid w:val="00D579DD"/>
    <w:rsid w:val="00D66C62"/>
    <w:rsid w:val="00D766FA"/>
    <w:rsid w:val="00D84FB6"/>
    <w:rsid w:val="00D8570B"/>
    <w:rsid w:val="00DA24E1"/>
    <w:rsid w:val="00DC52EB"/>
    <w:rsid w:val="00DD0F79"/>
    <w:rsid w:val="00DF31AD"/>
    <w:rsid w:val="00E53257"/>
    <w:rsid w:val="00E845B2"/>
    <w:rsid w:val="00E87126"/>
    <w:rsid w:val="00E93A95"/>
    <w:rsid w:val="00EA0780"/>
    <w:rsid w:val="00EB4A2C"/>
    <w:rsid w:val="00ED42FE"/>
    <w:rsid w:val="00ED509F"/>
    <w:rsid w:val="00EF1211"/>
    <w:rsid w:val="00F02518"/>
    <w:rsid w:val="00F07B76"/>
    <w:rsid w:val="00F762C9"/>
    <w:rsid w:val="00F8251A"/>
    <w:rsid w:val="00F96285"/>
    <w:rsid w:val="00F97141"/>
    <w:rsid w:val="00FC3108"/>
    <w:rsid w:val="00FC6D29"/>
    <w:rsid w:val="00FC75F8"/>
    <w:rsid w:val="00FD2CD7"/>
    <w:rsid w:val="00FE5375"/>
    <w:rsid w:val="0125265E"/>
    <w:rsid w:val="01A24397"/>
    <w:rsid w:val="023D6561"/>
    <w:rsid w:val="036A0454"/>
    <w:rsid w:val="0541011A"/>
    <w:rsid w:val="054E17AA"/>
    <w:rsid w:val="058B72C5"/>
    <w:rsid w:val="05AF711D"/>
    <w:rsid w:val="07A43EF5"/>
    <w:rsid w:val="082D4842"/>
    <w:rsid w:val="0C7C087C"/>
    <w:rsid w:val="0D190B38"/>
    <w:rsid w:val="0DD31964"/>
    <w:rsid w:val="0DE52543"/>
    <w:rsid w:val="100A3BB6"/>
    <w:rsid w:val="1080099C"/>
    <w:rsid w:val="121450EB"/>
    <w:rsid w:val="12A22921"/>
    <w:rsid w:val="13765E2D"/>
    <w:rsid w:val="138E31FD"/>
    <w:rsid w:val="13D703BE"/>
    <w:rsid w:val="162A2F76"/>
    <w:rsid w:val="17B37053"/>
    <w:rsid w:val="18DE1399"/>
    <w:rsid w:val="1A034733"/>
    <w:rsid w:val="1A7A5F32"/>
    <w:rsid w:val="1AF9167F"/>
    <w:rsid w:val="1BE46CBC"/>
    <w:rsid w:val="1BF863AC"/>
    <w:rsid w:val="1C0350B7"/>
    <w:rsid w:val="1C0A2583"/>
    <w:rsid w:val="1CD35D55"/>
    <w:rsid w:val="1D3340DA"/>
    <w:rsid w:val="1E035A75"/>
    <w:rsid w:val="1E442865"/>
    <w:rsid w:val="1EB14F12"/>
    <w:rsid w:val="21C65E79"/>
    <w:rsid w:val="21EB535E"/>
    <w:rsid w:val="22E742DF"/>
    <w:rsid w:val="23465ED8"/>
    <w:rsid w:val="257A2DF1"/>
    <w:rsid w:val="25EC0F22"/>
    <w:rsid w:val="25FC14AD"/>
    <w:rsid w:val="2736451F"/>
    <w:rsid w:val="2A4A5218"/>
    <w:rsid w:val="2A5950EA"/>
    <w:rsid w:val="2AAA3171"/>
    <w:rsid w:val="2CCE1A86"/>
    <w:rsid w:val="2D051DF0"/>
    <w:rsid w:val="2D0A78B7"/>
    <w:rsid w:val="2D8D3C05"/>
    <w:rsid w:val="2E512ADA"/>
    <w:rsid w:val="2E80174A"/>
    <w:rsid w:val="2F1B31EB"/>
    <w:rsid w:val="2F293214"/>
    <w:rsid w:val="31BA17EF"/>
    <w:rsid w:val="3204248D"/>
    <w:rsid w:val="324A0F6B"/>
    <w:rsid w:val="32576B95"/>
    <w:rsid w:val="32D629A8"/>
    <w:rsid w:val="32F80D14"/>
    <w:rsid w:val="343038D4"/>
    <w:rsid w:val="3730658C"/>
    <w:rsid w:val="37665679"/>
    <w:rsid w:val="37EF7E69"/>
    <w:rsid w:val="396232DB"/>
    <w:rsid w:val="399C648E"/>
    <w:rsid w:val="3B3310B0"/>
    <w:rsid w:val="3B3E0BD0"/>
    <w:rsid w:val="3B534540"/>
    <w:rsid w:val="3B9F1DDB"/>
    <w:rsid w:val="3BC020A1"/>
    <w:rsid w:val="3BD0443C"/>
    <w:rsid w:val="3BD65658"/>
    <w:rsid w:val="3CD54C62"/>
    <w:rsid w:val="3D8B5B90"/>
    <w:rsid w:val="3E1175AB"/>
    <w:rsid w:val="3EA6571E"/>
    <w:rsid w:val="3EC20B98"/>
    <w:rsid w:val="3F4B3198"/>
    <w:rsid w:val="3F6D22ED"/>
    <w:rsid w:val="40E72A82"/>
    <w:rsid w:val="41E662FC"/>
    <w:rsid w:val="430E1825"/>
    <w:rsid w:val="43542E10"/>
    <w:rsid w:val="45AD1A5C"/>
    <w:rsid w:val="47B05FF5"/>
    <w:rsid w:val="48156AD8"/>
    <w:rsid w:val="4AEE4B97"/>
    <w:rsid w:val="4CB34413"/>
    <w:rsid w:val="4D2A2A7D"/>
    <w:rsid w:val="4D5444EA"/>
    <w:rsid w:val="4D6019B7"/>
    <w:rsid w:val="4EE93BE5"/>
    <w:rsid w:val="4F567248"/>
    <w:rsid w:val="50AD439E"/>
    <w:rsid w:val="50ED6DF2"/>
    <w:rsid w:val="523662AA"/>
    <w:rsid w:val="534D340F"/>
    <w:rsid w:val="53923E5E"/>
    <w:rsid w:val="54F71B93"/>
    <w:rsid w:val="55DA2257"/>
    <w:rsid w:val="561651A1"/>
    <w:rsid w:val="5624691E"/>
    <w:rsid w:val="57080767"/>
    <w:rsid w:val="585555D3"/>
    <w:rsid w:val="58FC6CC1"/>
    <w:rsid w:val="590E4A6F"/>
    <w:rsid w:val="59A53F6B"/>
    <w:rsid w:val="59B04A3B"/>
    <w:rsid w:val="5A012774"/>
    <w:rsid w:val="5B0F535E"/>
    <w:rsid w:val="5B7762B8"/>
    <w:rsid w:val="5C4B09FC"/>
    <w:rsid w:val="5C667127"/>
    <w:rsid w:val="5CD46B41"/>
    <w:rsid w:val="5D780418"/>
    <w:rsid w:val="5DA3754D"/>
    <w:rsid w:val="5E1A33A7"/>
    <w:rsid w:val="5F70169B"/>
    <w:rsid w:val="60CD314A"/>
    <w:rsid w:val="62A670E0"/>
    <w:rsid w:val="638F05F5"/>
    <w:rsid w:val="64A07073"/>
    <w:rsid w:val="655A0553"/>
    <w:rsid w:val="6587287D"/>
    <w:rsid w:val="658807A4"/>
    <w:rsid w:val="65A55716"/>
    <w:rsid w:val="663D489A"/>
    <w:rsid w:val="66A868B5"/>
    <w:rsid w:val="66B9549F"/>
    <w:rsid w:val="66C2214D"/>
    <w:rsid w:val="688A7A71"/>
    <w:rsid w:val="68A76CA8"/>
    <w:rsid w:val="68BA4DB9"/>
    <w:rsid w:val="69045250"/>
    <w:rsid w:val="69292609"/>
    <w:rsid w:val="6A2623A1"/>
    <w:rsid w:val="6AC9560D"/>
    <w:rsid w:val="6B447436"/>
    <w:rsid w:val="6C2326AF"/>
    <w:rsid w:val="6D8807C2"/>
    <w:rsid w:val="6D8C304A"/>
    <w:rsid w:val="6EB9623D"/>
    <w:rsid w:val="6FD36960"/>
    <w:rsid w:val="6FD41AF8"/>
    <w:rsid w:val="6FE04B26"/>
    <w:rsid w:val="73371BA9"/>
    <w:rsid w:val="73B64F2A"/>
    <w:rsid w:val="740D4CFA"/>
    <w:rsid w:val="74D201DC"/>
    <w:rsid w:val="76047DFB"/>
    <w:rsid w:val="76102CFF"/>
    <w:rsid w:val="770842DC"/>
    <w:rsid w:val="77564EF1"/>
    <w:rsid w:val="78AF0E79"/>
    <w:rsid w:val="78D0468B"/>
    <w:rsid w:val="79456562"/>
    <w:rsid w:val="798E7430"/>
    <w:rsid w:val="7AD01745"/>
    <w:rsid w:val="7B4A4D0C"/>
    <w:rsid w:val="7DF62DC0"/>
    <w:rsid w:val="7F99053C"/>
    <w:rsid w:val="7FED0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0"/>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8">
    <w:name w:val="Hyperlink"/>
    <w:basedOn w:val="7"/>
    <w:unhideWhenUsed/>
    <w:qFormat/>
    <w:uiPriority w:val="0"/>
    <w:rPr>
      <w:color w:val="0563C1" w:themeColor="hyperlink"/>
      <w:u w:val="single"/>
    </w:rPr>
  </w:style>
  <w:style w:type="character" w:customStyle="1" w:styleId="9">
    <w:name w:val="页眉 Char"/>
    <w:basedOn w:val="7"/>
    <w:link w:val="4"/>
    <w:qFormat/>
    <w:uiPriority w:val="0"/>
    <w:rPr>
      <w:rFonts w:ascii="Times New Roman" w:hAnsi="Times New Roman" w:eastAsia="宋体" w:cs="Times New Roman"/>
      <w:kern w:val="2"/>
      <w:sz w:val="18"/>
      <w:szCs w:val="18"/>
    </w:rPr>
  </w:style>
  <w:style w:type="character" w:customStyle="1" w:styleId="10">
    <w:name w:val="页脚 Char"/>
    <w:basedOn w:val="7"/>
    <w:link w:val="3"/>
    <w:qFormat/>
    <w:uiPriority w:val="99"/>
    <w:rPr>
      <w:rFonts w:ascii="Times New Roman" w:hAnsi="Times New Roman" w:eastAsia="宋体" w:cs="Times New Roman"/>
      <w:kern w:val="2"/>
      <w:sz w:val="18"/>
      <w:szCs w:val="18"/>
    </w:rPr>
  </w:style>
  <w:style w:type="paragraph" w:styleId="11">
    <w:name w:val="List Paragraph"/>
    <w:basedOn w:val="1"/>
    <w:unhideWhenUsed/>
    <w:qFormat/>
    <w:uiPriority w:val="99"/>
    <w:pPr>
      <w:ind w:firstLine="420" w:firstLineChars="200"/>
    </w:pPr>
  </w:style>
  <w:style w:type="character" w:customStyle="1" w:styleId="12">
    <w:name w:val="批注框文本 Char"/>
    <w:basedOn w:val="7"/>
    <w:link w:val="2"/>
    <w:semiHidden/>
    <w:qFormat/>
    <w:uiPriority w:val="0"/>
    <w:rPr>
      <w:rFonts w:ascii="Times New Roman" w:hAnsi="Times New Roman"/>
      <w:kern w:val="2"/>
      <w:sz w:val="18"/>
      <w:szCs w:val="18"/>
    </w:rPr>
  </w:style>
  <w:style w:type="paragraph" w:customStyle="1" w:styleId="13">
    <w:name w:val="修订1"/>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890</Words>
  <Characters>5075</Characters>
  <Lines>42</Lines>
  <Paragraphs>11</Paragraphs>
  <TotalTime>3</TotalTime>
  <ScaleCrop>false</ScaleCrop>
  <LinksUpToDate>false</LinksUpToDate>
  <CharactersWithSpaces>5954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2021-03-08T07:18:00Z</dcterms:created>
  <dc:creator>a</dc:creator>
  <cp:lastModifiedBy>张志毅</cp:lastModifiedBy>
  <cp:lastPrinted>2021-03-04T06:06:00Z</cp:lastPrinted>
  <dcterms:modified xsi:type="dcterms:W3CDTF">2021-03-08T08:34:17Z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