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Times New Roman" w:hAnsi="Times New Roman" w:eastAsia="方正黑体_GBK"/>
          <w:sz w:val="32"/>
          <w:szCs w:val="32"/>
        </w:rPr>
      </w:pPr>
      <w:r>
        <w:rPr>
          <w:rFonts w:ascii="Times New Roman" w:hAnsi="Times New Roman" w:eastAsia="方正黑体_GBK"/>
          <w:sz w:val="32"/>
          <w:szCs w:val="32"/>
        </w:rPr>
        <w:t>附件3</w:t>
      </w:r>
    </w:p>
    <w:p>
      <w:pPr>
        <w:adjustRightInd w:val="0"/>
        <w:snapToGrid w:val="0"/>
        <w:spacing w:line="570" w:lineRule="exact"/>
        <w:jc w:val="center"/>
        <w:rPr>
          <w:rFonts w:hint="eastAsia" w:ascii="方正小标宋_GBK" w:eastAsia="方正小标宋_GBK"/>
          <w:sz w:val="36"/>
          <w:szCs w:val="36"/>
        </w:rPr>
      </w:pPr>
    </w:p>
    <w:p>
      <w:pPr>
        <w:adjustRightInd w:val="0"/>
        <w:snapToGrid w:val="0"/>
        <w:spacing w:line="570" w:lineRule="exact"/>
        <w:jc w:val="center"/>
        <w:rPr>
          <w:rFonts w:hint="eastAsia" w:ascii="方正小标宋_GBK" w:hAnsi="宋体" w:eastAsia="方正小标宋_GBK"/>
          <w:sz w:val="44"/>
          <w:szCs w:val="44"/>
        </w:rPr>
      </w:pPr>
      <w:bookmarkStart w:id="0" w:name="_GoBack"/>
      <w:r>
        <w:rPr>
          <w:rFonts w:hint="eastAsia" w:ascii="方正小标宋_GBK" w:hAnsi="宋体" w:eastAsia="方正小标宋_GBK"/>
          <w:sz w:val="44"/>
          <w:szCs w:val="44"/>
        </w:rPr>
        <w:t>常州市2021年度企业职工基本养老保险</w:t>
      </w:r>
    </w:p>
    <w:p>
      <w:pPr>
        <w:adjustRightInd w:val="0"/>
        <w:snapToGrid w:val="0"/>
        <w:spacing w:before="120" w:line="570" w:lineRule="exact"/>
        <w:jc w:val="center"/>
        <w:rPr>
          <w:rFonts w:hint="eastAsia" w:ascii="方正小标宋_GBK" w:hAnsi="宋体" w:eastAsia="方正小标宋_GBK"/>
          <w:sz w:val="44"/>
          <w:szCs w:val="44"/>
        </w:rPr>
      </w:pPr>
      <w:r>
        <w:rPr>
          <w:rFonts w:hint="eastAsia" w:ascii="方正小标宋_GBK" w:hAnsi="宋体" w:eastAsia="方正小标宋_GBK"/>
          <w:sz w:val="44"/>
          <w:szCs w:val="44"/>
        </w:rPr>
        <w:t>基金收支管理考核办法</w:t>
      </w:r>
      <w:bookmarkEnd w:id="0"/>
    </w:p>
    <w:p>
      <w:pPr>
        <w:adjustRightInd w:val="0"/>
        <w:snapToGrid w:val="0"/>
        <w:spacing w:line="570" w:lineRule="exact"/>
        <w:jc w:val="center"/>
        <w:rPr>
          <w:rFonts w:hint="eastAsia" w:ascii="方正小标宋_GBK" w:eastAsia="方正小标宋_GBK"/>
          <w:b/>
          <w:bCs/>
          <w:sz w:val="32"/>
          <w:szCs w:val="32"/>
        </w:rPr>
      </w:pPr>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ascii="Times New Roman" w:hAnsi="Times New Roman" w:eastAsia="方正仿宋_GBK"/>
          <w:sz w:val="32"/>
          <w:szCs w:val="32"/>
        </w:rPr>
        <w:t>为巩固我市社会保险全民参保计划“三年行动”成果，促进我市企业职工基本养老保险（以下简称“养老保险”）可持续发展，确保完成基金征收计划，严格基金管理，健全责任分担机制，根据《关于进一步推进我市社会保险全民参保工作提质增效的实施意见》，制定本考核办法。</w:t>
      </w:r>
    </w:p>
    <w:p>
      <w:pPr>
        <w:overflowPunct w:val="0"/>
        <w:autoSpaceDE w:val="0"/>
        <w:autoSpaceDN w:val="0"/>
        <w:adjustRightInd w:val="0"/>
        <w:snapToGrid w:val="0"/>
        <w:spacing w:line="540" w:lineRule="exact"/>
        <w:ind w:firstLine="641"/>
        <w:rPr>
          <w:rFonts w:ascii="Times New Roman" w:hAnsi="Times New Roman" w:eastAsia="方正黑体_GBK"/>
          <w:sz w:val="32"/>
          <w:szCs w:val="32"/>
        </w:rPr>
      </w:pPr>
      <w:r>
        <w:rPr>
          <w:rFonts w:ascii="Times New Roman" w:hAnsi="Times New Roman" w:eastAsia="方正黑体_GBK"/>
          <w:sz w:val="32"/>
          <w:szCs w:val="32"/>
        </w:rPr>
        <w:t>一、对象范围</w:t>
      </w:r>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ascii="Times New Roman" w:hAnsi="Times New Roman" w:eastAsia="方正仿宋_GBK"/>
          <w:sz w:val="32"/>
          <w:szCs w:val="32"/>
        </w:rPr>
        <w:t>各辖市、区人民政府</w:t>
      </w:r>
      <w:r>
        <w:rPr>
          <w:rFonts w:hint="eastAsia" w:ascii="Times New Roman" w:hAnsi="Times New Roman" w:eastAsia="方正仿宋_GBK"/>
          <w:sz w:val="32"/>
          <w:szCs w:val="32"/>
        </w:rPr>
        <w:t>，</w:t>
      </w:r>
      <w:r>
        <w:rPr>
          <w:rFonts w:ascii="Times New Roman" w:hAnsi="Times New Roman" w:eastAsia="方正仿宋_GBK"/>
          <w:sz w:val="32"/>
          <w:szCs w:val="32"/>
        </w:rPr>
        <w:t>常州经开区管委会</w:t>
      </w:r>
    </w:p>
    <w:p>
      <w:pPr>
        <w:overflowPunct w:val="0"/>
        <w:autoSpaceDE w:val="0"/>
        <w:autoSpaceDN w:val="0"/>
        <w:adjustRightInd w:val="0"/>
        <w:snapToGrid w:val="0"/>
        <w:spacing w:line="540" w:lineRule="exact"/>
        <w:ind w:firstLine="641"/>
        <w:rPr>
          <w:rFonts w:ascii="Times New Roman" w:hAnsi="Times New Roman" w:eastAsia="方正黑体_GBK"/>
          <w:sz w:val="32"/>
          <w:szCs w:val="32"/>
        </w:rPr>
      </w:pPr>
      <w:r>
        <w:rPr>
          <w:rFonts w:ascii="Times New Roman" w:hAnsi="Times New Roman" w:eastAsia="方正黑体_GBK"/>
          <w:sz w:val="32"/>
          <w:szCs w:val="32"/>
        </w:rPr>
        <w:t>二、基本原则</w:t>
      </w:r>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ascii="Times New Roman" w:hAnsi="Times New Roman" w:eastAsia="方正楷体_GBK"/>
          <w:bCs/>
          <w:sz w:val="32"/>
          <w:szCs w:val="32"/>
        </w:rPr>
        <w:t>（一）聚焦关键。</w:t>
      </w:r>
      <w:r>
        <w:rPr>
          <w:rFonts w:ascii="Times New Roman" w:hAnsi="Times New Roman" w:eastAsia="方正仿宋_GBK"/>
          <w:sz w:val="32"/>
          <w:szCs w:val="32"/>
        </w:rPr>
        <w:t>坚持目标导向，突出关键指标，强化正向激励，推动辖市、区规范执行政策、强化基金征缴、落实责任分担。</w:t>
      </w:r>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ascii="Times New Roman" w:hAnsi="Times New Roman" w:eastAsia="方正楷体_GBK"/>
          <w:bCs/>
          <w:sz w:val="32"/>
          <w:szCs w:val="32"/>
        </w:rPr>
        <w:t>（二）压实责任。</w:t>
      </w:r>
      <w:r>
        <w:rPr>
          <w:rFonts w:ascii="Times New Roman" w:hAnsi="Times New Roman" w:eastAsia="方正仿宋_GBK"/>
          <w:sz w:val="32"/>
          <w:szCs w:val="32"/>
        </w:rPr>
        <w:t>各辖市、区政府承担本地区企业职工基本养老保险参保扩面、基金征缴工作责任，以省、市年度工作目标和任务指标为坐标，狠抓责任落实。</w:t>
      </w:r>
    </w:p>
    <w:p>
      <w:pPr>
        <w:overflowPunct w:val="0"/>
        <w:autoSpaceDE w:val="0"/>
        <w:autoSpaceDN w:val="0"/>
        <w:adjustRightInd w:val="0"/>
        <w:snapToGrid w:val="0"/>
        <w:spacing w:line="540" w:lineRule="exact"/>
        <w:ind w:firstLine="641"/>
        <w:rPr>
          <w:rFonts w:ascii="Times New Roman" w:hAnsi="Times New Roman" w:eastAsia="方正仿宋_GBK"/>
          <w:sz w:val="32"/>
          <w:szCs w:val="32"/>
        </w:rPr>
      </w:pPr>
      <w:r>
        <w:rPr>
          <w:rFonts w:ascii="Times New Roman" w:hAnsi="Times New Roman" w:eastAsia="方正楷体_GBK"/>
          <w:bCs/>
          <w:sz w:val="32"/>
          <w:szCs w:val="32"/>
        </w:rPr>
        <w:t>（三）公平公正。</w:t>
      </w:r>
      <w:r>
        <w:rPr>
          <w:rFonts w:ascii="Times New Roman" w:hAnsi="Times New Roman" w:eastAsia="方正仿宋_GBK"/>
          <w:sz w:val="32"/>
          <w:szCs w:val="32"/>
        </w:rPr>
        <w:t>统一考核内容，量化考核标准，精准实施考核，公平、公正地评估责任主体的工作绩效。</w:t>
      </w:r>
    </w:p>
    <w:p>
      <w:pPr>
        <w:overflowPunct w:val="0"/>
        <w:autoSpaceDE w:val="0"/>
        <w:autoSpaceDN w:val="0"/>
        <w:adjustRightInd w:val="0"/>
        <w:snapToGrid w:val="0"/>
        <w:spacing w:line="540" w:lineRule="exact"/>
        <w:ind w:firstLine="641"/>
        <w:rPr>
          <w:rFonts w:ascii="Times New Roman" w:hAnsi="Times New Roman" w:eastAsia="方正黑体_GBK"/>
          <w:sz w:val="32"/>
          <w:szCs w:val="32"/>
        </w:rPr>
      </w:pPr>
      <w:r>
        <w:rPr>
          <w:rFonts w:ascii="Times New Roman" w:hAnsi="Times New Roman" w:eastAsia="方正黑体_GBK"/>
          <w:sz w:val="32"/>
          <w:szCs w:val="32"/>
        </w:rPr>
        <w:t>三、考核内容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重点考核社保扩面、缴费基数、基金征收、基金上解等工作质量及任务指标完成情况。</w:t>
      </w:r>
    </w:p>
    <w:p>
      <w:pPr>
        <w:overflowPunct w:val="0"/>
        <w:autoSpaceDE w:val="0"/>
        <w:autoSpaceDN w:val="0"/>
        <w:adjustRightInd w:val="0"/>
        <w:snapToGrid w:val="0"/>
        <w:spacing w:line="570" w:lineRule="exact"/>
        <w:ind w:firstLine="641"/>
        <w:rPr>
          <w:rFonts w:ascii="Times New Roman" w:hAnsi="Times New Roman" w:eastAsia="方正黑体_GBK"/>
          <w:sz w:val="32"/>
          <w:szCs w:val="32"/>
        </w:rPr>
      </w:pPr>
      <w:r>
        <w:rPr>
          <w:rFonts w:ascii="Times New Roman" w:hAnsi="Times New Roman" w:eastAsia="方正黑体_GBK"/>
          <w:sz w:val="32"/>
          <w:szCs w:val="32"/>
        </w:rPr>
        <w:t>四、组织实施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2022年2月底前，市人力资源社会保障局、市财政局、市税务局共同对各辖市、区2021年度企业职工基本养老保险基金收支管理工作情况进行考核，具体按以下步骤进行：</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bCs/>
          <w:sz w:val="32"/>
          <w:szCs w:val="32"/>
        </w:rPr>
        <w:t>（一）自行评定。</w:t>
      </w:r>
      <w:r>
        <w:rPr>
          <w:rFonts w:ascii="Times New Roman" w:hAnsi="Times New Roman" w:eastAsia="方正仿宋_GBK"/>
          <w:sz w:val="32"/>
          <w:szCs w:val="32"/>
        </w:rPr>
        <w:t>2月上旬，各区对照考核实施办法和评估细则进行自评，并上报自评结果。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bCs/>
          <w:sz w:val="32"/>
          <w:szCs w:val="32"/>
        </w:rPr>
        <w:t>（二）数据比对。</w:t>
      </w:r>
      <w:r>
        <w:rPr>
          <w:rFonts w:ascii="Times New Roman" w:hAnsi="Times New Roman" w:eastAsia="方正仿宋_GBK"/>
          <w:sz w:val="32"/>
          <w:szCs w:val="32"/>
        </w:rPr>
        <w:t>运用社会保险信息系统数据、统计部门及相关部门数据、审计结果等进行比对。</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bCs/>
          <w:sz w:val="32"/>
          <w:szCs w:val="32"/>
        </w:rPr>
        <w:t>（三）综合评价。</w:t>
      </w:r>
      <w:r>
        <w:rPr>
          <w:rFonts w:ascii="Times New Roman" w:hAnsi="Times New Roman" w:eastAsia="方正仿宋_GBK"/>
          <w:sz w:val="32"/>
          <w:szCs w:val="32"/>
        </w:rPr>
        <w:t>综合自评情况以及数据比对情况，组织开展核查，对照企业职工基本养老保险统筹考评细则进行综合评分，形成初步考核结果。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bCs/>
          <w:sz w:val="32"/>
          <w:szCs w:val="32"/>
        </w:rPr>
        <w:t>（四）上报结果。</w:t>
      </w:r>
      <w:r>
        <w:rPr>
          <w:rFonts w:ascii="Times New Roman" w:hAnsi="Times New Roman" w:eastAsia="方正仿宋_GBK"/>
          <w:sz w:val="32"/>
          <w:szCs w:val="32"/>
        </w:rPr>
        <w:t>市人力资源社会保障局、市财政局、市税务局将初步考核结果报送市全民参保工作领导小组，领导小组审核确定后报市考核办。</w:t>
      </w:r>
    </w:p>
    <w:p>
      <w:pPr>
        <w:adjustRightInd w:val="0"/>
        <w:snapToGrid w:val="0"/>
        <w:spacing w:line="580" w:lineRule="atLeast"/>
        <w:ind w:firstLine="640" w:firstLineChars="200"/>
        <w:rPr>
          <w:rFonts w:hint="eastAsia" w:ascii="仿宋_GB2312" w:eastAsia="仿宋_GB2312"/>
          <w:sz w:val="32"/>
          <w:szCs w:val="32"/>
        </w:rPr>
      </w:pPr>
    </w:p>
    <w:p>
      <w:pPr>
        <w:adjustRightInd w:val="0"/>
        <w:snapToGrid w:val="0"/>
        <w:spacing w:line="580" w:lineRule="atLeast"/>
        <w:ind w:firstLine="640" w:firstLineChars="200"/>
        <w:rPr>
          <w:rFonts w:hint="eastAsia" w:ascii="仿宋_GB2312" w:eastAsia="仿宋_GB2312"/>
          <w:sz w:val="32"/>
          <w:szCs w:val="32"/>
        </w:rPr>
      </w:pPr>
    </w:p>
    <w:p>
      <w:pPr>
        <w:adjustRightInd w:val="0"/>
        <w:snapToGrid w:val="0"/>
        <w:spacing w:line="360" w:lineRule="exact"/>
        <w:jc w:val="center"/>
        <w:rPr>
          <w:rFonts w:hint="eastAsia" w:ascii="方正小标宋_GBK" w:hAnsi="黑体" w:eastAsia="方正小标宋_GBK"/>
          <w:sz w:val="44"/>
          <w:szCs w:val="44"/>
        </w:rPr>
      </w:pPr>
      <w:r>
        <w:rPr>
          <w:rFonts w:ascii="仿宋_GB2312" w:eastAsia="仿宋_GB2312"/>
          <w:sz w:val="32"/>
          <w:szCs w:val="32"/>
        </w:rPr>
        <w:br w:type="page"/>
      </w:r>
    </w:p>
    <w:p>
      <w:pPr>
        <w:overflowPunct w:val="0"/>
        <w:adjustRightInd w:val="0"/>
        <w:snapToGrid w:val="0"/>
        <w:spacing w:line="53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rPr>
        <w:t>2021年度企业职工基本养老保险基金</w:t>
      </w:r>
    </w:p>
    <w:p>
      <w:pPr>
        <w:overflowPunct w:val="0"/>
        <w:adjustRightInd w:val="0"/>
        <w:snapToGrid w:val="0"/>
        <w:spacing w:before="120" w:line="53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rPr>
        <w:t>收支管理考核细则</w:t>
      </w:r>
    </w:p>
    <w:p>
      <w:pPr>
        <w:overflowPunct w:val="0"/>
        <w:adjustRightInd w:val="0"/>
        <w:snapToGrid w:val="0"/>
        <w:spacing w:line="360" w:lineRule="exact"/>
        <w:jc w:val="center"/>
        <w:rPr>
          <w:rFonts w:hint="eastAsia" w:ascii="方正小标宋_GBK" w:hAnsi="黑体" w:eastAsia="方正小标宋_GBK"/>
          <w:sz w:val="44"/>
          <w:szCs w:val="44"/>
        </w:rPr>
      </w:pPr>
    </w:p>
    <w:tbl>
      <w:tblPr>
        <w:tblStyle w:val="2"/>
        <w:tblW w:w="907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067"/>
        <w:gridCol w:w="1651"/>
        <w:gridCol w:w="721"/>
        <w:gridCol w:w="56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noWrap w:val="0"/>
            <w:vAlign w:val="center"/>
          </w:tcPr>
          <w:p>
            <w:pPr>
              <w:widowControl/>
              <w:spacing w:line="320" w:lineRule="exact"/>
              <w:jc w:val="center"/>
              <w:rPr>
                <w:rFonts w:ascii="Times New Roman" w:hAnsi="Times New Roman" w:eastAsia="方正黑体_GBK"/>
                <w:kern w:val="0"/>
                <w:szCs w:val="21"/>
              </w:rPr>
            </w:pPr>
            <w:r>
              <w:rPr>
                <w:rFonts w:ascii="Times New Roman" w:hAnsi="Times New Roman" w:eastAsia="方正黑体_GBK"/>
                <w:kern w:val="0"/>
                <w:szCs w:val="21"/>
              </w:rPr>
              <w:t>项目</w:t>
            </w:r>
          </w:p>
        </w:tc>
        <w:tc>
          <w:tcPr>
            <w:tcW w:w="1651" w:type="dxa"/>
            <w:noWrap w:val="0"/>
            <w:vAlign w:val="center"/>
          </w:tcPr>
          <w:p>
            <w:pPr>
              <w:widowControl/>
              <w:spacing w:line="320" w:lineRule="exact"/>
              <w:jc w:val="center"/>
              <w:rPr>
                <w:rFonts w:ascii="Times New Roman" w:hAnsi="Times New Roman" w:eastAsia="方正黑体_GBK"/>
                <w:kern w:val="0"/>
                <w:szCs w:val="21"/>
              </w:rPr>
            </w:pPr>
            <w:r>
              <w:rPr>
                <w:rFonts w:ascii="Times New Roman" w:hAnsi="Times New Roman" w:eastAsia="方正黑体_GBK"/>
                <w:kern w:val="0"/>
                <w:szCs w:val="21"/>
              </w:rPr>
              <w:t>子项目</w:t>
            </w:r>
          </w:p>
        </w:tc>
        <w:tc>
          <w:tcPr>
            <w:tcW w:w="721" w:type="dxa"/>
            <w:noWrap w:val="0"/>
            <w:vAlign w:val="center"/>
          </w:tcPr>
          <w:p>
            <w:pPr>
              <w:widowControl/>
              <w:spacing w:line="320" w:lineRule="exact"/>
              <w:jc w:val="center"/>
              <w:rPr>
                <w:rFonts w:ascii="Times New Roman" w:hAnsi="Times New Roman" w:eastAsia="方正黑体_GBK"/>
                <w:kern w:val="0"/>
                <w:szCs w:val="21"/>
              </w:rPr>
            </w:pPr>
            <w:r>
              <w:rPr>
                <w:rFonts w:ascii="Times New Roman" w:hAnsi="Times New Roman" w:eastAsia="方正黑体_GBK"/>
                <w:kern w:val="0"/>
                <w:szCs w:val="21"/>
              </w:rPr>
              <w:t>分值</w:t>
            </w:r>
          </w:p>
        </w:tc>
        <w:tc>
          <w:tcPr>
            <w:tcW w:w="5633" w:type="dxa"/>
            <w:noWrap w:val="0"/>
            <w:vAlign w:val="center"/>
          </w:tcPr>
          <w:p>
            <w:pPr>
              <w:widowControl/>
              <w:spacing w:line="320" w:lineRule="exact"/>
              <w:jc w:val="center"/>
              <w:rPr>
                <w:rFonts w:ascii="Times New Roman" w:hAnsi="Times New Roman" w:eastAsia="方正黑体_GBK"/>
                <w:kern w:val="0"/>
                <w:szCs w:val="21"/>
              </w:rPr>
            </w:pPr>
            <w:r>
              <w:rPr>
                <w:rFonts w:ascii="Times New Roman" w:hAnsi="Times New Roman" w:eastAsia="方正黑体_GBK"/>
                <w:kern w:val="0"/>
                <w:szCs w:val="21"/>
              </w:rPr>
              <w:t>目标要求及评分规则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restart"/>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社保扩面情况</w:t>
            </w: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净增缴费人数</w:t>
            </w:r>
          </w:p>
          <w:p>
            <w:pPr>
              <w:widowControl/>
              <w:spacing w:line="260" w:lineRule="exact"/>
              <w:jc w:val="center"/>
              <w:rPr>
                <w:rFonts w:ascii="Times New Roman" w:hAnsi="Times New Roman"/>
                <w:kern w:val="0"/>
                <w:szCs w:val="21"/>
              </w:rPr>
            </w:pPr>
            <w:r>
              <w:rPr>
                <w:rFonts w:ascii="Times New Roman" w:hAnsi="宋体"/>
                <w:kern w:val="0"/>
                <w:szCs w:val="21"/>
              </w:rPr>
              <w:t>指标完成情况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15</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完成</w:t>
            </w:r>
            <w:r>
              <w:rPr>
                <w:rFonts w:ascii="Times New Roman" w:hAnsi="Times New Roman"/>
                <w:color w:val="000000"/>
                <w:szCs w:val="21"/>
              </w:rPr>
              <w:t>2021</w:t>
            </w:r>
            <w:r>
              <w:rPr>
                <w:rFonts w:ascii="Times New Roman" w:hAnsi="宋体"/>
                <w:color w:val="000000"/>
                <w:szCs w:val="21"/>
              </w:rPr>
              <w:t>年辖市区人力资源和社会保障事业发展计划中净增缴费人数指标的，得</w:t>
            </w:r>
            <w:r>
              <w:rPr>
                <w:rFonts w:ascii="Times New Roman" w:hAnsi="Times New Roman"/>
                <w:color w:val="000000"/>
                <w:szCs w:val="21"/>
              </w:rPr>
              <w:t>15</w:t>
            </w:r>
            <w:r>
              <w:rPr>
                <w:rFonts w:ascii="Times New Roman" w:hAnsi="宋体"/>
                <w:color w:val="000000"/>
                <w:szCs w:val="21"/>
              </w:rPr>
              <w:t>分；低于的，每低</w:t>
            </w:r>
            <w:r>
              <w:rPr>
                <w:rFonts w:ascii="Times New Roman" w:hAnsi="Times New Roman"/>
                <w:color w:val="000000"/>
                <w:szCs w:val="21"/>
              </w:rPr>
              <w:t>1</w:t>
            </w:r>
            <w:r>
              <w:rPr>
                <w:rFonts w:ascii="Times New Roman" w:hAnsi="宋体"/>
                <w:color w:val="000000"/>
                <w:szCs w:val="21"/>
              </w:rPr>
              <w:t>个百分点扣</w:t>
            </w:r>
            <w:r>
              <w:rPr>
                <w:rFonts w:ascii="Times New Roman" w:hAnsi="Times New Roman"/>
                <w:color w:val="000000"/>
                <w:szCs w:val="21"/>
              </w:rPr>
              <w:t>0.5</w:t>
            </w:r>
            <w:r>
              <w:rPr>
                <w:rFonts w:ascii="Times New Roman" w:hAnsi="宋体"/>
                <w:color w:val="000000"/>
                <w:szCs w:val="21"/>
              </w:rPr>
              <w:t>分，扣完为止；高于的，每高</w:t>
            </w:r>
            <w:r>
              <w:rPr>
                <w:rFonts w:ascii="Times New Roman" w:hAnsi="Times New Roman"/>
                <w:color w:val="000000"/>
                <w:szCs w:val="21"/>
              </w:rPr>
              <w:t>1</w:t>
            </w:r>
            <w:r>
              <w:rPr>
                <w:rFonts w:ascii="Times New Roman" w:hAnsi="宋体"/>
                <w:color w:val="000000"/>
                <w:szCs w:val="21"/>
              </w:rPr>
              <w:t>个百分点加</w:t>
            </w:r>
            <w:r>
              <w:rPr>
                <w:rFonts w:ascii="Times New Roman" w:hAnsi="Times New Roman"/>
                <w:color w:val="000000"/>
                <w:szCs w:val="21"/>
              </w:rPr>
              <w:t>0.5</w:t>
            </w:r>
            <w:r>
              <w:rPr>
                <w:rFonts w:ascii="Times New Roman" w:hAnsi="宋体"/>
                <w:color w:val="000000"/>
                <w:szCs w:val="21"/>
              </w:rPr>
              <w:t>分，最多加</w:t>
            </w:r>
            <w:r>
              <w:rPr>
                <w:rFonts w:ascii="Times New Roman" w:hAnsi="Times New Roman"/>
                <w:color w:val="000000"/>
                <w:szCs w:val="21"/>
              </w:rPr>
              <w:t>5</w:t>
            </w:r>
            <w:r>
              <w:rPr>
                <w:rFonts w:ascii="Times New Roman" w:hAnsi="宋体"/>
                <w:color w:val="000000"/>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灵活就业人员</w:t>
            </w:r>
          </w:p>
          <w:p>
            <w:pPr>
              <w:widowControl/>
              <w:spacing w:line="260" w:lineRule="exact"/>
              <w:jc w:val="center"/>
              <w:rPr>
                <w:rFonts w:ascii="Times New Roman" w:hAnsi="Times New Roman"/>
                <w:kern w:val="0"/>
                <w:szCs w:val="21"/>
              </w:rPr>
            </w:pPr>
            <w:r>
              <w:rPr>
                <w:rFonts w:ascii="Times New Roman" w:hAnsi="宋体"/>
                <w:kern w:val="0"/>
                <w:szCs w:val="21"/>
              </w:rPr>
              <w:t>参保情况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5</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当地灵活就业人员参保人数与当地全部参保人数占比不超过全市中位数水平的，得</w:t>
            </w:r>
            <w:r>
              <w:rPr>
                <w:rFonts w:ascii="Times New Roman" w:hAnsi="Times New Roman"/>
                <w:color w:val="000000"/>
                <w:szCs w:val="21"/>
              </w:rPr>
              <w:t>5</w:t>
            </w:r>
            <w:r>
              <w:rPr>
                <w:rFonts w:ascii="Times New Roman" w:hAnsi="宋体"/>
                <w:color w:val="000000"/>
                <w:szCs w:val="21"/>
              </w:rPr>
              <w:t>分；每超过</w:t>
            </w:r>
            <w:r>
              <w:rPr>
                <w:rFonts w:ascii="Times New Roman" w:hAnsi="Times New Roman"/>
                <w:color w:val="000000"/>
                <w:szCs w:val="21"/>
              </w:rPr>
              <w:t>1</w:t>
            </w:r>
            <w:r>
              <w:rPr>
                <w:rFonts w:ascii="Times New Roman" w:hAnsi="宋体"/>
                <w:color w:val="000000"/>
                <w:szCs w:val="21"/>
              </w:rPr>
              <w:t>个百分点的，扣</w:t>
            </w:r>
            <w:r>
              <w:rPr>
                <w:rFonts w:ascii="Times New Roman" w:hAnsi="Times New Roman"/>
                <w:color w:val="000000"/>
                <w:szCs w:val="21"/>
              </w:rPr>
              <w:t>0.5</w:t>
            </w:r>
            <w:r>
              <w:rPr>
                <w:rFonts w:ascii="Times New Roman" w:hAnsi="宋体"/>
                <w:color w:val="000000"/>
                <w:szCs w:val="21"/>
              </w:rPr>
              <w:t>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restart"/>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缴费基数情况</w:t>
            </w: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执行缴费基数</w:t>
            </w:r>
          </w:p>
          <w:p>
            <w:pPr>
              <w:widowControl/>
              <w:spacing w:line="260" w:lineRule="exact"/>
              <w:jc w:val="center"/>
              <w:rPr>
                <w:rFonts w:ascii="Times New Roman" w:hAnsi="Times New Roman"/>
                <w:kern w:val="0"/>
                <w:szCs w:val="21"/>
              </w:rPr>
            </w:pPr>
            <w:r>
              <w:rPr>
                <w:rFonts w:ascii="Times New Roman" w:hAnsi="宋体"/>
                <w:kern w:val="0"/>
                <w:szCs w:val="21"/>
              </w:rPr>
              <w:t>上下限情况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严格执行省规定的缴费基数上下限的，得</w:t>
            </w:r>
            <w:r>
              <w:rPr>
                <w:rFonts w:ascii="Times New Roman" w:hAnsi="Times New Roman"/>
                <w:color w:val="000000"/>
                <w:szCs w:val="21"/>
              </w:rPr>
              <w:t>5</w:t>
            </w:r>
            <w:r>
              <w:rPr>
                <w:rFonts w:ascii="Times New Roman" w:hAnsi="宋体"/>
                <w:color w:val="000000"/>
                <w:szCs w:val="21"/>
              </w:rPr>
              <w:t>分，否则不得分；按规全面开展</w:t>
            </w:r>
            <w:r>
              <w:rPr>
                <w:rFonts w:ascii="Times New Roman" w:hAnsi="Times New Roman"/>
                <w:color w:val="000000"/>
                <w:szCs w:val="21"/>
              </w:rPr>
              <w:t>2021</w:t>
            </w:r>
            <w:r>
              <w:rPr>
                <w:rFonts w:ascii="Times New Roman" w:hAnsi="宋体"/>
                <w:color w:val="000000"/>
                <w:szCs w:val="21"/>
              </w:rPr>
              <w:t>年度社保缴费基数申报工作的，得</w:t>
            </w:r>
            <w:r>
              <w:rPr>
                <w:rFonts w:ascii="Times New Roman" w:hAnsi="Times New Roman"/>
                <w:color w:val="000000"/>
                <w:szCs w:val="21"/>
              </w:rPr>
              <w:t>5</w:t>
            </w:r>
            <w:r>
              <w:rPr>
                <w:rFonts w:ascii="Times New Roman" w:hAnsi="宋体"/>
                <w:color w:val="000000"/>
                <w:szCs w:val="21"/>
              </w:rPr>
              <w:t>分，否则不得分。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adjustRightInd w:val="0"/>
              <w:snapToGrid w:val="0"/>
              <w:spacing w:line="260" w:lineRule="exact"/>
              <w:ind w:left="-105" w:leftChars="-50" w:right="-105" w:rightChars="-50"/>
              <w:jc w:val="center"/>
              <w:rPr>
                <w:rFonts w:ascii="Times New Roman" w:hAnsi="宋体"/>
                <w:kern w:val="0"/>
                <w:szCs w:val="21"/>
              </w:rPr>
            </w:pPr>
            <w:r>
              <w:rPr>
                <w:rFonts w:ascii="Times New Roman" w:hAnsi="宋体"/>
                <w:kern w:val="0"/>
                <w:szCs w:val="21"/>
              </w:rPr>
              <w:t>按基数下限缴费人数占比情况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参保单位中按基数下限缴费人数占比不超过全市中位数水平的，得</w:t>
            </w:r>
            <w:r>
              <w:rPr>
                <w:rFonts w:ascii="Times New Roman" w:hAnsi="Times New Roman"/>
                <w:color w:val="000000"/>
                <w:szCs w:val="21"/>
              </w:rPr>
              <w:t>10</w:t>
            </w:r>
            <w:r>
              <w:rPr>
                <w:rFonts w:ascii="Times New Roman" w:hAnsi="宋体"/>
                <w:color w:val="000000"/>
                <w:szCs w:val="21"/>
              </w:rPr>
              <w:t>分；每超过</w:t>
            </w:r>
            <w:r>
              <w:rPr>
                <w:rFonts w:ascii="Times New Roman" w:hAnsi="Times New Roman"/>
                <w:color w:val="000000"/>
                <w:szCs w:val="21"/>
              </w:rPr>
              <w:t>1</w:t>
            </w:r>
            <w:r>
              <w:rPr>
                <w:rFonts w:ascii="Times New Roman" w:hAnsi="宋体"/>
                <w:color w:val="000000"/>
                <w:szCs w:val="21"/>
              </w:rPr>
              <w:t>个百分点的，扣</w:t>
            </w:r>
            <w:r>
              <w:rPr>
                <w:rFonts w:ascii="Times New Roman" w:hAnsi="Times New Roman"/>
                <w:color w:val="000000"/>
                <w:szCs w:val="21"/>
              </w:rPr>
              <w:t>0.5</w:t>
            </w:r>
            <w:r>
              <w:rPr>
                <w:rFonts w:ascii="Times New Roman" w:hAnsi="宋体"/>
                <w:color w:val="000000"/>
                <w:szCs w:val="21"/>
              </w:rPr>
              <w:t>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缴费基数</w:t>
            </w:r>
          </w:p>
          <w:p>
            <w:pPr>
              <w:widowControl/>
              <w:spacing w:line="260" w:lineRule="exact"/>
              <w:jc w:val="center"/>
              <w:rPr>
                <w:rFonts w:ascii="Times New Roman" w:hAnsi="Times New Roman"/>
                <w:kern w:val="0"/>
                <w:szCs w:val="21"/>
              </w:rPr>
            </w:pPr>
            <w:r>
              <w:rPr>
                <w:rFonts w:ascii="Times New Roman" w:hAnsi="宋体"/>
                <w:kern w:val="0"/>
                <w:szCs w:val="21"/>
              </w:rPr>
              <w:t>增幅情况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参保单位人均缴费基数较上年增幅水平达到全市中位数水平的，得</w:t>
            </w:r>
            <w:r>
              <w:rPr>
                <w:rFonts w:ascii="Times New Roman" w:hAnsi="Times New Roman"/>
                <w:color w:val="000000"/>
                <w:szCs w:val="21"/>
              </w:rPr>
              <w:t>10</w:t>
            </w:r>
            <w:r>
              <w:rPr>
                <w:rFonts w:ascii="Times New Roman" w:hAnsi="宋体"/>
                <w:color w:val="000000"/>
                <w:szCs w:val="21"/>
              </w:rPr>
              <w:t>分；低于的，每低</w:t>
            </w:r>
            <w:r>
              <w:rPr>
                <w:rFonts w:ascii="Times New Roman" w:hAnsi="Times New Roman"/>
                <w:color w:val="000000"/>
                <w:szCs w:val="21"/>
              </w:rPr>
              <w:t>1</w:t>
            </w:r>
            <w:r>
              <w:rPr>
                <w:rFonts w:ascii="Times New Roman" w:hAnsi="宋体"/>
                <w:color w:val="000000"/>
                <w:szCs w:val="21"/>
              </w:rPr>
              <w:t>个百分点扣</w:t>
            </w:r>
            <w:r>
              <w:rPr>
                <w:rFonts w:ascii="Times New Roman" w:hAnsi="Times New Roman"/>
                <w:color w:val="000000"/>
                <w:szCs w:val="21"/>
              </w:rPr>
              <w:t>0.5</w:t>
            </w:r>
            <w:r>
              <w:rPr>
                <w:rFonts w:ascii="Times New Roman" w:hAnsi="宋体"/>
                <w:color w:val="000000"/>
                <w:szCs w:val="21"/>
              </w:rPr>
              <w:t>分，扣完为止；高于的，每高</w:t>
            </w:r>
            <w:r>
              <w:rPr>
                <w:rFonts w:ascii="Times New Roman" w:hAnsi="Times New Roman"/>
                <w:color w:val="000000"/>
                <w:szCs w:val="21"/>
              </w:rPr>
              <w:t>1</w:t>
            </w:r>
            <w:r>
              <w:rPr>
                <w:rFonts w:ascii="Times New Roman" w:hAnsi="宋体"/>
                <w:color w:val="000000"/>
                <w:szCs w:val="21"/>
              </w:rPr>
              <w:t>个百分点加</w:t>
            </w:r>
            <w:r>
              <w:rPr>
                <w:rFonts w:ascii="Times New Roman" w:hAnsi="Times New Roman"/>
                <w:color w:val="000000"/>
                <w:szCs w:val="21"/>
              </w:rPr>
              <w:t>0.5</w:t>
            </w:r>
            <w:r>
              <w:rPr>
                <w:rFonts w:ascii="Times New Roman" w:hAnsi="宋体"/>
                <w:color w:val="000000"/>
                <w:szCs w:val="21"/>
              </w:rPr>
              <w:t>分，最多加</w:t>
            </w:r>
            <w:r>
              <w:rPr>
                <w:rFonts w:ascii="Times New Roman" w:hAnsi="Times New Roman"/>
                <w:color w:val="000000"/>
                <w:szCs w:val="21"/>
              </w:rPr>
              <w:t>3</w:t>
            </w:r>
            <w:r>
              <w:rPr>
                <w:rFonts w:ascii="Times New Roman" w:hAnsi="宋体"/>
                <w:color w:val="000000"/>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基金征收情况</w:t>
            </w:r>
          </w:p>
        </w:tc>
        <w:tc>
          <w:tcPr>
            <w:tcW w:w="1651" w:type="dxa"/>
            <w:noWrap w:val="0"/>
            <w:vAlign w:val="center"/>
          </w:tcPr>
          <w:p>
            <w:pPr>
              <w:widowControl/>
              <w:adjustRightInd w:val="0"/>
              <w:snapToGrid w:val="0"/>
              <w:spacing w:line="260" w:lineRule="exact"/>
              <w:ind w:left="-105" w:leftChars="-50" w:right="-105" w:rightChars="-50"/>
              <w:jc w:val="center"/>
              <w:rPr>
                <w:rFonts w:ascii="Times New Roman" w:hAnsi="Times New Roman"/>
                <w:kern w:val="0"/>
                <w:szCs w:val="21"/>
              </w:rPr>
            </w:pPr>
            <w:r>
              <w:rPr>
                <w:rFonts w:ascii="Times New Roman" w:hAnsi="宋体"/>
                <w:kern w:val="0"/>
                <w:szCs w:val="21"/>
              </w:rPr>
              <w:t>基金预算征</w:t>
            </w:r>
          </w:p>
          <w:p>
            <w:pPr>
              <w:widowControl/>
              <w:adjustRightInd w:val="0"/>
              <w:snapToGrid w:val="0"/>
              <w:spacing w:line="260" w:lineRule="exact"/>
              <w:ind w:left="-105" w:leftChars="-50" w:right="-105" w:rightChars="-50"/>
              <w:jc w:val="center"/>
              <w:rPr>
                <w:rFonts w:ascii="Times New Roman" w:hAnsi="Times New Roman"/>
                <w:kern w:val="0"/>
                <w:szCs w:val="21"/>
              </w:rPr>
            </w:pPr>
            <w:r>
              <w:rPr>
                <w:rFonts w:ascii="Times New Roman" w:hAnsi="宋体"/>
                <w:kern w:val="0"/>
                <w:szCs w:val="21"/>
              </w:rPr>
              <w:t>缴收入执行情况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25</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完成年度基金征缴收入预算的，得</w:t>
            </w:r>
            <w:r>
              <w:rPr>
                <w:rFonts w:ascii="Times New Roman" w:hAnsi="Times New Roman"/>
                <w:color w:val="000000"/>
                <w:szCs w:val="21"/>
              </w:rPr>
              <w:t>25</w:t>
            </w:r>
            <w:r>
              <w:rPr>
                <w:rFonts w:ascii="Times New Roman" w:hAnsi="宋体"/>
                <w:color w:val="000000"/>
                <w:szCs w:val="21"/>
              </w:rPr>
              <w:t>分；未完成的，每低</w:t>
            </w:r>
            <w:r>
              <w:rPr>
                <w:rFonts w:ascii="Times New Roman" w:hAnsi="Times New Roman"/>
                <w:color w:val="000000"/>
                <w:szCs w:val="21"/>
              </w:rPr>
              <w:t>1</w:t>
            </w:r>
            <w:r>
              <w:rPr>
                <w:rFonts w:ascii="Times New Roman" w:hAnsi="宋体"/>
                <w:color w:val="000000"/>
                <w:szCs w:val="21"/>
              </w:rPr>
              <w:t>个百分点扣</w:t>
            </w:r>
            <w:r>
              <w:rPr>
                <w:rFonts w:ascii="Times New Roman" w:hAnsi="Times New Roman"/>
                <w:color w:val="000000"/>
                <w:szCs w:val="21"/>
              </w:rPr>
              <w:t>1</w:t>
            </w:r>
            <w:r>
              <w:rPr>
                <w:rFonts w:ascii="Times New Roman" w:hAnsi="宋体"/>
                <w:color w:val="000000"/>
                <w:szCs w:val="21"/>
              </w:rPr>
              <w:t>分，扣完为止；超额完成的，每高</w:t>
            </w:r>
            <w:r>
              <w:rPr>
                <w:rFonts w:ascii="Times New Roman" w:hAnsi="Times New Roman"/>
                <w:color w:val="000000"/>
                <w:szCs w:val="21"/>
              </w:rPr>
              <w:t>1</w:t>
            </w:r>
            <w:r>
              <w:rPr>
                <w:rFonts w:ascii="Times New Roman" w:hAnsi="宋体"/>
                <w:color w:val="000000"/>
                <w:szCs w:val="21"/>
              </w:rPr>
              <w:t>个百分点加</w:t>
            </w:r>
            <w:r>
              <w:rPr>
                <w:rFonts w:ascii="Times New Roman" w:hAnsi="Times New Roman"/>
                <w:color w:val="000000"/>
                <w:szCs w:val="21"/>
              </w:rPr>
              <w:t>1</w:t>
            </w:r>
            <w:r>
              <w:rPr>
                <w:rFonts w:ascii="Times New Roman" w:hAnsi="宋体"/>
                <w:color w:val="000000"/>
                <w:szCs w:val="21"/>
              </w:rPr>
              <w:t>分，最多加</w:t>
            </w:r>
            <w:r>
              <w:rPr>
                <w:rFonts w:ascii="Times New Roman" w:hAnsi="Times New Roman"/>
                <w:color w:val="000000"/>
                <w:szCs w:val="21"/>
              </w:rPr>
              <w:t>3</w:t>
            </w:r>
            <w:r>
              <w:rPr>
                <w:rFonts w:ascii="Times New Roman" w:hAnsi="宋体"/>
                <w:color w:val="000000"/>
                <w:szCs w:val="21"/>
              </w:rPr>
              <w:t>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restart"/>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政策执行情况</w:t>
            </w: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退休审批政策</w:t>
            </w:r>
          </w:p>
          <w:p>
            <w:pPr>
              <w:widowControl/>
              <w:spacing w:line="260" w:lineRule="exact"/>
              <w:jc w:val="center"/>
              <w:rPr>
                <w:rFonts w:ascii="Times New Roman" w:hAnsi="Times New Roman"/>
                <w:kern w:val="0"/>
                <w:szCs w:val="21"/>
              </w:rPr>
            </w:pPr>
            <w:r>
              <w:rPr>
                <w:rFonts w:ascii="Times New Roman" w:hAnsi="宋体"/>
                <w:kern w:val="0"/>
                <w:szCs w:val="21"/>
              </w:rPr>
              <w:t>执行情况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严格执行国家和省退休年龄规定的，得</w:t>
            </w:r>
            <w:r>
              <w:rPr>
                <w:rFonts w:ascii="Times New Roman" w:hAnsi="Times New Roman"/>
                <w:color w:val="000000"/>
                <w:szCs w:val="21"/>
              </w:rPr>
              <w:t>2</w:t>
            </w:r>
            <w:r>
              <w:rPr>
                <w:rFonts w:ascii="Times New Roman" w:hAnsi="宋体"/>
                <w:color w:val="000000"/>
                <w:szCs w:val="21"/>
              </w:rPr>
              <w:t>分，否则不得分。严格执行国家和省因病或非因工致残完全丧失劳动能力退休（退职）审批规定的，得</w:t>
            </w:r>
            <w:r>
              <w:rPr>
                <w:rFonts w:ascii="Times New Roman" w:hAnsi="Times New Roman"/>
                <w:color w:val="000000"/>
                <w:szCs w:val="21"/>
              </w:rPr>
              <w:t>4</w:t>
            </w:r>
            <w:r>
              <w:rPr>
                <w:rFonts w:ascii="Times New Roman" w:hAnsi="宋体"/>
                <w:color w:val="000000"/>
                <w:szCs w:val="21"/>
              </w:rPr>
              <w:t>分，对于违规办理的，每发现一起扣</w:t>
            </w:r>
            <w:r>
              <w:rPr>
                <w:rFonts w:ascii="Times New Roman" w:hAnsi="Times New Roman"/>
                <w:color w:val="000000"/>
                <w:szCs w:val="21"/>
              </w:rPr>
              <w:t>1</w:t>
            </w:r>
            <w:r>
              <w:rPr>
                <w:rFonts w:ascii="Times New Roman" w:hAnsi="宋体"/>
                <w:color w:val="000000"/>
                <w:szCs w:val="21"/>
              </w:rPr>
              <w:t>分，扣完为止。严格执行国家和省特殊工种提前退休审批规定的，得</w:t>
            </w:r>
            <w:r>
              <w:rPr>
                <w:rFonts w:ascii="Times New Roman" w:hAnsi="Times New Roman"/>
                <w:color w:val="000000"/>
                <w:szCs w:val="21"/>
              </w:rPr>
              <w:t>4</w:t>
            </w:r>
            <w:r>
              <w:rPr>
                <w:rFonts w:ascii="Times New Roman" w:hAnsi="宋体"/>
                <w:color w:val="000000"/>
                <w:szCs w:val="21"/>
              </w:rPr>
              <w:t>分，对于违规办理的，每发现一起扣</w:t>
            </w:r>
            <w:r>
              <w:rPr>
                <w:rFonts w:ascii="Times New Roman" w:hAnsi="Times New Roman"/>
                <w:color w:val="000000"/>
                <w:szCs w:val="21"/>
              </w:rPr>
              <w:t>1</w:t>
            </w:r>
            <w:r>
              <w:rPr>
                <w:rFonts w:ascii="Times New Roman" w:hAnsi="宋体"/>
                <w:color w:val="000000"/>
                <w:szCs w:val="21"/>
              </w:rPr>
              <w:t>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补缴政策</w:t>
            </w:r>
          </w:p>
          <w:p>
            <w:pPr>
              <w:widowControl/>
              <w:spacing w:line="260" w:lineRule="exact"/>
              <w:jc w:val="center"/>
              <w:rPr>
                <w:rFonts w:ascii="Times New Roman" w:hAnsi="Times New Roman"/>
                <w:kern w:val="0"/>
                <w:szCs w:val="21"/>
              </w:rPr>
            </w:pPr>
            <w:r>
              <w:rPr>
                <w:rFonts w:ascii="Times New Roman" w:hAnsi="宋体"/>
                <w:kern w:val="0"/>
                <w:szCs w:val="21"/>
              </w:rPr>
              <w:t>执行情况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严格执行国家和省规定的补缴政策的，得</w:t>
            </w:r>
            <w:r>
              <w:rPr>
                <w:rFonts w:ascii="Times New Roman" w:hAnsi="Times New Roman"/>
                <w:color w:val="000000"/>
                <w:szCs w:val="21"/>
              </w:rPr>
              <w:t>10</w:t>
            </w:r>
            <w:r>
              <w:rPr>
                <w:rFonts w:ascii="Times New Roman" w:hAnsi="宋体"/>
                <w:color w:val="000000"/>
                <w:szCs w:val="21"/>
              </w:rPr>
              <w:t>分，</w:t>
            </w:r>
            <w:r>
              <w:rPr>
                <w:rFonts w:ascii="Times New Roman" w:hAnsi="Times New Roman"/>
                <w:color w:val="000000"/>
                <w:szCs w:val="21"/>
              </w:rPr>
              <w:t>2021</w:t>
            </w:r>
            <w:r>
              <w:rPr>
                <w:rFonts w:ascii="Times New Roman" w:hAnsi="宋体"/>
                <w:color w:val="000000"/>
                <w:szCs w:val="21"/>
              </w:rPr>
              <w:t>年度新增违规补缴的，每发现</w:t>
            </w:r>
            <w:r>
              <w:rPr>
                <w:rFonts w:ascii="Times New Roman" w:hAnsi="Times New Roman"/>
                <w:color w:val="000000"/>
                <w:szCs w:val="21"/>
              </w:rPr>
              <w:t>1</w:t>
            </w:r>
            <w:r>
              <w:rPr>
                <w:rFonts w:ascii="Times New Roman" w:hAnsi="宋体"/>
                <w:color w:val="000000"/>
                <w:szCs w:val="21"/>
              </w:rPr>
              <w:t>人扣</w:t>
            </w:r>
            <w:r>
              <w:rPr>
                <w:rFonts w:ascii="Times New Roman" w:hAnsi="Times New Roman"/>
                <w:szCs w:val="21"/>
              </w:rPr>
              <w:t>0.5</w:t>
            </w:r>
            <w:r>
              <w:rPr>
                <w:rFonts w:ascii="Times New Roman" w:hAnsi="宋体"/>
                <w:szCs w:val="21"/>
              </w:rPr>
              <w:t>分</w:t>
            </w:r>
            <w:r>
              <w:rPr>
                <w:rFonts w:ascii="Times New Roman" w:hAnsi="宋体"/>
                <w:color w:val="000000"/>
                <w:szCs w:val="21"/>
              </w:rPr>
              <w:t>，扣完为止。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支付政策</w:t>
            </w:r>
          </w:p>
          <w:p>
            <w:pPr>
              <w:widowControl/>
              <w:spacing w:line="260" w:lineRule="exact"/>
              <w:jc w:val="center"/>
              <w:rPr>
                <w:rFonts w:ascii="Times New Roman" w:hAnsi="Times New Roman"/>
                <w:kern w:val="0"/>
                <w:szCs w:val="21"/>
              </w:rPr>
            </w:pPr>
            <w:r>
              <w:rPr>
                <w:rFonts w:ascii="Times New Roman" w:hAnsi="宋体"/>
                <w:kern w:val="0"/>
                <w:szCs w:val="21"/>
              </w:rPr>
              <w:t>执行情况</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5</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严格执行国家和省规定的养老金支付政策的，得</w:t>
            </w:r>
            <w:r>
              <w:rPr>
                <w:rFonts w:ascii="Times New Roman" w:hAnsi="Times New Roman"/>
                <w:color w:val="000000"/>
                <w:szCs w:val="21"/>
              </w:rPr>
              <w:t>5</w:t>
            </w:r>
            <w:r>
              <w:rPr>
                <w:rFonts w:ascii="Times New Roman" w:hAnsi="宋体"/>
                <w:color w:val="000000"/>
                <w:szCs w:val="21"/>
              </w:rPr>
              <w:t>分。违规在基金中支付的，发现一项扣</w:t>
            </w:r>
            <w:r>
              <w:rPr>
                <w:rFonts w:ascii="Times New Roman" w:hAnsi="Times New Roman"/>
                <w:color w:val="000000"/>
                <w:szCs w:val="21"/>
              </w:rPr>
              <w:t>1</w:t>
            </w:r>
            <w:r>
              <w:rPr>
                <w:rFonts w:ascii="Times New Roman" w:hAnsi="宋体"/>
                <w:color w:val="000000"/>
                <w:szCs w:val="21"/>
              </w:rPr>
              <w:t>分，扣完为止。</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restart"/>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基金上解</w:t>
            </w:r>
          </w:p>
          <w:p>
            <w:pPr>
              <w:widowControl/>
              <w:spacing w:line="260" w:lineRule="exact"/>
              <w:jc w:val="center"/>
              <w:rPr>
                <w:rFonts w:ascii="Times New Roman" w:hAnsi="Times New Roman"/>
                <w:kern w:val="0"/>
                <w:szCs w:val="21"/>
              </w:rPr>
            </w:pPr>
            <w:r>
              <w:rPr>
                <w:rFonts w:ascii="Times New Roman" w:hAnsi="宋体"/>
                <w:kern w:val="0"/>
                <w:szCs w:val="21"/>
              </w:rPr>
              <w:t>情况</w:t>
            </w:r>
          </w:p>
          <w:p>
            <w:pPr>
              <w:widowControl/>
              <w:spacing w:line="260" w:lineRule="exact"/>
              <w:ind w:left="-113" w:right="-113" w:hanging="35"/>
              <w:jc w:val="center"/>
              <w:rPr>
                <w:rFonts w:ascii="Times New Roman" w:hAnsi="Times New Roman"/>
                <w:kern w:val="0"/>
                <w:szCs w:val="21"/>
              </w:rPr>
            </w:pPr>
            <w:r>
              <w:rPr>
                <w:rFonts w:ascii="Times New Roman" w:hAnsi="宋体"/>
                <w:kern w:val="0"/>
                <w:szCs w:val="21"/>
              </w:rPr>
              <w:t>（</w:t>
            </w:r>
            <w:r>
              <w:rPr>
                <w:rFonts w:ascii="Times New Roman" w:hAnsi="宋体"/>
                <w:snapToGrid w:val="0"/>
                <w:spacing w:val="-8"/>
                <w:kern w:val="0"/>
                <w:szCs w:val="21"/>
              </w:rPr>
              <w:t>加减分项）</w:t>
            </w: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累计结余上解</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hint="eastAsia" w:ascii="Times New Roman" w:hAnsi="Times New Roman"/>
                <w:color w:val="000000"/>
                <w:szCs w:val="21"/>
              </w:rPr>
            </w:pPr>
            <w:r>
              <w:rPr>
                <w:rFonts w:ascii="Times New Roman" w:hAnsi="宋体"/>
                <w:color w:val="000000"/>
                <w:szCs w:val="21"/>
              </w:rPr>
              <w:t>按照省、市上解企业养老基金文件规定，按时足额上解本地累计结余、本地收入缺口资金等的，每</w:t>
            </w:r>
            <w:r>
              <w:rPr>
                <w:rFonts w:ascii="Times New Roman" w:hAnsi="Times New Roman"/>
                <w:color w:val="000000"/>
                <w:szCs w:val="21"/>
              </w:rPr>
              <w:t>1</w:t>
            </w:r>
            <w:r>
              <w:rPr>
                <w:rFonts w:ascii="Times New Roman" w:hAnsi="宋体"/>
                <w:color w:val="000000"/>
                <w:szCs w:val="21"/>
              </w:rPr>
              <w:t>次加</w:t>
            </w:r>
            <w:r>
              <w:rPr>
                <w:rFonts w:ascii="Times New Roman" w:hAnsi="Times New Roman"/>
                <w:color w:val="000000"/>
                <w:szCs w:val="21"/>
              </w:rPr>
              <w:t>1</w:t>
            </w:r>
            <w:r>
              <w:rPr>
                <w:rFonts w:ascii="Times New Roman" w:hAnsi="宋体"/>
                <w:color w:val="000000"/>
                <w:szCs w:val="21"/>
              </w:rPr>
              <w:t>分，晚</w:t>
            </w:r>
            <w:r>
              <w:rPr>
                <w:rFonts w:ascii="Times New Roman" w:hAnsi="Times New Roman"/>
                <w:color w:val="000000"/>
                <w:szCs w:val="21"/>
              </w:rPr>
              <w:t>1</w:t>
            </w:r>
            <w:r>
              <w:rPr>
                <w:rFonts w:ascii="Times New Roman" w:hAnsi="宋体"/>
                <w:color w:val="000000"/>
                <w:szCs w:val="21"/>
              </w:rPr>
              <w:t>天扣</w:t>
            </w:r>
            <w:r>
              <w:rPr>
                <w:rFonts w:ascii="Times New Roman" w:hAnsi="Times New Roman"/>
                <w:color w:val="000000"/>
                <w:szCs w:val="21"/>
              </w:rPr>
              <w:t>0.1</w:t>
            </w:r>
            <w:r>
              <w:rPr>
                <w:rFonts w:ascii="Times New Roman" w:hAnsi="宋体"/>
                <w:color w:val="000000"/>
                <w:szCs w:val="21"/>
              </w:rPr>
              <w:t>分。</w:t>
            </w:r>
          </w:p>
          <w:p>
            <w:pPr>
              <w:spacing w:line="260" w:lineRule="exact"/>
              <w:rPr>
                <w:rFonts w:ascii="Times New Roman" w:hAnsi="Times New Roman"/>
                <w:color w:val="000000"/>
                <w:szCs w:val="21"/>
              </w:rPr>
            </w:pPr>
            <w:r>
              <w:rPr>
                <w:rFonts w:ascii="Times New Roman" w:hAnsi="宋体"/>
                <w:color w:val="000000"/>
                <w:szCs w:val="21"/>
              </w:rPr>
              <w:t>按省规定按季足额上解本地转移、利息、其他项目等收入的，每</w:t>
            </w:r>
            <w:r>
              <w:rPr>
                <w:rFonts w:ascii="Times New Roman" w:hAnsi="Times New Roman"/>
                <w:color w:val="000000"/>
                <w:szCs w:val="21"/>
              </w:rPr>
              <w:t>1</w:t>
            </w:r>
            <w:r>
              <w:rPr>
                <w:rFonts w:ascii="Times New Roman" w:hAnsi="宋体"/>
                <w:color w:val="000000"/>
                <w:szCs w:val="21"/>
              </w:rPr>
              <w:t>次得</w:t>
            </w:r>
            <w:r>
              <w:rPr>
                <w:rFonts w:ascii="Times New Roman" w:hAnsi="Times New Roman"/>
                <w:color w:val="000000"/>
                <w:szCs w:val="21"/>
              </w:rPr>
              <w:t>0.2</w:t>
            </w:r>
            <w:r>
              <w:rPr>
                <w:rFonts w:ascii="Times New Roman" w:hAnsi="宋体"/>
                <w:color w:val="000000"/>
                <w:szCs w:val="21"/>
              </w:rPr>
              <w:t>分，否则不得分。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atLeast"/>
          <w:jc w:val="center"/>
        </w:trPr>
        <w:tc>
          <w:tcPr>
            <w:tcW w:w="1067" w:type="dxa"/>
            <w:vMerge w:val="continue"/>
            <w:noWrap w:val="0"/>
            <w:vAlign w:val="center"/>
          </w:tcPr>
          <w:p>
            <w:pPr>
              <w:widowControl/>
              <w:spacing w:line="260" w:lineRule="exact"/>
              <w:jc w:val="center"/>
              <w:rPr>
                <w:rFonts w:ascii="Times New Roman" w:hAnsi="Times New Roman"/>
                <w:kern w:val="0"/>
                <w:szCs w:val="21"/>
              </w:rPr>
            </w:pPr>
          </w:p>
        </w:tc>
        <w:tc>
          <w:tcPr>
            <w:tcW w:w="1651" w:type="dxa"/>
            <w:noWrap w:val="0"/>
            <w:vAlign w:val="center"/>
          </w:tcPr>
          <w:p>
            <w:pPr>
              <w:widowControl/>
              <w:spacing w:line="260" w:lineRule="exact"/>
              <w:jc w:val="center"/>
              <w:rPr>
                <w:rFonts w:ascii="Times New Roman" w:hAnsi="Times New Roman"/>
                <w:kern w:val="0"/>
                <w:szCs w:val="21"/>
              </w:rPr>
            </w:pPr>
            <w:r>
              <w:rPr>
                <w:rFonts w:ascii="Times New Roman" w:hAnsi="宋体"/>
                <w:kern w:val="0"/>
                <w:szCs w:val="21"/>
              </w:rPr>
              <w:t>其他收入上解</w:t>
            </w:r>
          </w:p>
        </w:tc>
        <w:tc>
          <w:tcPr>
            <w:tcW w:w="721" w:type="dxa"/>
            <w:noWrap w:val="0"/>
            <w:vAlign w:val="center"/>
          </w:tcPr>
          <w:p>
            <w:pPr>
              <w:widowControl/>
              <w:spacing w:line="260" w:lineRule="exact"/>
              <w:jc w:val="center"/>
              <w:rPr>
                <w:rFonts w:ascii="Times New Roman" w:hAnsi="Times New Roman"/>
                <w:kern w:val="0"/>
                <w:szCs w:val="21"/>
              </w:rPr>
            </w:pPr>
            <w:r>
              <w:rPr>
                <w:rFonts w:ascii="Times New Roman" w:hAnsi="Times New Roman"/>
                <w:kern w:val="0"/>
                <w:szCs w:val="21"/>
              </w:rPr>
              <w:t>10</w:t>
            </w:r>
          </w:p>
        </w:tc>
        <w:tc>
          <w:tcPr>
            <w:tcW w:w="5633" w:type="dxa"/>
            <w:noWrap w:val="0"/>
            <w:vAlign w:val="center"/>
          </w:tcPr>
          <w:p>
            <w:pPr>
              <w:spacing w:line="260" w:lineRule="exact"/>
              <w:rPr>
                <w:rFonts w:ascii="Times New Roman" w:hAnsi="Times New Roman"/>
                <w:color w:val="000000"/>
                <w:szCs w:val="21"/>
              </w:rPr>
            </w:pPr>
            <w:r>
              <w:rPr>
                <w:rFonts w:ascii="Times New Roman" w:hAnsi="宋体"/>
                <w:color w:val="000000"/>
                <w:szCs w:val="21"/>
              </w:rPr>
              <w:t>按照市上解其他社会保险基金文件规定，按时足额上解居民养老、机关事业单位养老、工伤保险、失业保险等其他社会保险基金的，每</w:t>
            </w:r>
            <w:r>
              <w:rPr>
                <w:rFonts w:ascii="Times New Roman" w:hAnsi="Times New Roman"/>
                <w:color w:val="000000"/>
                <w:szCs w:val="21"/>
              </w:rPr>
              <w:t>1</w:t>
            </w:r>
            <w:r>
              <w:rPr>
                <w:rFonts w:ascii="Times New Roman" w:hAnsi="宋体"/>
                <w:color w:val="000000"/>
                <w:szCs w:val="21"/>
              </w:rPr>
              <w:t>次加</w:t>
            </w:r>
            <w:r>
              <w:rPr>
                <w:rFonts w:ascii="Times New Roman" w:hAnsi="Times New Roman"/>
                <w:color w:val="000000"/>
                <w:szCs w:val="21"/>
              </w:rPr>
              <w:t>0.3</w:t>
            </w:r>
            <w:r>
              <w:rPr>
                <w:rFonts w:ascii="Times New Roman" w:hAnsi="宋体"/>
                <w:color w:val="000000"/>
                <w:szCs w:val="21"/>
              </w:rPr>
              <w:t>分，晚</w:t>
            </w:r>
            <w:r>
              <w:rPr>
                <w:rFonts w:ascii="Times New Roman" w:hAnsi="Times New Roman"/>
                <w:color w:val="000000"/>
                <w:szCs w:val="21"/>
              </w:rPr>
              <w:t>1</w:t>
            </w:r>
            <w:r>
              <w:rPr>
                <w:rFonts w:ascii="Times New Roman" w:hAnsi="宋体"/>
                <w:color w:val="000000"/>
                <w:szCs w:val="21"/>
              </w:rPr>
              <w:t>天扣</w:t>
            </w:r>
            <w:r>
              <w:rPr>
                <w:rFonts w:ascii="Times New Roman" w:hAnsi="Times New Roman"/>
                <w:color w:val="000000"/>
                <w:szCs w:val="21"/>
              </w:rPr>
              <w:t>0.05</w:t>
            </w:r>
            <w:r>
              <w:rPr>
                <w:rFonts w:ascii="Times New Roman" w:hAnsi="宋体"/>
                <w:color w:val="000000"/>
                <w:szCs w:val="21"/>
              </w:rPr>
              <w:t>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CD2534"/>
    <w:rsid w:val="0DCD2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2021-06-07T03:05:00Z</dcterms:created>
  <dc:creator>丹丹</dc:creator>
  <cp:lastModifiedBy>丹丹</cp:lastModifiedBy>
  <dcterms:modified xsi:type="dcterms:W3CDTF">2021-06-07T03:05:26Z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3D4BF56BFBEC45648F75E254CACB1F0D</vt:lpwstr>
  </property>
  <property fmtid="{D5CDD505-2E9C-101B-9397-08002B2CF9AE}" pid="4" name="KSOSaveFontToCloudKey">
    <vt:lpwstr>1087314303_btnclosed</vt:lpwstr>
  </property>
</Properties>
</file>