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before="0" w:beforeLines="0" w:after="0" w:afterLines="0"/>
        <w:rPr>
          <w:rFonts w:hint="eastAsia"/>
        </w:rPr>
      </w:pPr>
      <w:r>
        <w:rPr>
          <w:rFonts w:hint="eastAsia"/>
        </w:rPr>
        <w:t>公共服务事项清单</w:t>
      </w:r>
    </w:p>
    <w:p>
      <w:pPr>
        <w:widowControl/>
        <w:jc w:val="center"/>
        <w:rPr>
          <w:rFonts w:ascii="方正小标宋_GBK" w:eastAsia="方正小标宋_GBK"/>
          <w:szCs w:val="32"/>
        </w:rPr>
      </w:pPr>
    </w:p>
    <w:tbl>
      <w:tblPr>
        <w:tblStyle w:val="6"/>
        <w:tblW w:w="150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7"/>
        <w:gridCol w:w="1692"/>
        <w:gridCol w:w="2093"/>
        <w:gridCol w:w="4905"/>
        <w:gridCol w:w="1470"/>
        <w:gridCol w:w="1680"/>
        <w:gridCol w:w="1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dxa"/>
            <w:vAlign w:val="center"/>
          </w:tcPr>
          <w:p>
            <w:pPr>
              <w:widowControl/>
              <w:ind w:firstLine="0"/>
              <w:jc w:val="center"/>
              <w:rPr>
                <w:rFonts w:hint="eastAsia" w:ascii="方正黑体_GBK" w:eastAsia="方正黑体_GBK"/>
                <w:sz w:val="28"/>
                <w:szCs w:val="32"/>
              </w:rPr>
            </w:pPr>
            <w:r>
              <w:rPr>
                <w:rFonts w:hint="eastAsia" w:ascii="方正黑体_GBK" w:eastAsia="方正黑体_GBK"/>
                <w:sz w:val="28"/>
                <w:szCs w:val="32"/>
              </w:rPr>
              <w:t>服务编码</w:t>
            </w:r>
          </w:p>
        </w:tc>
        <w:tc>
          <w:tcPr>
            <w:tcW w:w="1692" w:type="dxa"/>
            <w:vAlign w:val="center"/>
          </w:tcPr>
          <w:p>
            <w:pPr>
              <w:widowControl/>
              <w:ind w:firstLine="0"/>
              <w:jc w:val="center"/>
              <w:rPr>
                <w:rFonts w:hint="eastAsia" w:ascii="方正黑体_GBK" w:eastAsia="方正黑体_GBK"/>
                <w:sz w:val="28"/>
                <w:szCs w:val="32"/>
              </w:rPr>
            </w:pPr>
            <w:r>
              <w:rPr>
                <w:rFonts w:hint="eastAsia" w:ascii="方正黑体_GBK" w:eastAsia="方正黑体_GBK"/>
                <w:sz w:val="28"/>
                <w:szCs w:val="32"/>
              </w:rPr>
              <w:t>服务名称</w:t>
            </w:r>
          </w:p>
        </w:tc>
        <w:tc>
          <w:tcPr>
            <w:tcW w:w="2093" w:type="dxa"/>
            <w:vAlign w:val="center"/>
          </w:tcPr>
          <w:p>
            <w:pPr>
              <w:widowControl/>
              <w:ind w:firstLine="0"/>
              <w:jc w:val="center"/>
              <w:rPr>
                <w:rFonts w:hint="eastAsia" w:ascii="方正黑体_GBK" w:eastAsia="方正黑体_GBK"/>
                <w:sz w:val="28"/>
                <w:szCs w:val="32"/>
              </w:rPr>
            </w:pPr>
            <w:r>
              <w:rPr>
                <w:rFonts w:hint="eastAsia" w:ascii="方正黑体_GBK" w:eastAsia="方正黑体_GBK"/>
                <w:sz w:val="28"/>
                <w:szCs w:val="32"/>
              </w:rPr>
              <w:t>服务内容</w:t>
            </w:r>
          </w:p>
        </w:tc>
        <w:tc>
          <w:tcPr>
            <w:tcW w:w="4905" w:type="dxa"/>
            <w:vAlign w:val="center"/>
          </w:tcPr>
          <w:p>
            <w:pPr>
              <w:widowControl/>
              <w:ind w:firstLine="0"/>
              <w:jc w:val="center"/>
              <w:rPr>
                <w:rFonts w:hint="eastAsia" w:ascii="方正黑体_GBK" w:eastAsia="方正黑体_GBK"/>
                <w:sz w:val="28"/>
                <w:szCs w:val="32"/>
              </w:rPr>
            </w:pPr>
            <w:r>
              <w:rPr>
                <w:rFonts w:hint="eastAsia" w:ascii="方正黑体_GBK" w:eastAsia="方正黑体_GBK"/>
                <w:sz w:val="28"/>
                <w:szCs w:val="32"/>
              </w:rPr>
              <w:t>服务依据</w:t>
            </w:r>
          </w:p>
        </w:tc>
        <w:tc>
          <w:tcPr>
            <w:tcW w:w="1470" w:type="dxa"/>
            <w:vAlign w:val="center"/>
          </w:tcPr>
          <w:p>
            <w:pPr>
              <w:widowControl/>
              <w:ind w:firstLine="0"/>
              <w:jc w:val="center"/>
              <w:rPr>
                <w:rFonts w:hint="eastAsia" w:ascii="方正黑体_GBK" w:eastAsia="方正黑体_GBK"/>
                <w:sz w:val="28"/>
                <w:szCs w:val="32"/>
              </w:rPr>
            </w:pPr>
            <w:r>
              <w:rPr>
                <w:rFonts w:hint="eastAsia" w:ascii="方正黑体_GBK" w:eastAsia="方正黑体_GBK"/>
                <w:sz w:val="28"/>
                <w:szCs w:val="32"/>
              </w:rPr>
              <w:t>服务方式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ind w:firstLine="0"/>
              <w:jc w:val="center"/>
              <w:rPr>
                <w:rFonts w:hint="eastAsia" w:ascii="方正黑体_GBK" w:eastAsia="方正黑体_GBK"/>
                <w:sz w:val="28"/>
                <w:szCs w:val="32"/>
              </w:rPr>
            </w:pPr>
            <w:r>
              <w:rPr>
                <w:rFonts w:hint="eastAsia" w:ascii="方正黑体_GBK" w:eastAsia="方正黑体_GBK"/>
                <w:sz w:val="28"/>
                <w:szCs w:val="32"/>
              </w:rPr>
              <w:t>服务类别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ind w:firstLine="0"/>
              <w:jc w:val="center"/>
              <w:rPr>
                <w:rFonts w:hint="eastAsia" w:ascii="方正黑体_GBK" w:eastAsia="方正黑体_GBK"/>
                <w:sz w:val="28"/>
                <w:szCs w:val="32"/>
              </w:rPr>
            </w:pPr>
            <w:r>
              <w:rPr>
                <w:rFonts w:hint="eastAsia" w:ascii="方正黑体_GBK" w:eastAsia="方正黑体_GBK"/>
                <w:sz w:val="28"/>
                <w:szCs w:val="32"/>
              </w:rPr>
              <w:t>承办机构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7" w:hRule="atLeast"/>
        </w:trPr>
        <w:tc>
          <w:tcPr>
            <w:tcW w:w="1667" w:type="dxa"/>
            <w:vAlign w:val="top"/>
          </w:tcPr>
          <w:p>
            <w:pPr>
              <w:widowControl/>
              <w:rPr>
                <w:szCs w:val="32"/>
              </w:rPr>
            </w:pPr>
          </w:p>
        </w:tc>
        <w:tc>
          <w:tcPr>
            <w:tcW w:w="16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公开政策法规</w:t>
            </w:r>
          </w:p>
        </w:tc>
        <w:tc>
          <w:tcPr>
            <w:tcW w:w="20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公开税务机关履职的相关法律、法规、规章和规范性文件</w:t>
            </w:r>
          </w:p>
        </w:tc>
        <w:tc>
          <w:tcPr>
            <w:tcW w:w="4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both"/>
              <w:textAlignment w:val="center"/>
              <w:rPr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1.《中华人民共和国政府信息公开条例》（中华人民共和国国务院令第711号）</w:t>
            </w: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2.《国家税务总局关于印发&lt;全面推进政务公开工作实施办法&gt;的通知》（税总发〔2017〕44号） </w:t>
            </w:r>
          </w:p>
        </w:tc>
        <w:tc>
          <w:tcPr>
            <w:tcW w:w="1470" w:type="dxa"/>
            <w:vAlign w:val="top"/>
          </w:tcPr>
          <w:p>
            <w:pPr>
              <w:widowControl/>
              <w:ind w:left="0" w:leftChars="0" w:firstLine="0" w:firstLineChars="0"/>
              <w:jc w:val="center"/>
              <w:rPr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主动服务</w:t>
            </w:r>
          </w:p>
        </w:tc>
        <w:tc>
          <w:tcPr>
            <w:tcW w:w="1680" w:type="dxa"/>
            <w:vAlign w:val="top"/>
          </w:tcPr>
          <w:p>
            <w:pPr>
              <w:widowControl/>
              <w:ind w:left="0" w:leftChars="0" w:firstLine="0" w:firstLineChars="0"/>
              <w:jc w:val="center"/>
              <w:rPr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咨询查询类</w:t>
            </w:r>
          </w:p>
        </w:tc>
        <w:tc>
          <w:tcPr>
            <w:tcW w:w="1500" w:type="dxa"/>
            <w:vAlign w:val="top"/>
          </w:tcPr>
          <w:p>
            <w:pPr>
              <w:widowControl/>
              <w:ind w:left="0" w:leftChars="0" w:firstLine="0" w:firstLineChars="0"/>
              <w:jc w:val="center"/>
              <w:rPr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市税务部门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</w:trPr>
        <w:tc>
          <w:tcPr>
            <w:tcW w:w="1667" w:type="dxa"/>
            <w:vAlign w:val="top"/>
          </w:tcPr>
          <w:p>
            <w:pPr>
              <w:widowControl/>
              <w:rPr>
                <w:szCs w:val="32"/>
              </w:rPr>
            </w:pPr>
          </w:p>
        </w:tc>
        <w:tc>
          <w:tcPr>
            <w:tcW w:w="16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公开纳税人权利</w:t>
            </w:r>
          </w:p>
        </w:tc>
        <w:tc>
          <w:tcPr>
            <w:tcW w:w="20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公开税收法律法规规定的纳税人权利</w:t>
            </w:r>
          </w:p>
        </w:tc>
        <w:tc>
          <w:tcPr>
            <w:tcW w:w="4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both"/>
              <w:textAlignment w:val="top"/>
              <w:rPr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1.《中华人民共和国税收征收管理法》    </w:t>
            </w: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2.《国家税务总局关于纳税人权利与义务的公告》（公告2009年第1号）</w:t>
            </w:r>
          </w:p>
        </w:tc>
        <w:tc>
          <w:tcPr>
            <w:tcW w:w="1470" w:type="dxa"/>
            <w:vAlign w:val="top"/>
          </w:tcPr>
          <w:p>
            <w:pPr>
              <w:widowControl/>
              <w:ind w:left="0" w:leftChars="0" w:firstLine="0" w:firstLineChars="0"/>
              <w:jc w:val="center"/>
              <w:rPr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主动服务</w:t>
            </w:r>
          </w:p>
        </w:tc>
        <w:tc>
          <w:tcPr>
            <w:tcW w:w="1680" w:type="dxa"/>
            <w:vAlign w:val="top"/>
          </w:tcPr>
          <w:p>
            <w:pPr>
              <w:widowControl/>
              <w:ind w:left="0" w:leftChars="0" w:firstLine="0" w:firstLineChars="0"/>
              <w:jc w:val="center"/>
              <w:rPr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咨询查询类</w:t>
            </w:r>
          </w:p>
        </w:tc>
        <w:tc>
          <w:tcPr>
            <w:tcW w:w="1500" w:type="dxa"/>
            <w:vAlign w:val="top"/>
          </w:tcPr>
          <w:p>
            <w:pPr>
              <w:widowControl/>
              <w:ind w:left="0" w:leftChars="0" w:firstLine="0" w:firstLineChars="0"/>
              <w:jc w:val="center"/>
              <w:rPr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市税务部门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1667" w:type="dxa"/>
            <w:vAlign w:val="top"/>
          </w:tcPr>
          <w:p>
            <w:pPr>
              <w:widowControl/>
              <w:rPr>
                <w:szCs w:val="32"/>
              </w:rPr>
            </w:pPr>
          </w:p>
        </w:tc>
        <w:tc>
          <w:tcPr>
            <w:tcW w:w="16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公开纳税人义务</w:t>
            </w:r>
          </w:p>
        </w:tc>
        <w:tc>
          <w:tcPr>
            <w:tcW w:w="20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公开税收法律法规规定的纳税人义务</w:t>
            </w:r>
          </w:p>
        </w:tc>
        <w:tc>
          <w:tcPr>
            <w:tcW w:w="4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both"/>
              <w:textAlignment w:val="top"/>
              <w:rPr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1.《中华人民共和国税收征收管理法》    </w:t>
            </w: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2.《国家税务总局关于纳税人权利与义务的公告》（公告2009年第1号）</w:t>
            </w:r>
          </w:p>
        </w:tc>
        <w:tc>
          <w:tcPr>
            <w:tcW w:w="1470" w:type="dxa"/>
            <w:vAlign w:val="top"/>
          </w:tcPr>
          <w:p>
            <w:pPr>
              <w:widowControl/>
              <w:ind w:left="0" w:leftChars="0" w:firstLine="0" w:firstLineChars="0"/>
              <w:jc w:val="center"/>
              <w:rPr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主动服务</w:t>
            </w:r>
          </w:p>
        </w:tc>
        <w:tc>
          <w:tcPr>
            <w:tcW w:w="1680" w:type="dxa"/>
            <w:vAlign w:val="top"/>
          </w:tcPr>
          <w:p>
            <w:pPr>
              <w:widowControl/>
              <w:ind w:left="0" w:leftChars="0" w:firstLine="0" w:firstLineChars="0"/>
              <w:jc w:val="center"/>
              <w:rPr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咨询查询类</w:t>
            </w:r>
          </w:p>
        </w:tc>
        <w:tc>
          <w:tcPr>
            <w:tcW w:w="1500" w:type="dxa"/>
            <w:vAlign w:val="top"/>
          </w:tcPr>
          <w:p>
            <w:pPr>
              <w:widowControl/>
              <w:ind w:left="0" w:leftChars="0" w:firstLine="0" w:firstLineChars="0"/>
              <w:jc w:val="center"/>
              <w:rPr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市税务部门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1" w:hRule="atLeast"/>
        </w:trPr>
        <w:tc>
          <w:tcPr>
            <w:tcW w:w="1667" w:type="dxa"/>
            <w:vAlign w:val="top"/>
          </w:tcPr>
          <w:p>
            <w:pPr>
              <w:widowControl/>
              <w:rPr>
                <w:szCs w:val="32"/>
              </w:rPr>
            </w:pPr>
          </w:p>
        </w:tc>
        <w:tc>
          <w:tcPr>
            <w:tcW w:w="16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公开办税地图</w:t>
            </w:r>
          </w:p>
        </w:tc>
        <w:tc>
          <w:tcPr>
            <w:tcW w:w="20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公开内容：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1.办税服务厅名称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2.地址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3.电话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4.办公时间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5.主要职责</w:t>
            </w:r>
          </w:p>
        </w:tc>
        <w:tc>
          <w:tcPr>
            <w:tcW w:w="4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《国家税务总局关于印发&lt;全面推进政务公开工作实施办法&gt;的通知》（税总发〔2017〕44号） </w:t>
            </w:r>
          </w:p>
        </w:tc>
        <w:tc>
          <w:tcPr>
            <w:tcW w:w="1470" w:type="dxa"/>
            <w:vAlign w:val="top"/>
          </w:tcPr>
          <w:p>
            <w:pPr>
              <w:widowControl/>
              <w:ind w:left="0" w:leftChars="0" w:firstLine="0" w:firstLineChars="0"/>
              <w:jc w:val="center"/>
              <w:rPr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主动服务</w:t>
            </w:r>
          </w:p>
        </w:tc>
        <w:tc>
          <w:tcPr>
            <w:tcW w:w="1680" w:type="dxa"/>
            <w:vAlign w:val="top"/>
          </w:tcPr>
          <w:p>
            <w:pPr>
              <w:widowControl/>
              <w:tabs>
                <w:tab w:val="left" w:pos="320"/>
                <w:tab w:val="center" w:pos="1255"/>
              </w:tabs>
              <w:ind w:left="0" w:leftChars="0" w:firstLine="0" w:firstLineChars="0"/>
              <w:jc w:val="center"/>
              <w:rPr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咨询查询类</w:t>
            </w:r>
          </w:p>
        </w:tc>
        <w:tc>
          <w:tcPr>
            <w:tcW w:w="1500" w:type="dxa"/>
            <w:vAlign w:val="top"/>
          </w:tcPr>
          <w:p>
            <w:pPr>
              <w:widowControl/>
              <w:ind w:left="0" w:leftChars="0" w:firstLine="0" w:firstLineChars="0"/>
              <w:jc w:val="center"/>
              <w:rPr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市税务部门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7" w:hRule="atLeast"/>
        </w:trPr>
        <w:tc>
          <w:tcPr>
            <w:tcW w:w="1667" w:type="dxa"/>
            <w:vAlign w:val="top"/>
          </w:tcPr>
          <w:p>
            <w:pPr>
              <w:widowControl/>
              <w:rPr>
                <w:szCs w:val="32"/>
              </w:rPr>
            </w:pPr>
          </w:p>
        </w:tc>
        <w:tc>
          <w:tcPr>
            <w:tcW w:w="16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公开办税日历</w:t>
            </w:r>
          </w:p>
        </w:tc>
        <w:tc>
          <w:tcPr>
            <w:tcW w:w="20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公开内容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1.申报征收期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2.申报征收项目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eastAsia="宋体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3.备注</w:t>
            </w:r>
          </w:p>
        </w:tc>
        <w:tc>
          <w:tcPr>
            <w:tcW w:w="4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《国家税务总局关于印发&lt;全面推进政务公开工作实施办法&gt;的通知》（税总发〔2017〕44号） </w:t>
            </w:r>
          </w:p>
        </w:tc>
        <w:tc>
          <w:tcPr>
            <w:tcW w:w="1470" w:type="dxa"/>
            <w:vAlign w:val="top"/>
          </w:tcPr>
          <w:p>
            <w:pPr>
              <w:widowControl/>
              <w:ind w:left="0" w:leftChars="0" w:firstLine="0" w:firstLineChars="0"/>
              <w:jc w:val="center"/>
              <w:rPr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主动服务</w:t>
            </w:r>
          </w:p>
        </w:tc>
        <w:tc>
          <w:tcPr>
            <w:tcW w:w="1680" w:type="dxa"/>
            <w:vAlign w:val="top"/>
          </w:tcPr>
          <w:p>
            <w:pPr>
              <w:widowControl/>
              <w:ind w:left="0" w:leftChars="0" w:firstLine="0" w:firstLineChars="0"/>
              <w:jc w:val="center"/>
              <w:rPr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咨询查询类</w:t>
            </w:r>
          </w:p>
        </w:tc>
        <w:tc>
          <w:tcPr>
            <w:tcW w:w="1500" w:type="dxa"/>
            <w:vAlign w:val="top"/>
          </w:tcPr>
          <w:p>
            <w:pPr>
              <w:widowControl/>
              <w:ind w:left="0" w:leftChars="0" w:firstLine="0" w:firstLineChars="0"/>
              <w:jc w:val="center"/>
              <w:rPr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市税务部门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dxa"/>
            <w:vAlign w:val="center"/>
          </w:tcPr>
          <w:p>
            <w:pPr>
              <w:widowControl/>
              <w:ind w:firstLine="0"/>
              <w:jc w:val="center"/>
              <w:rPr>
                <w:rFonts w:hint="eastAsia" w:ascii="方正黑体_GBK" w:eastAsia="方正黑体_GBK"/>
                <w:sz w:val="28"/>
                <w:szCs w:val="32"/>
              </w:rPr>
            </w:pPr>
            <w:r>
              <w:rPr>
                <w:rFonts w:hint="eastAsia" w:ascii="方正黑体_GBK" w:eastAsia="方正黑体_GBK"/>
                <w:sz w:val="28"/>
                <w:szCs w:val="32"/>
              </w:rPr>
              <w:t>服务编码</w:t>
            </w:r>
          </w:p>
        </w:tc>
        <w:tc>
          <w:tcPr>
            <w:tcW w:w="1692" w:type="dxa"/>
            <w:vAlign w:val="center"/>
          </w:tcPr>
          <w:p>
            <w:pPr>
              <w:widowControl/>
              <w:ind w:firstLine="0"/>
              <w:jc w:val="center"/>
              <w:rPr>
                <w:rFonts w:hint="eastAsia" w:ascii="方正黑体_GBK" w:eastAsia="方正黑体_GBK"/>
                <w:sz w:val="28"/>
                <w:szCs w:val="32"/>
              </w:rPr>
            </w:pPr>
            <w:r>
              <w:rPr>
                <w:rFonts w:hint="eastAsia" w:ascii="方正黑体_GBK" w:eastAsia="方正黑体_GBK"/>
                <w:sz w:val="28"/>
                <w:szCs w:val="32"/>
              </w:rPr>
              <w:t>服务名称</w:t>
            </w:r>
          </w:p>
        </w:tc>
        <w:tc>
          <w:tcPr>
            <w:tcW w:w="2093" w:type="dxa"/>
            <w:vAlign w:val="center"/>
          </w:tcPr>
          <w:p>
            <w:pPr>
              <w:widowControl/>
              <w:ind w:firstLine="0"/>
              <w:jc w:val="center"/>
              <w:rPr>
                <w:rFonts w:hint="eastAsia" w:ascii="方正黑体_GBK" w:eastAsia="方正黑体_GBK"/>
                <w:sz w:val="28"/>
                <w:szCs w:val="32"/>
              </w:rPr>
            </w:pPr>
            <w:r>
              <w:rPr>
                <w:rFonts w:hint="eastAsia" w:ascii="方正黑体_GBK" w:eastAsia="方正黑体_GBK"/>
                <w:sz w:val="28"/>
                <w:szCs w:val="32"/>
              </w:rPr>
              <w:t>服务内容</w:t>
            </w:r>
          </w:p>
        </w:tc>
        <w:tc>
          <w:tcPr>
            <w:tcW w:w="4905" w:type="dxa"/>
            <w:vAlign w:val="center"/>
          </w:tcPr>
          <w:p>
            <w:pPr>
              <w:widowControl/>
              <w:ind w:firstLine="0"/>
              <w:jc w:val="center"/>
              <w:rPr>
                <w:rFonts w:hint="eastAsia" w:ascii="方正黑体_GBK" w:eastAsia="方正黑体_GBK"/>
                <w:sz w:val="28"/>
                <w:szCs w:val="32"/>
              </w:rPr>
            </w:pPr>
            <w:r>
              <w:rPr>
                <w:rFonts w:hint="eastAsia" w:ascii="方正黑体_GBK" w:eastAsia="方正黑体_GBK"/>
                <w:sz w:val="28"/>
                <w:szCs w:val="32"/>
              </w:rPr>
              <w:t>服务依据</w:t>
            </w:r>
          </w:p>
        </w:tc>
        <w:tc>
          <w:tcPr>
            <w:tcW w:w="1470" w:type="dxa"/>
            <w:vAlign w:val="center"/>
          </w:tcPr>
          <w:p>
            <w:pPr>
              <w:widowControl/>
              <w:ind w:firstLine="0"/>
              <w:jc w:val="center"/>
              <w:rPr>
                <w:rFonts w:hint="eastAsia" w:ascii="方正黑体_GBK" w:eastAsia="方正黑体_GBK"/>
                <w:sz w:val="28"/>
                <w:szCs w:val="32"/>
              </w:rPr>
            </w:pPr>
            <w:r>
              <w:rPr>
                <w:rFonts w:hint="eastAsia" w:ascii="方正黑体_GBK" w:eastAsia="方正黑体_GBK"/>
                <w:sz w:val="28"/>
                <w:szCs w:val="32"/>
              </w:rPr>
              <w:t>服务方式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ind w:firstLine="0"/>
              <w:jc w:val="center"/>
              <w:rPr>
                <w:rFonts w:hint="eastAsia" w:ascii="方正黑体_GBK" w:eastAsia="方正黑体_GBK"/>
                <w:sz w:val="28"/>
                <w:szCs w:val="32"/>
              </w:rPr>
            </w:pPr>
            <w:r>
              <w:rPr>
                <w:rFonts w:hint="eastAsia" w:ascii="方正黑体_GBK" w:eastAsia="方正黑体_GBK"/>
                <w:sz w:val="28"/>
                <w:szCs w:val="32"/>
              </w:rPr>
              <w:t>服务类别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ind w:firstLine="0"/>
              <w:jc w:val="center"/>
              <w:rPr>
                <w:rFonts w:hint="eastAsia" w:ascii="方正黑体_GBK" w:eastAsia="方正黑体_GBK"/>
                <w:sz w:val="28"/>
                <w:szCs w:val="32"/>
              </w:rPr>
            </w:pPr>
            <w:r>
              <w:rPr>
                <w:rFonts w:hint="eastAsia" w:ascii="方正黑体_GBK" w:eastAsia="方正黑体_GBK"/>
                <w:sz w:val="28"/>
                <w:szCs w:val="32"/>
              </w:rPr>
              <w:t>承办机构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dxa"/>
            <w:vAlign w:val="top"/>
          </w:tcPr>
          <w:p>
            <w:pPr>
              <w:widowControl/>
              <w:rPr>
                <w:szCs w:val="32"/>
              </w:rPr>
            </w:pPr>
            <w:bookmarkStart w:id="0" w:name="_GoBack"/>
            <w:bookmarkEnd w:id="0"/>
          </w:p>
        </w:tc>
        <w:tc>
          <w:tcPr>
            <w:tcW w:w="16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公开办税指南</w:t>
            </w:r>
          </w:p>
        </w:tc>
        <w:tc>
          <w:tcPr>
            <w:tcW w:w="20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公开内容：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1.事项名称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2.设定依据 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3.申请条件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4.办理材料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5.办理地点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6.办理机构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7.收费标准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8.办理时间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9.联系电话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10.办理流程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11.纳税人注意事项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12.政策依据</w:t>
            </w:r>
          </w:p>
        </w:tc>
        <w:tc>
          <w:tcPr>
            <w:tcW w:w="4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《国家税务总局关于印发&lt;全面推进政务公开工作实施办法&gt;的通知》（税总发〔2017〕44号） </w:t>
            </w:r>
          </w:p>
        </w:tc>
        <w:tc>
          <w:tcPr>
            <w:tcW w:w="1470" w:type="dxa"/>
            <w:vAlign w:val="top"/>
          </w:tcPr>
          <w:p>
            <w:pPr>
              <w:widowControl/>
              <w:ind w:left="0" w:leftChars="0" w:firstLine="0" w:firstLineChars="0"/>
              <w:jc w:val="center"/>
              <w:rPr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主动服务</w:t>
            </w:r>
          </w:p>
        </w:tc>
        <w:tc>
          <w:tcPr>
            <w:tcW w:w="1680" w:type="dxa"/>
            <w:vAlign w:val="top"/>
          </w:tcPr>
          <w:p>
            <w:pPr>
              <w:widowControl/>
              <w:ind w:left="0" w:leftChars="0" w:firstLine="0" w:firstLineChars="0"/>
              <w:jc w:val="center"/>
              <w:rPr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咨询查询类</w:t>
            </w:r>
          </w:p>
        </w:tc>
        <w:tc>
          <w:tcPr>
            <w:tcW w:w="1500" w:type="dxa"/>
            <w:vAlign w:val="top"/>
          </w:tcPr>
          <w:p>
            <w:pPr>
              <w:widowControl/>
              <w:tabs>
                <w:tab w:val="left" w:pos="254"/>
              </w:tabs>
              <w:ind w:left="0" w:leftChars="0" w:firstLine="0" w:firstLineChars="0"/>
              <w:jc w:val="center"/>
              <w:rPr>
                <w:rFonts w:hint="eastAsia" w:eastAsia="方正仿宋_GBK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市税务部门</w:t>
            </w:r>
          </w:p>
        </w:tc>
      </w:tr>
    </w:tbl>
    <w:p>
      <w:pPr>
        <w:pStyle w:val="8"/>
        <w:spacing w:before="0" w:beforeLines="0" w:after="0" w:afterLines="0"/>
        <w:rPr>
          <w:rFonts w:hint="eastAsia"/>
        </w:rPr>
      </w:pPr>
    </w:p>
    <w:p/>
    <w:sectPr>
      <w:footerReference r:id="rId3" w:type="default"/>
      <w:footerReference r:id="rId4" w:type="even"/>
      <w:pgSz w:w="16838" w:h="11906" w:orient="landscape"/>
      <w:pgMar w:top="720" w:right="720" w:bottom="720" w:left="720" w:header="720" w:footer="1474" w:gutter="0"/>
      <w:cols w:space="720" w:num="1"/>
      <w:docGrid w:type="linesAndChars" w:linePitch="590" w:charSpace="-102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3C004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onsolas">
    <w:panose1 w:val="020B0609020204030204"/>
    <w:charset w:val="00"/>
    <w:family w:val="modern"/>
    <w:pitch w:val="default"/>
    <w:sig w:usb0="E10002FF" w:usb1="4000FCFF" w:usb2="00000009" w:usb3="00000000" w:csb0="6000019F" w:csb1="DFD7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汉鼎简大宋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320" w:leftChars="100" w:right="320" w:rightChars="100"/>
      <w:jc w:val="right"/>
    </w:pPr>
    <w:r>
      <w:rPr>
        <w:rFonts w:hint="eastAsia"/>
      </w:rPr>
      <w:t xml:space="preserve">— </w:t>
    </w:r>
    <w:r>
      <w:fldChar w:fldCharType="begin"/>
    </w:r>
    <w:r>
      <w:instrText xml:space="preserve"> PAGE </w:instrText>
    </w:r>
    <w:r>
      <w:fldChar w:fldCharType="separate"/>
    </w:r>
    <w:r>
      <w:t>11</w:t>
    </w:r>
    <w:r>
      <w:fldChar w:fldCharType="end"/>
    </w:r>
    <w:r>
      <w:rPr>
        <w:rFonts w:hint="eastAsia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320" w:leftChars="100" w:right="320" w:rightChars="100"/>
      <w:jc w:val="both"/>
      <w:rPr>
        <w:rFonts w:hint="eastAsia"/>
      </w:rPr>
    </w:pPr>
    <w:r>
      <w:rPr>
        <w:rFonts w:hint="eastAsia"/>
      </w:rPr>
      <w:t xml:space="preserve">— </w:t>
    </w:r>
    <w:r>
      <w:fldChar w:fldCharType="begin"/>
    </w:r>
    <w:r>
      <w:instrText xml:space="preserve"> PAGE </w:instrText>
    </w:r>
    <w:r>
      <w:fldChar w:fldCharType="separate"/>
    </w:r>
    <w:r>
      <w:t>10</w:t>
    </w:r>
    <w:r>
      <w:fldChar w:fldCharType="end"/>
    </w:r>
    <w:r>
      <w:rPr>
        <w:rFonts w:hint="eastAsia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EE2BA4"/>
    <w:rsid w:val="09DD25E5"/>
    <w:rsid w:val="21EE2BA4"/>
    <w:rsid w:val="320357F7"/>
    <w:rsid w:val="3EA76218"/>
    <w:rsid w:val="458747E2"/>
    <w:rsid w:val="77D60DE7"/>
    <w:rsid w:val="7F374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Times New Roman" w:hAnsi="Times New Roman" w:eastAsia="方正仿宋_GBK" w:cs="Times New Roman"/>
      <w:snapToGrid w:val="0"/>
      <w:sz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pacing w:line="400" w:lineRule="atLeast"/>
      <w:ind w:firstLine="0"/>
      <w:jc w:val="center"/>
    </w:pPr>
    <w:rPr>
      <w:sz w:val="28"/>
    </w:rPr>
  </w:style>
  <w:style w:type="paragraph" w:styleId="3">
    <w:name w:val="HTML Preformatted"/>
    <w:basedOn w:val="1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autoSpaceDE/>
      <w:autoSpaceDN/>
      <w:snapToGrid/>
      <w:spacing w:after="120" w:line="375" w:lineRule="atLeast"/>
      <w:ind w:firstLine="0"/>
      <w:jc w:val="left"/>
    </w:pPr>
    <w:rPr>
      <w:rFonts w:ascii="微软雅黑" w:hAnsi="微软雅黑" w:eastAsia="微软雅黑" w:cs="Consolas"/>
      <w:snapToGrid/>
      <w:color w:val="333333"/>
      <w:sz w:val="24"/>
      <w:szCs w:val="24"/>
    </w:rPr>
  </w:style>
  <w:style w:type="paragraph" w:styleId="4">
    <w:name w:val="Normal (Web)"/>
    <w:basedOn w:val="1"/>
    <w:unhideWhenUsed/>
    <w:qFormat/>
    <w:uiPriority w:val="99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left"/>
    </w:pPr>
    <w:rPr>
      <w:rFonts w:ascii="宋体" w:hAnsi="宋体" w:eastAsia="宋体" w:cs="宋体"/>
      <w:snapToGrid/>
      <w:sz w:val="24"/>
      <w:szCs w:val="24"/>
    </w:rPr>
  </w:style>
  <w:style w:type="paragraph" w:customStyle="1" w:styleId="7">
    <w:name w:val="标题3"/>
    <w:basedOn w:val="1"/>
    <w:next w:val="1"/>
    <w:qFormat/>
    <w:uiPriority w:val="0"/>
    <w:pPr>
      <w:ind w:firstLine="630" w:firstLineChars="200"/>
    </w:pPr>
    <w:rPr>
      <w:rFonts w:ascii="方正黑体_GBK" w:eastAsia="方正黑体_GBK"/>
    </w:rPr>
  </w:style>
  <w:style w:type="paragraph" w:customStyle="1" w:styleId="8">
    <w:name w:val="标题1"/>
    <w:basedOn w:val="1"/>
    <w:next w:val="1"/>
    <w:qFormat/>
    <w:uiPriority w:val="0"/>
    <w:pPr>
      <w:tabs>
        <w:tab w:val="left" w:pos="9193"/>
        <w:tab w:val="left" w:pos="9827"/>
      </w:tabs>
      <w:spacing w:before="50" w:beforeLines="50" w:after="50" w:afterLines="50" w:line="640" w:lineRule="exact"/>
      <w:ind w:firstLine="0"/>
      <w:jc w:val="center"/>
    </w:pPr>
    <w:rPr>
      <w:rFonts w:eastAsia="方正小标宋_GBK"/>
      <w:sz w:val="44"/>
    </w:rPr>
  </w:style>
  <w:style w:type="paragraph" w:customStyle="1" w:styleId="9">
    <w:name w:val="标题2"/>
    <w:basedOn w:val="1"/>
    <w:next w:val="1"/>
    <w:qFormat/>
    <w:uiPriority w:val="0"/>
    <w:pPr>
      <w:ind w:firstLine="0"/>
      <w:jc w:val="center"/>
    </w:pPr>
    <w:rPr>
      <w:rFonts w:eastAsia="方正楷体_GBK"/>
    </w:rPr>
  </w:style>
  <w:style w:type="paragraph" w:customStyle="1" w:styleId="10">
    <w:name w:val="文头"/>
    <w:basedOn w:val="11"/>
    <w:qFormat/>
    <w:uiPriority w:val="0"/>
    <w:pPr>
      <w:spacing w:before="320" w:after="0"/>
      <w:ind w:left="227" w:right="227"/>
      <w:jc w:val="distribute"/>
    </w:pPr>
    <w:rPr>
      <w:rFonts w:ascii="汉鼎简大宋" w:hAnsi="汉鼎简大宋" w:eastAsia="汉鼎简大宋"/>
      <w:color w:val="FF0000"/>
      <w:spacing w:val="36"/>
      <w:w w:val="82"/>
      <w:sz w:val="90"/>
    </w:rPr>
  </w:style>
  <w:style w:type="paragraph" w:customStyle="1" w:styleId="11">
    <w:name w:val="红线"/>
    <w:basedOn w:val="1"/>
    <w:qFormat/>
    <w:uiPriority w:val="0"/>
    <w:pPr>
      <w:autoSpaceDE w:val="0"/>
      <w:autoSpaceDN w:val="0"/>
      <w:adjustRightInd w:val="0"/>
      <w:snapToGrid/>
      <w:spacing w:after="170" w:line="227" w:lineRule="atLeast"/>
      <w:ind w:firstLine="0"/>
      <w:jc w:val="center"/>
    </w:pPr>
    <w:rPr>
      <w:spacing w:val="0"/>
      <w:kern w:val="0"/>
      <w:sz w:val="1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2020-10-28T05:43:00Z</dcterms:created>
  <dc:creator>黄丽娜</dc:creator>
  <cp:lastModifiedBy>黄丽娜</cp:lastModifiedBy>
  <dcterms:modified xsi:type="dcterms:W3CDTF">2020-11-11T01:53:59Z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