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83" w:rsidRPr="000628C4" w:rsidRDefault="002A4283" w:rsidP="00211E3A">
      <w:pPr>
        <w:rPr>
          <w:rFonts w:ascii="黑体" w:eastAsia="黑体" w:hAnsi="黑体" w:cs="黑体"/>
          <w:sz w:val="32"/>
          <w:szCs w:val="32"/>
        </w:rPr>
      </w:pPr>
      <w:r w:rsidRPr="000628C4">
        <w:rPr>
          <w:rFonts w:ascii="黑体" w:eastAsia="黑体" w:hAnsi="黑体" w:cs="黑体" w:hint="eastAsia"/>
          <w:sz w:val="32"/>
          <w:szCs w:val="32"/>
        </w:rPr>
        <w:t>附件</w:t>
      </w:r>
      <w:r w:rsidRPr="000628C4">
        <w:rPr>
          <w:rFonts w:ascii="黑体" w:eastAsia="黑体" w:hAnsi="黑体" w:cs="黑体"/>
          <w:sz w:val="32"/>
          <w:szCs w:val="32"/>
        </w:rPr>
        <w:t>1</w:t>
      </w:r>
    </w:p>
    <w:p w:rsidR="002A4283" w:rsidRPr="006753B6" w:rsidRDefault="002A4283" w:rsidP="00211E3A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bookmarkStart w:id="0" w:name="_GoBack"/>
      <w:r w:rsidRPr="006753B6">
        <w:rPr>
          <w:rFonts w:ascii="方正小标宋简体" w:eastAsia="方正小标宋简体" w:hAnsi="Times New Roman" w:cs="方正小标宋简体" w:hint="eastAsia"/>
          <w:sz w:val="44"/>
          <w:szCs w:val="44"/>
        </w:rPr>
        <w:t>竞赛项目实施方案</w:t>
      </w:r>
    </w:p>
    <w:bookmarkEnd w:id="0"/>
    <w:p w:rsidR="002A4283" w:rsidRPr="006753B6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EA3006">
        <w:rPr>
          <w:rFonts w:ascii="黑体" w:eastAsia="黑体" w:hAnsi="黑体" w:cs="黑体" w:hint="eastAsia"/>
          <w:sz w:val="32"/>
          <w:szCs w:val="32"/>
        </w:rPr>
        <w:t>一、竞赛项目及参赛名额</w:t>
      </w:r>
    </w:p>
    <w:tbl>
      <w:tblPr>
        <w:tblW w:w="7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0"/>
        <w:gridCol w:w="3235"/>
        <w:gridCol w:w="1440"/>
      </w:tblGrid>
      <w:tr w:rsidR="002A4283" w:rsidRPr="006753B6" w:rsidTr="005427D6">
        <w:trPr>
          <w:trHeight w:val="680"/>
          <w:jc w:val="center"/>
        </w:trPr>
        <w:tc>
          <w:tcPr>
            <w:tcW w:w="2890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组别</w:t>
            </w:r>
          </w:p>
        </w:tc>
        <w:tc>
          <w:tcPr>
            <w:tcW w:w="1440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参</w:t>
            </w: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赛</w:t>
            </w:r>
            <w:r w:rsidRPr="006753B6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名额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 w:val="restart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青年教师英语教学大赛</w:t>
            </w: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本科组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6753B6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专科组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/>
                <w:sz w:val="24"/>
                <w:szCs w:val="24"/>
              </w:rPr>
              <w:t>1-2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 w:val="restart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大学生英语演讲比赛</w:t>
            </w: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专业组（本科组、专科组）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6753B6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非专业组（本科组、专科组）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6753B6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 w:val="restart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大学生日语演讲比赛</w:t>
            </w: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专业组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3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2A4283" w:rsidRPr="006753B6" w:rsidTr="005427D6">
        <w:trPr>
          <w:trHeight w:val="680"/>
          <w:jc w:val="center"/>
        </w:trPr>
        <w:tc>
          <w:tcPr>
            <w:tcW w:w="2890" w:type="dxa"/>
            <w:vMerge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noWrap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非专业组</w:t>
            </w:r>
          </w:p>
        </w:tc>
        <w:tc>
          <w:tcPr>
            <w:tcW w:w="1440" w:type="dxa"/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6753B6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6753B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</w:tbl>
    <w:p w:rsidR="002A4283" w:rsidRPr="00EA3006" w:rsidRDefault="002A4283" w:rsidP="002A4283">
      <w:pPr>
        <w:widowControl/>
        <w:spacing w:line="62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EA3006">
        <w:rPr>
          <w:rFonts w:ascii="黑体" w:eastAsia="黑体" w:hAnsi="黑体" w:cs="黑体" w:hint="eastAsia"/>
          <w:sz w:val="32"/>
          <w:szCs w:val="32"/>
        </w:rPr>
        <w:t>二、赛项实施方案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楷体_GB2312" w:eastAsia="楷体_GB2312" w:hAnsi="楷体" w:cs="Times New Roman"/>
          <w:b/>
          <w:bCs/>
          <w:sz w:val="32"/>
          <w:szCs w:val="32"/>
        </w:rPr>
      </w:pPr>
      <w:r w:rsidRPr="009D31EE">
        <w:rPr>
          <w:rFonts w:ascii="楷体_GB2312" w:eastAsia="楷体_GB2312" w:hAnsi="楷体" w:cs="楷体_GB2312"/>
          <w:b/>
          <w:bCs/>
          <w:sz w:val="32"/>
          <w:szCs w:val="32"/>
        </w:rPr>
        <w:t>1.</w:t>
      </w:r>
      <w:r w:rsidRPr="009D31EE">
        <w:rPr>
          <w:rFonts w:ascii="楷体_GB2312" w:eastAsia="楷体_GB2312" w:hAnsi="楷体" w:cs="楷体_GB2312" w:hint="eastAsia"/>
          <w:b/>
          <w:bCs/>
          <w:sz w:val="32"/>
          <w:szCs w:val="32"/>
        </w:rPr>
        <w:t>青年教师英语教学大赛</w:t>
      </w:r>
    </w:p>
    <w:p w:rsidR="002A4283" w:rsidRPr="006753B6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6753B6">
        <w:rPr>
          <w:rFonts w:ascii="仿宋_GB2312" w:eastAsia="仿宋_GB2312" w:hAnsi="Times New Roman" w:cs="仿宋_GB2312" w:hint="eastAsia"/>
          <w:sz w:val="32"/>
          <w:szCs w:val="32"/>
        </w:rPr>
        <w:t>比赛分定题授课和回答问题两个环节。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第一部分为授课。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授课对象是常州旅游商贸高等职业技术学校学生，英语基础较好。比赛授课主题侧重提高学生的英语口头表达能力和演讲技能，本科组和专科组授课内容均为视听说系列教材，</w:t>
      </w:r>
      <w:r w:rsidRPr="009D31EE">
        <w:rPr>
          <w:rFonts w:ascii="仿宋_GB2312" w:eastAsia="仿宋_GB2312" w:hAnsi="楷体" w:cs="仿宋_GB2312" w:hint="eastAsia"/>
          <w:sz w:val="32"/>
          <w:szCs w:val="32"/>
        </w:rPr>
        <w:t>具体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如下：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新职业英语视听说教程第</w:t>
      </w:r>
      <w:r w:rsidRPr="009D31EE">
        <w:rPr>
          <w:rFonts w:ascii="仿宋_GB2312" w:eastAsia="仿宋_GB2312" w:hAnsi="Times New Roman" w:cs="仿宋_GB2312"/>
          <w:sz w:val="32"/>
          <w:szCs w:val="32"/>
        </w:rPr>
        <w:t>1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册</w:t>
      </w:r>
      <w:r w:rsidRPr="009D31EE">
        <w:rPr>
          <w:rFonts w:ascii="仿宋_GB2312" w:eastAsia="仿宋_GB2312" w:hAnsi="Times New Roman" w:cs="仿宋_GB2312"/>
          <w:sz w:val="32"/>
          <w:szCs w:val="32"/>
        </w:rPr>
        <w:t>1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至</w:t>
      </w:r>
      <w:r w:rsidRPr="009D31EE">
        <w:rPr>
          <w:rFonts w:ascii="仿宋_GB2312" w:eastAsia="仿宋_GB2312" w:hAnsi="Times New Roman" w:cs="仿宋_GB2312"/>
          <w:sz w:val="32"/>
          <w:szCs w:val="32"/>
        </w:rPr>
        <w:t>8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单元（选手从中任选一单元）。选手以电子课件辅助进行授课，授课时间定为</w:t>
      </w:r>
      <w:r w:rsidRPr="009D31EE">
        <w:rPr>
          <w:rFonts w:ascii="仿宋_GB2312" w:eastAsia="仿宋_GB2312" w:hAnsi="Times New Roman" w:cs="仿宋_GB2312"/>
          <w:sz w:val="32"/>
          <w:szCs w:val="32"/>
        </w:rPr>
        <w:t xml:space="preserve"> 20 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分钟（从正式授课开始计时）。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第二部分为回答问题。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评委针对第一部分的授课环节即兴提问，每个授课教师回答一个问题。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比赛采用现场抽签的方式决定参赛选手的出场顺序。各组别的参赛选手必须在本组比赛开始前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30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分钟到比赛现场集中抽签。开赛前</w:t>
      </w:r>
      <w:r w:rsidRPr="009D31EE">
        <w:rPr>
          <w:rFonts w:ascii="仿宋_GB2312" w:eastAsia="仿宋_GB2312" w:hAnsi="Times New Roman" w:cs="仿宋_GB2312"/>
          <w:sz w:val="32"/>
          <w:szCs w:val="32"/>
        </w:rPr>
        <w:t>15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分钟参赛选手未到作弃权处理。评委由主办单位邀请江苏省内外语界的知名专家担任。</w:t>
      </w:r>
    </w:p>
    <w:p w:rsidR="002A4283" w:rsidRPr="006753B6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评分标准。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比赛采用百分制，选手的最终成绩</w:t>
      </w:r>
      <w:r w:rsidRPr="006753B6">
        <w:rPr>
          <w:rFonts w:ascii="仿宋_GB2312" w:eastAsia="仿宋_GB2312" w:hAnsi="Times New Roman" w:cs="仿宋_GB2312" w:hint="eastAsia"/>
          <w:sz w:val="32"/>
          <w:szCs w:val="32"/>
        </w:rPr>
        <w:t>由授课环节得分（权重</w:t>
      </w:r>
      <w:r w:rsidRPr="006753B6">
        <w:rPr>
          <w:rFonts w:ascii="仿宋_GB2312" w:eastAsia="仿宋_GB2312" w:hAnsi="Times New Roman" w:cs="仿宋_GB2312"/>
          <w:sz w:val="32"/>
          <w:szCs w:val="32"/>
        </w:rPr>
        <w:t>80%</w:t>
      </w:r>
      <w:r w:rsidRPr="006753B6">
        <w:rPr>
          <w:rFonts w:ascii="仿宋_GB2312" w:eastAsia="仿宋_GB2312" w:hAnsi="Times New Roman" w:cs="仿宋_GB2312" w:hint="eastAsia"/>
          <w:sz w:val="32"/>
          <w:szCs w:val="32"/>
        </w:rPr>
        <w:t>）</w:t>
      </w:r>
      <w:r w:rsidRPr="006753B6">
        <w:rPr>
          <w:rFonts w:ascii="仿宋_GB2312" w:eastAsia="仿宋_GB2312" w:hAnsi="Times New Roman" w:cs="仿宋_GB2312"/>
          <w:sz w:val="32"/>
          <w:szCs w:val="32"/>
        </w:rPr>
        <w:t>+</w:t>
      </w:r>
      <w:r w:rsidRPr="006753B6">
        <w:rPr>
          <w:rFonts w:ascii="仿宋_GB2312" w:eastAsia="仿宋_GB2312" w:hAnsi="Times New Roman" w:cs="仿宋_GB2312" w:hint="eastAsia"/>
          <w:sz w:val="32"/>
          <w:szCs w:val="32"/>
        </w:rPr>
        <w:t>回答问题环节得分（权重</w:t>
      </w:r>
      <w:r w:rsidRPr="006753B6">
        <w:rPr>
          <w:rFonts w:ascii="仿宋_GB2312" w:eastAsia="仿宋_GB2312" w:hAnsi="Times New Roman" w:cs="仿宋_GB2312"/>
          <w:sz w:val="32"/>
          <w:szCs w:val="32"/>
        </w:rPr>
        <w:t>20%</w:t>
      </w:r>
      <w:r w:rsidRPr="006753B6">
        <w:rPr>
          <w:rFonts w:ascii="仿宋_GB2312" w:eastAsia="仿宋_GB2312" w:hAnsi="Times New Roman" w:cs="仿宋_GB2312" w:hint="eastAsia"/>
          <w:sz w:val="32"/>
          <w:szCs w:val="32"/>
        </w:rPr>
        <w:t>）构成。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90"/>
        <w:gridCol w:w="2020"/>
        <w:gridCol w:w="2089"/>
        <w:gridCol w:w="2021"/>
      </w:tblGrid>
      <w:tr w:rsidR="002A4283" w:rsidRPr="006753B6">
        <w:trPr>
          <w:trHeight w:val="515"/>
          <w:jc w:val="center"/>
        </w:trPr>
        <w:tc>
          <w:tcPr>
            <w:tcW w:w="4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 xml:space="preserve">Lecture </w:t>
            </w:r>
            <w:r w:rsidRPr="006753B6">
              <w:rPr>
                <w:rFonts w:ascii="Times New Roman" w:eastAsia="楷体" w:hAnsi="Times New Roman" w:cs="楷体" w:hint="eastAsia"/>
                <w:kern w:val="0"/>
                <w:sz w:val="30"/>
                <w:szCs w:val="30"/>
              </w:rPr>
              <w:t>（</w:t>
            </w: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80%</w:t>
            </w:r>
            <w:r w:rsidRPr="006753B6">
              <w:rPr>
                <w:rFonts w:ascii="Times New Roman" w:eastAsia="楷体" w:hAnsi="Times New Roman" w:cs="楷体" w:hint="eastAsia"/>
                <w:kern w:val="0"/>
                <w:sz w:val="30"/>
                <w:szCs w:val="30"/>
              </w:rPr>
              <w:t>）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 xml:space="preserve">Response to Questions </w:t>
            </w:r>
            <w:r w:rsidRPr="006753B6">
              <w:rPr>
                <w:rFonts w:ascii="Times New Roman" w:eastAsia="楷体" w:hAnsi="Times New Roman" w:cs="楷体" w:hint="eastAsia"/>
                <w:kern w:val="0"/>
                <w:sz w:val="30"/>
                <w:szCs w:val="30"/>
              </w:rPr>
              <w:t>（</w:t>
            </w: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20%</w:t>
            </w:r>
            <w:r w:rsidRPr="006753B6">
              <w:rPr>
                <w:rFonts w:ascii="Times New Roman" w:eastAsia="楷体" w:hAnsi="Times New Roman" w:cs="楷体" w:hint="eastAsia"/>
                <w:kern w:val="0"/>
                <w:sz w:val="30"/>
                <w:szCs w:val="30"/>
              </w:rPr>
              <w:t>）</w:t>
            </w:r>
          </w:p>
        </w:tc>
      </w:tr>
      <w:tr w:rsidR="002A4283" w:rsidRPr="006753B6">
        <w:trPr>
          <w:trHeight w:val="515"/>
          <w:jc w:val="center"/>
        </w:trPr>
        <w:tc>
          <w:tcPr>
            <w:tcW w:w="2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Designing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50%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 xml:space="preserve">Content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15%</w:t>
            </w:r>
          </w:p>
        </w:tc>
      </w:tr>
      <w:tr w:rsidR="002A4283" w:rsidRPr="006753B6">
        <w:trPr>
          <w:trHeight w:val="536"/>
          <w:jc w:val="center"/>
        </w:trPr>
        <w:tc>
          <w:tcPr>
            <w:tcW w:w="2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Delivery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30%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Delivery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eastAsia="楷体" w:hAnsi="Times New Roman" w:cs="Times New Roman"/>
                <w:kern w:val="0"/>
                <w:sz w:val="30"/>
                <w:szCs w:val="30"/>
              </w:rPr>
              <w:t>5%</w:t>
            </w:r>
          </w:p>
        </w:tc>
      </w:tr>
    </w:tbl>
    <w:p w:rsidR="002A4283" w:rsidRPr="009D31EE" w:rsidRDefault="002A4283" w:rsidP="002A4283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授课环节的具体评分标准如下：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教学设计（</w:t>
      </w:r>
      <w:r w:rsidRPr="009D31EE">
        <w:rPr>
          <w:rFonts w:ascii="仿宋_GB2312" w:eastAsia="仿宋_GB2312" w:hAnsi="Times New Roman" w:cs="仿宋_GB2312"/>
          <w:sz w:val="32"/>
          <w:szCs w:val="32"/>
        </w:rPr>
        <w:t>50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分）：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体现翻转课堂的教学理念与教学模式；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教学目标合理、明确，能促进知识的活用与内化吸收；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教学内容选取得当，重点突出，课前与课上有机结合；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教学流程清晰，活动设计合理，组织紧凑、顺畅；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采用创新型教学方法，方法有效，具有启发性，能激发学生对课堂和学习的兴趣并深度参与；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课堂氛围良好，师生充分互动，学生积极参与。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教学展示（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30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分）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教师教态大方、自然；参赛时间控制得当；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讲解使用语言规范、清晰，富有感染力；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/>
          <w:sz w:val="32"/>
          <w:szCs w:val="32"/>
        </w:rPr>
        <w:t>PPT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课件设计合理，能起到有效的辅助作用。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如选手出现最后得分相同，以回答问题环节得分高低作为排名依据；如回答问题环节得分也相同，选手采取</w:t>
      </w:r>
      <w:r w:rsidRPr="009D31EE">
        <w:rPr>
          <w:rFonts w:ascii="仿宋_GB2312" w:eastAsia="仿宋_GB2312" w:hAnsi="Times New Roman" w:cs="仿宋_GB2312"/>
          <w:sz w:val="32"/>
          <w:szCs w:val="32"/>
        </w:rPr>
        <w:t xml:space="preserve"> 3 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分钟即兴演讲的形式决定名次。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9D31EE">
        <w:rPr>
          <w:rFonts w:ascii="楷体_GB2312" w:eastAsia="楷体_GB2312" w:hAnsi="Times New Roman" w:cs="楷体_GB2312"/>
          <w:b/>
          <w:bCs/>
          <w:sz w:val="32"/>
          <w:szCs w:val="32"/>
        </w:rPr>
        <w:t>2.</w:t>
      </w:r>
      <w:r w:rsidRPr="009D31EE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大学生外语演讲比赛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比赛分定题演讲和回答问题两个环节。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第一部分为定题演讲。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英语专业组、英语非专业组参赛选手以</w:t>
      </w:r>
      <w:r w:rsidRPr="009D31EE">
        <w:rPr>
          <w:rFonts w:ascii="仿宋_GB2312" w:eastAsia="仿宋_GB2312" w:hAnsi="Times New Roman" w:cs="仿宋_GB2312"/>
          <w:sz w:val="32"/>
          <w:szCs w:val="32"/>
        </w:rPr>
        <w:t>2019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年“外研社杯”全国英语演讲大赛组委会公布的定题演讲题目视频“</w:t>
      </w:r>
      <w:r w:rsidRPr="009D31EE">
        <w:rPr>
          <w:rFonts w:ascii="仿宋_GB2312" w:eastAsia="仿宋_GB2312" w:hAnsi="Times New Roman" w:cs="仿宋_GB2312"/>
          <w:sz w:val="32"/>
          <w:szCs w:val="32"/>
        </w:rPr>
        <w:t>My Big Story in 2049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”为依据（</w:t>
      </w:r>
      <w:r w:rsidRPr="009D31EE">
        <w:rPr>
          <w:rFonts w:ascii="仿宋_GB2312" w:eastAsia="仿宋_GB2312" w:hAnsi="Times New Roman" w:cs="仿宋_GB2312"/>
          <w:sz w:val="32"/>
          <w:szCs w:val="32"/>
        </w:rPr>
        <w:t>http://uchallenge.unipus.cn/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），自定副标题进行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分钟英语演讲，演讲中不能出现选手个人相关信息，限时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日语本科专业组、日语非专业组（包括本科院校非日语专业、专科院校日语专业和非日语专业）参赛选手在组委会提供的定题演讲题目范围（见附件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）内自选一个演讲主题进行演讲，演讲中不能出现选手个人相关信息，限时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楷体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第二部分为回答问题。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评委针对第一部分的主题演讲即兴提问，每个演讲选手回答一个问题，限时</w:t>
      </w:r>
      <w:r w:rsidRPr="009D31EE">
        <w:rPr>
          <w:rFonts w:ascii="仿宋_GB2312" w:eastAsia="仿宋_GB2312" w:hAnsi="Times New Roman" w:cs="仿宋_GB2312"/>
          <w:sz w:val="32"/>
          <w:szCs w:val="32"/>
        </w:rPr>
        <w:t>1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分钟，超时评委作相应扣分。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比赛采用现场抽签的方式决定参赛选手的出场顺序。各组别的参赛选手必须在本组比赛开始前</w:t>
      </w:r>
      <w:r w:rsidRPr="009D31EE">
        <w:rPr>
          <w:rFonts w:ascii="仿宋_GB2312" w:eastAsia="仿宋_GB2312" w:hAnsi="Times New Roman" w:cs="仿宋_GB2312"/>
          <w:sz w:val="32"/>
          <w:szCs w:val="32"/>
        </w:rPr>
        <w:t>30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分钟到比赛现场集中抽签。开赛前</w:t>
      </w:r>
      <w:r w:rsidRPr="009D31EE">
        <w:rPr>
          <w:rFonts w:ascii="仿宋_GB2312" w:eastAsia="仿宋_GB2312" w:hAnsi="Times New Roman" w:cs="仿宋_GB2312"/>
          <w:sz w:val="32"/>
          <w:szCs w:val="32"/>
        </w:rPr>
        <w:t>15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分钟参赛选手未到作弃权处理。评委由主办单位邀请外籍教师、在常高校外语院系的资深教师担任。</w:t>
      </w:r>
    </w:p>
    <w:p w:rsidR="002A4283" w:rsidRPr="009D31EE" w:rsidRDefault="002A4283" w:rsidP="005427D6">
      <w:pPr>
        <w:spacing w:line="620" w:lineRule="exact"/>
        <w:ind w:firstLineChars="200" w:firstLine="31680"/>
        <w:rPr>
          <w:rFonts w:ascii="仿宋_GB2312" w:eastAsia="仿宋_GB2312" w:hAnsi="Times New Roman" w:cs="Times New Roman"/>
          <w:sz w:val="32"/>
          <w:szCs w:val="32"/>
        </w:rPr>
      </w:pPr>
      <w:r w:rsidRPr="009D31EE">
        <w:rPr>
          <w:rFonts w:ascii="仿宋_GB2312" w:eastAsia="仿宋_GB2312" w:hAnsi="楷体" w:cs="仿宋_GB2312" w:hint="eastAsia"/>
          <w:sz w:val="32"/>
          <w:szCs w:val="32"/>
        </w:rPr>
        <w:t>评分标准。</w:t>
      </w:r>
      <w:r w:rsidRPr="009D31EE">
        <w:rPr>
          <w:rFonts w:ascii="仿宋_GB2312" w:eastAsia="仿宋_GB2312" w:hAnsi="Times New Roman" w:cs="仿宋_GB2312" w:hint="eastAsia"/>
          <w:sz w:val="32"/>
          <w:szCs w:val="32"/>
        </w:rPr>
        <w:t>决赛采用百分制，具体评分标准如下：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77"/>
        <w:gridCol w:w="1978"/>
        <w:gridCol w:w="1977"/>
        <w:gridCol w:w="1978"/>
      </w:tblGrid>
      <w:tr w:rsidR="002A4283" w:rsidRPr="006753B6">
        <w:trPr>
          <w:trHeight w:val="435"/>
          <w:jc w:val="center"/>
        </w:trPr>
        <w:tc>
          <w:tcPr>
            <w:tcW w:w="39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 xml:space="preserve">Prepared Speech </w:t>
            </w:r>
            <w:r w:rsidRPr="006753B6">
              <w:rPr>
                <w:rFonts w:ascii="Times New Roman" w:hAnsi="Times New Roman" w:cs="宋体" w:hint="eastAsia"/>
                <w:kern w:val="0"/>
                <w:sz w:val="30"/>
                <w:szCs w:val="30"/>
              </w:rPr>
              <w:t>（</w:t>
            </w: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60%</w:t>
            </w:r>
            <w:r w:rsidRPr="006753B6">
              <w:rPr>
                <w:rFonts w:ascii="Times New Roman" w:hAnsi="Times New Roman" w:cs="宋体" w:hint="eastAsia"/>
                <w:kern w:val="0"/>
                <w:sz w:val="30"/>
                <w:szCs w:val="30"/>
              </w:rPr>
              <w:t>）</w:t>
            </w:r>
          </w:p>
        </w:tc>
        <w:tc>
          <w:tcPr>
            <w:tcW w:w="3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 xml:space="preserve">Response to Questions </w:t>
            </w:r>
            <w:r w:rsidRPr="006753B6">
              <w:rPr>
                <w:rFonts w:ascii="Times New Roman" w:hAnsi="Times New Roman" w:cs="宋体" w:hint="eastAsia"/>
                <w:kern w:val="0"/>
                <w:sz w:val="30"/>
                <w:szCs w:val="30"/>
              </w:rPr>
              <w:t>（</w:t>
            </w: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40%</w:t>
            </w:r>
            <w:r w:rsidRPr="006753B6">
              <w:rPr>
                <w:rFonts w:ascii="Times New Roman" w:hAnsi="Times New Roman" w:cs="宋体" w:hint="eastAsia"/>
                <w:kern w:val="0"/>
                <w:sz w:val="30"/>
                <w:szCs w:val="30"/>
              </w:rPr>
              <w:t>）</w:t>
            </w:r>
          </w:p>
        </w:tc>
      </w:tr>
      <w:tr w:rsidR="002A4283" w:rsidRPr="006753B6">
        <w:trPr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Content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Content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15%</w:t>
            </w:r>
          </w:p>
        </w:tc>
      </w:tr>
      <w:tr w:rsidR="002A4283" w:rsidRPr="006753B6">
        <w:trPr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Language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Language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15%</w:t>
            </w:r>
          </w:p>
        </w:tc>
      </w:tr>
      <w:tr w:rsidR="002A4283" w:rsidRPr="006753B6">
        <w:trPr>
          <w:trHeight w:val="285"/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Delivery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Delivery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283" w:rsidRPr="006753B6" w:rsidRDefault="002A4283" w:rsidP="009D31EE">
            <w:pPr>
              <w:widowControl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6753B6">
              <w:rPr>
                <w:rFonts w:ascii="Times New Roman" w:hAnsi="Times New Roman" w:cs="Times New Roman"/>
                <w:kern w:val="0"/>
                <w:sz w:val="30"/>
                <w:szCs w:val="30"/>
              </w:rPr>
              <w:t>10%</w:t>
            </w:r>
          </w:p>
        </w:tc>
      </w:tr>
    </w:tbl>
    <w:p w:rsidR="002A4283" w:rsidRDefault="002A4283" w:rsidP="009D31EE">
      <w:pPr>
        <w:spacing w:line="620" w:lineRule="exact"/>
        <w:rPr>
          <w:rFonts w:cs="Times New Roman"/>
        </w:rPr>
      </w:pPr>
    </w:p>
    <w:sectPr w:rsidR="002A4283" w:rsidSect="005427D6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283" w:rsidRDefault="002A4283" w:rsidP="00211E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A4283" w:rsidRDefault="002A4283" w:rsidP="00211E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83" w:rsidRPr="00EA3006" w:rsidRDefault="002A4283" w:rsidP="00131BA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A300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A300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A300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EA300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A4283" w:rsidRDefault="002A4283" w:rsidP="00EA300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283" w:rsidRDefault="002A4283" w:rsidP="00211E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A4283" w:rsidRDefault="002A4283" w:rsidP="00211E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F46"/>
    <w:rsid w:val="00013470"/>
    <w:rsid w:val="000628C4"/>
    <w:rsid w:val="000B4081"/>
    <w:rsid w:val="000C5B2F"/>
    <w:rsid w:val="0010138E"/>
    <w:rsid w:val="00131BA4"/>
    <w:rsid w:val="001D1F46"/>
    <w:rsid w:val="00211E3A"/>
    <w:rsid w:val="00290E2F"/>
    <w:rsid w:val="002A4283"/>
    <w:rsid w:val="003245F2"/>
    <w:rsid w:val="005427D6"/>
    <w:rsid w:val="005C40B1"/>
    <w:rsid w:val="006753B6"/>
    <w:rsid w:val="00713466"/>
    <w:rsid w:val="00950C92"/>
    <w:rsid w:val="009D31EE"/>
    <w:rsid w:val="00AF2967"/>
    <w:rsid w:val="00C32ADE"/>
    <w:rsid w:val="00E61370"/>
    <w:rsid w:val="00EA3006"/>
    <w:rsid w:val="00F6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3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1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1E3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11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1E3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A3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4</Pages>
  <Words>233</Words>
  <Characters>1334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6</cp:revision>
  <dcterms:created xsi:type="dcterms:W3CDTF">2019-11-28T07:09:00Z</dcterms:created>
  <dcterms:modified xsi:type="dcterms:W3CDTF">2019-12-02T02:12:00Z</dcterms:modified>
</cp:coreProperties>
</file>