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</w:p>
    <w:p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进一步完善教育系统多元化人才</w:t>
      </w:r>
    </w:p>
    <w:p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引进机制的实施办法（试行）</w:t>
      </w:r>
    </w:p>
    <w:p>
      <w:pPr>
        <w:spacing w:line="5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为进一步加大我市优秀教育人才引进力度，畅通人才引进渠道，提高人才引进质量，根据《中共中央国务院关于全面深化新时代教师队伍建设改革的意见》（中发〔</w:t>
      </w:r>
      <w:r>
        <w:rPr>
          <w:rFonts w:ascii="仿宋_GB2312" w:eastAsia="仿宋_GB2312" w:cs="仿宋_GB2312"/>
          <w:sz w:val="32"/>
          <w:szCs w:val="32"/>
        </w:rPr>
        <w:t>2018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号）、《关于进一步做好全省中小学新进教师公开招聘工作的意见》（苏教规〔</w:t>
      </w:r>
      <w:r>
        <w:rPr>
          <w:rFonts w:ascii="仿宋_GB2312" w:eastAsia="仿宋_GB2312" w:cs="仿宋_GB2312"/>
          <w:sz w:val="32"/>
          <w:szCs w:val="32"/>
        </w:rPr>
        <w:t>2016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号）等文件精神，结合我市教育系统实际，制定本实施办法。</w:t>
      </w:r>
    </w:p>
    <w:p>
      <w:pPr>
        <w:spacing w:line="600" w:lineRule="exact"/>
        <w:ind w:firstLine="640" w:firstLineChars="200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一、指导思想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全面贯彻落实党的教育方针政策，聚焦教育事业高质量发展，打造高素质教育人才队伍，推进我市教育人事制度改革，形成公平公正、多元开放的引才机制。以建设一支师德高尚、业务精湛、结构合理、充满活力的教师队伍为目标，吸引和选拔一批优秀人才到我市任教，为提升我市教师队伍整体素质，提高教育教学质量，办人民满意的教育提供有力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 w:cs="仿宋_GB2312"/>
          <w:sz w:val="32"/>
          <w:szCs w:val="32"/>
        </w:rPr>
        <w:t>人才支撑。</w:t>
      </w:r>
    </w:p>
    <w:p>
      <w:pPr>
        <w:spacing w:line="600" w:lineRule="exact"/>
        <w:ind w:firstLine="640" w:firstLineChars="200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二、引才原则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（一）德才兼备。</w:t>
      </w:r>
      <w:r>
        <w:rPr>
          <w:rFonts w:hint="eastAsia" w:ascii="仿宋_GB2312" w:hAnsi="华文楷体" w:eastAsia="仿宋_GB2312" w:cs="仿宋_GB2312"/>
          <w:sz w:val="32"/>
          <w:szCs w:val="32"/>
        </w:rPr>
        <w:t>引进人才须</w:t>
      </w:r>
      <w:r>
        <w:rPr>
          <w:rFonts w:hint="eastAsia" w:ascii="仿宋_GB2312" w:eastAsia="仿宋_GB2312" w:cs="仿宋_GB2312"/>
          <w:sz w:val="32"/>
          <w:szCs w:val="32"/>
        </w:rPr>
        <w:t>热爱教育事业，具有敬业精神、团队合作意识和良好的职业道德，具有较深厚的专业功底、较强的教育科研能力、较丰富的实践经验或较高的业务管理水平。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（二）按需引进。</w:t>
      </w:r>
      <w:r>
        <w:rPr>
          <w:rFonts w:hint="eastAsia" w:ascii="仿宋_GB2312" w:hAnsi="华文楷体" w:eastAsia="仿宋_GB2312" w:cs="仿宋_GB2312"/>
          <w:sz w:val="32"/>
          <w:szCs w:val="32"/>
        </w:rPr>
        <w:t>加强人才规划，根据不同时期、不同单位</w:t>
      </w:r>
      <w:r>
        <w:rPr>
          <w:rFonts w:hint="eastAsia" w:ascii="仿宋_GB2312" w:eastAsia="仿宋_GB2312" w:cs="仿宋_GB2312"/>
          <w:sz w:val="32"/>
          <w:szCs w:val="32"/>
        </w:rPr>
        <w:t>教学、科研、专业建设与管理需要，合理确定人才引进的岗位、专业、数量、方式和频次，提高人才引进的质量。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（三）合理配置。</w:t>
      </w:r>
      <w:r>
        <w:rPr>
          <w:rFonts w:hint="eastAsia" w:ascii="仿宋_GB2312" w:eastAsia="仿宋_GB2312" w:cs="仿宋_GB2312"/>
          <w:sz w:val="32"/>
          <w:szCs w:val="32"/>
        </w:rPr>
        <w:t>以精品、优势专业为重点，坚持引进人才和合理配置相结合，促进教育教学人才有序流动，推动人才队伍专业结构、学历结构和能力结构更趋合理。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（四）公平择优。</w:t>
      </w:r>
      <w:r>
        <w:rPr>
          <w:rFonts w:hint="eastAsia" w:ascii="仿宋_GB2312" w:eastAsia="仿宋_GB2312" w:cs="仿宋_GB2312"/>
          <w:sz w:val="32"/>
          <w:szCs w:val="32"/>
        </w:rPr>
        <w:t>坚持公平、公正、公开的原则，严格按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照</w:t>
      </w:r>
      <w:r>
        <w:rPr>
          <w:rFonts w:hint="eastAsia" w:ascii="仿宋_GB2312" w:eastAsia="仿宋_GB2312" w:cs="仿宋_GB2312"/>
          <w:sz w:val="32"/>
          <w:szCs w:val="32"/>
        </w:rPr>
        <w:t>程序和要求进行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eastAsia="仿宋_GB2312" w:cs="仿宋_GB2312"/>
          <w:sz w:val="32"/>
          <w:szCs w:val="32"/>
        </w:rPr>
        <w:t>考核，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阳光操作，</w:t>
      </w:r>
      <w:r>
        <w:rPr>
          <w:rFonts w:hint="eastAsia" w:ascii="仿宋_GB2312" w:eastAsia="仿宋_GB2312" w:cs="仿宋_GB2312"/>
          <w:sz w:val="32"/>
          <w:szCs w:val="32"/>
        </w:rPr>
        <w:t>择优录用。</w:t>
      </w:r>
    </w:p>
    <w:p>
      <w:pPr>
        <w:spacing w:line="600" w:lineRule="exact"/>
        <w:ind w:firstLine="640" w:firstLineChars="200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三、适用范围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本办法适用于常州市教育局直属事业单位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辖市区引进高层次、紧缺型人才，经市人社部门同意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可参照执行。</w:t>
      </w:r>
    </w:p>
    <w:p>
      <w:pPr>
        <w:spacing w:line="600" w:lineRule="exact"/>
        <w:ind w:firstLine="640" w:firstLineChars="200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四、引才方式和程序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根据教育事业发展和教师队伍建设需求，依据不同层次、不同类型的人才特点，强化计划管理、规范引才程序，进一步拓宽引才渠道，创新引才方式，采用统一招聘、校园招聘、专场招聘、常年招聘、猎头招聘、专项选聘、直接引进等方式，探索完善多元化的人才引进工作体系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（一）需求预测、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计划申报</w:t>
      </w:r>
      <w:r>
        <w:rPr>
          <w:rFonts w:hint="eastAsia" w:ascii="华文楷体" w:hAnsi="华文楷体" w:eastAsia="华文楷体" w:cs="华文楷体"/>
          <w:sz w:val="32"/>
          <w:szCs w:val="32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每年</w:t>
      </w:r>
      <w:r>
        <w:rPr>
          <w:rFonts w:ascii="仿宋_GB2312" w:eastAsia="仿宋_GB2312" w:cs="仿宋_GB2312"/>
          <w:sz w:val="32"/>
          <w:szCs w:val="32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月份，由教育主管部门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印发</w:t>
      </w:r>
      <w:r>
        <w:rPr>
          <w:rFonts w:hint="eastAsia" w:ascii="仿宋_GB2312" w:eastAsia="仿宋_GB2312" w:cs="仿宋_GB2312"/>
          <w:sz w:val="32"/>
          <w:szCs w:val="32"/>
        </w:rPr>
        <w:t>下年度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人才</w:t>
      </w:r>
      <w:r>
        <w:rPr>
          <w:rFonts w:hint="eastAsia" w:ascii="仿宋_GB2312" w:eastAsia="仿宋_GB2312" w:cs="仿宋_GB2312"/>
          <w:sz w:val="32"/>
          <w:szCs w:val="32"/>
        </w:rPr>
        <w:t>需求预测通知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各单位在编制限额内，充分考虑学科结构、年龄结构、岗位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结构</w:t>
      </w:r>
      <w:r>
        <w:rPr>
          <w:rFonts w:hint="eastAsia" w:ascii="仿宋_GB2312" w:eastAsia="仿宋_GB2312" w:cs="仿宋_GB2312"/>
          <w:sz w:val="32"/>
          <w:szCs w:val="32"/>
        </w:rPr>
        <w:t>，结合当年度人员退休情况，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 w:cs="仿宋_GB2312"/>
          <w:sz w:val="32"/>
          <w:szCs w:val="32"/>
        </w:rPr>
        <w:t>下年度人才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招聘引进计划及相应岗位要求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（二）岗位分类、确定方式。</w:t>
      </w:r>
      <w:r>
        <w:rPr>
          <w:rFonts w:hint="eastAsia" w:ascii="仿宋_GB2312" w:eastAsia="仿宋_GB2312" w:cs="仿宋_GB2312"/>
          <w:sz w:val="32"/>
          <w:szCs w:val="32"/>
        </w:rPr>
        <w:t>教育主管部门综合各单位编制、岗位、人员结构等因素，审核各单位的人才需求数量，并结合各单位岗位情况，细化人才分类，确定每类人才的引进方式。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（三）制定方案、分类实施。</w:t>
      </w:r>
      <w:r>
        <w:rPr>
          <w:rFonts w:hint="eastAsia" w:ascii="仿宋_GB2312" w:eastAsia="仿宋_GB2312" w:cs="仿宋_GB2312"/>
          <w:sz w:val="32"/>
          <w:szCs w:val="32"/>
        </w:rPr>
        <w:t>根据确定的引才数量、岗位要求和招引方式，向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人社</w:t>
      </w:r>
      <w:r>
        <w:rPr>
          <w:rFonts w:hint="eastAsia" w:ascii="仿宋_GB2312" w:eastAsia="仿宋_GB2312" w:cs="仿宋_GB2312"/>
          <w:sz w:val="32"/>
          <w:szCs w:val="32"/>
        </w:rPr>
        <w:t>部门申请引才计划。教育主管部门结合教育特点，研究制定引才方案，经市人社部门同意后，分类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组织开展</w:t>
      </w:r>
      <w:r>
        <w:rPr>
          <w:rFonts w:hint="eastAsia" w:ascii="仿宋_GB2312" w:eastAsia="仿宋_GB2312" w:cs="仿宋_GB2312"/>
          <w:sz w:val="32"/>
          <w:szCs w:val="32"/>
        </w:rPr>
        <w:t>引才工作。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1.</w:t>
      </w:r>
      <w:r>
        <w:rPr>
          <w:rFonts w:hint="eastAsia" w:ascii="仿宋_GB2312" w:hAnsi="华文楷体" w:eastAsia="仿宋_GB2312" w:cs="仿宋_GB2312"/>
          <w:sz w:val="32"/>
          <w:szCs w:val="32"/>
        </w:rPr>
        <w:t>统一招聘。</w:t>
      </w:r>
      <w:r>
        <w:rPr>
          <w:rFonts w:hint="eastAsia" w:ascii="仿宋_GB2312" w:eastAsia="仿宋_GB2312" w:cs="仿宋_GB2312"/>
          <w:sz w:val="32"/>
          <w:szCs w:val="32"/>
        </w:rPr>
        <w:t>主要适用于教育事业发展所需的基础性人才、其他专业性人才。原则上每年集中组织统一招聘工作不少于一次，采取全市统一笔试、辖市区和直属学校组织技能测试和面试的方式进行。统一招聘结束后，如仍需补充教师，可根据实际情况按规定另行组织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2.</w:t>
      </w:r>
      <w:r>
        <w:rPr>
          <w:rFonts w:hint="eastAsia" w:ascii="仿宋_GB2312" w:hAnsi="华文楷体" w:eastAsia="仿宋_GB2312" w:cs="仿宋_GB2312"/>
          <w:sz w:val="32"/>
          <w:szCs w:val="32"/>
        </w:rPr>
        <w:t>校园招聘。</w:t>
      </w:r>
      <w:r>
        <w:rPr>
          <w:rFonts w:hint="eastAsia" w:ascii="仿宋_GB2312" w:eastAsia="仿宋_GB2312" w:cs="仿宋_GB2312"/>
          <w:sz w:val="32"/>
          <w:szCs w:val="32"/>
        </w:rPr>
        <w:t>主要适用于普通高中、职业学校、初中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教育</w:t>
      </w:r>
      <w:r>
        <w:rPr>
          <w:rFonts w:hint="eastAsia" w:ascii="仿宋_GB2312" w:eastAsia="仿宋_GB2312" w:cs="仿宋_GB2312"/>
          <w:sz w:val="32"/>
          <w:szCs w:val="32"/>
        </w:rPr>
        <w:t>集团一体化办学核心校、法人治理结构试点单位所需的高校优秀毕业生。采取“市区联动、统分结合”的方式进行，市教育局原则上每年集中组织一次市区联动的校园招聘。招聘地点设在省内外重点高校。根据实际需要，经审批可另行组织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3.</w:t>
      </w:r>
      <w:r>
        <w:rPr>
          <w:rFonts w:hint="eastAsia" w:ascii="仿宋_GB2312" w:hAnsi="华文楷体" w:eastAsia="仿宋_GB2312" w:cs="仿宋_GB2312"/>
          <w:sz w:val="32"/>
          <w:szCs w:val="32"/>
        </w:rPr>
        <w:t>专场招聘。</w:t>
      </w:r>
      <w:r>
        <w:rPr>
          <w:rFonts w:hint="eastAsia" w:ascii="仿宋_GB2312" w:eastAsia="仿宋_GB2312" w:cs="仿宋_GB2312"/>
          <w:sz w:val="32"/>
          <w:szCs w:val="32"/>
        </w:rPr>
        <w:t>主要适用于教育事业发展所需的高层次人才、紧缺型人才、技能型人才、基础性人才。经教育和人社部门同意，组织相关学校参加省、市教育部门或高校组织的招聘会。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4.</w:t>
      </w:r>
      <w:r>
        <w:rPr>
          <w:rFonts w:hint="eastAsia" w:ascii="仿宋_GB2312" w:hAnsi="华文楷体" w:eastAsia="仿宋_GB2312" w:cs="仿宋_GB2312"/>
          <w:sz w:val="32"/>
          <w:szCs w:val="32"/>
        </w:rPr>
        <w:t>常年招聘。</w:t>
      </w:r>
      <w:r>
        <w:rPr>
          <w:rFonts w:hint="eastAsia" w:ascii="仿宋_GB2312" w:eastAsia="仿宋_GB2312" w:cs="仿宋_GB2312"/>
          <w:sz w:val="32"/>
          <w:szCs w:val="32"/>
        </w:rPr>
        <w:t>主要适用于教育事业发展所需的高层次人才、紧缺型人才、技能型人才。招聘简章每年发布一次，招聘单位根据报名情况适时组织考试考核，动态调整招聘岗位。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5.</w:t>
      </w:r>
      <w:r>
        <w:rPr>
          <w:rFonts w:hint="eastAsia" w:ascii="仿宋_GB2312" w:hAnsi="华文楷体" w:eastAsia="仿宋_GB2312" w:cs="仿宋_GB2312"/>
          <w:sz w:val="32"/>
          <w:szCs w:val="32"/>
        </w:rPr>
        <w:t>猎头招聘。</w:t>
      </w:r>
      <w:r>
        <w:rPr>
          <w:rFonts w:hint="eastAsia" w:ascii="仿宋_GB2312" w:eastAsia="仿宋_GB2312" w:cs="仿宋_GB2312"/>
          <w:sz w:val="32"/>
          <w:szCs w:val="32"/>
        </w:rPr>
        <w:t>主要适用于教育事业发展所需的高层次人才、紧缺型人才、技能型人才。重点对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优秀成熟</w:t>
      </w:r>
      <w:r>
        <w:rPr>
          <w:rFonts w:hint="eastAsia" w:ascii="仿宋_GB2312" w:eastAsia="仿宋_GB2312" w:cs="仿宋_GB2312"/>
          <w:sz w:val="32"/>
          <w:szCs w:val="32"/>
        </w:rPr>
        <w:t>人才，可委托猎头公司招聘引进。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6.</w:t>
      </w:r>
      <w:r>
        <w:rPr>
          <w:rFonts w:hint="eastAsia" w:ascii="仿宋_GB2312" w:hAnsi="华文楷体" w:eastAsia="仿宋_GB2312" w:cs="仿宋_GB2312"/>
          <w:sz w:val="32"/>
          <w:szCs w:val="32"/>
        </w:rPr>
        <w:t>专项选聘。</w:t>
      </w:r>
      <w:r>
        <w:rPr>
          <w:rFonts w:hint="eastAsia" w:ascii="仿宋_GB2312" w:eastAsia="仿宋_GB2312" w:cs="仿宋_GB2312"/>
          <w:sz w:val="32"/>
          <w:szCs w:val="32"/>
        </w:rPr>
        <w:t>主要适用于优秀师范生、乡村教师定向培养计划等项目的高校毕业生。经教育和人社部门同意，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采取</w:t>
      </w:r>
      <w:r>
        <w:rPr>
          <w:rFonts w:hint="eastAsia" w:ascii="仿宋_GB2312" w:eastAsia="仿宋_GB2312" w:cs="仿宋_GB2312"/>
          <w:sz w:val="32"/>
          <w:szCs w:val="32"/>
        </w:rPr>
        <w:t>专项选拔、考核择优的方式聘用。</w:t>
      </w:r>
    </w:p>
    <w:p>
      <w:pPr>
        <w:spacing w:line="600" w:lineRule="exact"/>
        <w:ind w:firstLine="640" w:firstLineChars="200"/>
        <w:rPr>
          <w:rFonts w:ascii="仿宋_GB2312" w:hAnsi="华文楷体" w:eastAsia="仿宋_GB2312" w:cs="Times New Roman"/>
          <w:color w:val="FF0000"/>
          <w:sz w:val="32"/>
          <w:szCs w:val="32"/>
        </w:rPr>
      </w:pPr>
      <w:r>
        <w:rPr>
          <w:rFonts w:ascii="仿宋_GB2312" w:hAnsi="华文楷体" w:eastAsia="仿宋_GB2312" w:cs="仿宋_GB2312"/>
          <w:sz w:val="32"/>
          <w:szCs w:val="32"/>
        </w:rPr>
        <w:t>7.</w:t>
      </w:r>
      <w:r>
        <w:rPr>
          <w:rFonts w:hint="eastAsia" w:ascii="仿宋_GB2312" w:hAnsi="华文楷体" w:eastAsia="仿宋_GB2312" w:cs="仿宋_GB2312"/>
          <w:sz w:val="32"/>
          <w:szCs w:val="32"/>
        </w:rPr>
        <w:t>直接引进。</w:t>
      </w:r>
      <w:r>
        <w:rPr>
          <w:rFonts w:hint="eastAsia" w:ascii="仿宋_GB2312" w:eastAsia="仿宋_GB2312" w:cs="仿宋_GB2312"/>
          <w:sz w:val="32"/>
          <w:szCs w:val="32"/>
        </w:rPr>
        <w:t>适用于教育事业发展所需的机关事业单位在编在岗的教学、管理、科研人员。符合办理调动条件的人员，经考核择优聘用。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（四）体检考察，公示聘用。</w:t>
      </w:r>
      <w:r>
        <w:rPr>
          <w:rFonts w:hint="eastAsia" w:ascii="仿宋_GB2312" w:eastAsia="仿宋_GB2312" w:cs="仿宋_GB2312"/>
          <w:sz w:val="32"/>
          <w:szCs w:val="32"/>
        </w:rPr>
        <w:t>除直接引进人才外，其他人才均需按要求参加教育主管部门组织的体检考察。拟录用人员名单须在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简章发布网站</w:t>
      </w:r>
      <w:r>
        <w:rPr>
          <w:rFonts w:hint="eastAsia" w:ascii="仿宋_GB2312" w:eastAsia="仿宋_GB2312" w:cs="仿宋_GB2312"/>
          <w:sz w:val="32"/>
          <w:szCs w:val="32"/>
        </w:rPr>
        <w:t>公示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仿宋_GB2312"/>
          <w:sz w:val="32"/>
          <w:szCs w:val="32"/>
        </w:rPr>
        <w:t>个工作日。公示结束后，按规定办理聘用手续。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四、有关要求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hAnsi="华文楷体" w:eastAsia="楷体_GB2312" w:cs="楷体_GB2312"/>
          <w:sz w:val="32"/>
          <w:szCs w:val="32"/>
        </w:rPr>
        <w:t>1.</w:t>
      </w:r>
      <w:r>
        <w:rPr>
          <w:rFonts w:hint="eastAsia" w:ascii="楷体_GB2312" w:hAnsi="华文楷体" w:eastAsia="楷体_GB2312" w:cs="楷体_GB2312"/>
          <w:sz w:val="32"/>
          <w:szCs w:val="32"/>
        </w:rPr>
        <w:t>加强组织领导。</w:t>
      </w:r>
      <w:r>
        <w:rPr>
          <w:rFonts w:hint="eastAsia" w:ascii="仿宋_GB2312" w:eastAsia="仿宋_GB2312" w:cs="仿宋_GB2312"/>
          <w:sz w:val="32"/>
          <w:szCs w:val="32"/>
        </w:rPr>
        <w:t>进一步完善教育人才工作领导机制，统筹协调教育人才引进工作。按照事业单位分级管理体制，建立健全以学校为用人主体，教育行政部门主导，人社部门负责指导和监督管理的引才机制，确保权责清晰、分工明确、责任到人、监管到位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hAnsi="华文楷体" w:eastAsia="楷体_GB2312" w:cs="楷体_GB2312"/>
          <w:sz w:val="32"/>
          <w:szCs w:val="32"/>
        </w:rPr>
        <w:t>2.</w:t>
      </w:r>
      <w:r>
        <w:rPr>
          <w:rFonts w:hint="eastAsia" w:ascii="楷体_GB2312" w:hAnsi="华文楷体" w:eastAsia="楷体_GB2312" w:cs="楷体_GB2312"/>
          <w:sz w:val="32"/>
          <w:szCs w:val="32"/>
        </w:rPr>
        <w:t>加强队伍建设。</w:t>
      </w:r>
      <w:r>
        <w:rPr>
          <w:rFonts w:hint="eastAsia" w:ascii="仿宋_GB2312" w:eastAsia="仿宋_GB2312" w:cs="仿宋_GB2312"/>
          <w:sz w:val="32"/>
          <w:szCs w:val="32"/>
        </w:rPr>
        <w:t>进一步加强教育引才支持队伍建设，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完善</w:t>
      </w:r>
      <w:r>
        <w:rPr>
          <w:rFonts w:hint="eastAsia" w:ascii="仿宋_GB2312" w:eastAsia="仿宋_GB2312" w:cs="仿宋_GB2312"/>
          <w:sz w:val="32"/>
          <w:szCs w:val="32"/>
        </w:rPr>
        <w:t>命题专家库、面试评委库、教学评委库等专业队伍，保障引才工作质量。在引才的各个环节中，坚持公平为先、质量为本、程序规范、统筹高效的工作原则，不断完善优秀教师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招引</w:t>
      </w:r>
      <w:r>
        <w:rPr>
          <w:rFonts w:hint="eastAsia" w:ascii="仿宋_GB2312" w:eastAsia="仿宋_GB2312" w:cs="仿宋_GB2312"/>
          <w:sz w:val="32"/>
          <w:szCs w:val="32"/>
        </w:rPr>
        <w:t>补充的长效机制。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hAnsi="华文楷体" w:eastAsia="楷体_GB2312" w:cs="楷体_GB2312"/>
          <w:sz w:val="32"/>
          <w:szCs w:val="32"/>
        </w:rPr>
        <w:t>3.</w:t>
      </w:r>
      <w:r>
        <w:rPr>
          <w:rFonts w:hint="eastAsia" w:ascii="楷体_GB2312" w:hAnsi="华文楷体" w:eastAsia="楷体_GB2312" w:cs="楷体_GB2312"/>
          <w:sz w:val="32"/>
          <w:szCs w:val="32"/>
        </w:rPr>
        <w:t>加强纪律监督。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加强对引才工作的纪律</w:t>
      </w:r>
      <w:r>
        <w:rPr>
          <w:rFonts w:hint="eastAsia" w:ascii="仿宋_GB2312" w:eastAsia="仿宋_GB2312" w:cs="仿宋_GB2312"/>
          <w:sz w:val="32"/>
          <w:szCs w:val="32"/>
        </w:rPr>
        <w:t>，面向社会发布的简章须标注监督举报电话。市人社部门和</w:t>
      </w:r>
      <w:bookmarkStart w:id="0" w:name="_GoBack"/>
      <w:r>
        <w:rPr>
          <w:rFonts w:hint="eastAsia" w:ascii="仿宋_GB2312" w:eastAsia="仿宋_GB2312" w:cs="仿宋_GB2312"/>
          <w:color w:val="auto"/>
          <w:sz w:val="32"/>
          <w:szCs w:val="32"/>
        </w:rPr>
        <w:t>纪检监察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机关</w:t>
      </w:r>
      <w:bookmarkEnd w:id="0"/>
      <w:r>
        <w:rPr>
          <w:rFonts w:hint="eastAsia" w:ascii="仿宋_GB2312" w:eastAsia="仿宋_GB2312" w:cs="仿宋_GB2312"/>
          <w:sz w:val="32"/>
          <w:szCs w:val="32"/>
        </w:rPr>
        <w:t>参与引才全过程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指导</w:t>
      </w:r>
      <w:r>
        <w:rPr>
          <w:rFonts w:hint="eastAsia" w:ascii="仿宋_GB2312" w:eastAsia="仿宋_GB2312" w:cs="仿宋_GB2312"/>
          <w:sz w:val="32"/>
          <w:szCs w:val="32"/>
        </w:rPr>
        <w:t>监督。各相关部门和单位要切实履行相应职责，对违反引才用人规定和程序的相关人员，依法依规严肃处理。</w:t>
      </w:r>
    </w:p>
    <w:p>
      <w:pPr>
        <w:spacing w:line="5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Times New Roman" w:hAnsi="Times New Roman" w:cs="Times New Roman"/>
        <w:sz w:val="28"/>
        <w:szCs w:val="28"/>
      </w:rPr>
    </w:pPr>
    <w:r>
      <w:rPr>
        <w:rStyle w:val="8"/>
        <w:rFonts w:ascii="Times New Roman" w:hAnsi="Times New Roman" w:cs="Times New Roman"/>
        <w:sz w:val="28"/>
        <w:szCs w:val="28"/>
      </w:rPr>
      <w:fldChar w:fldCharType="begin"/>
    </w:r>
    <w:r>
      <w:rPr>
        <w:rStyle w:val="8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8"/>
        <w:rFonts w:ascii="Times New Roman" w:hAnsi="Times New Roman" w:cs="Times New Roman"/>
        <w:sz w:val="28"/>
        <w:szCs w:val="28"/>
      </w:rPr>
      <w:fldChar w:fldCharType="separate"/>
    </w:r>
    <w:r>
      <w:rPr>
        <w:rStyle w:val="8"/>
        <w:rFonts w:ascii="Times New Roman" w:hAnsi="Times New Roman" w:cs="Times New Roman"/>
        <w:sz w:val="28"/>
        <w:szCs w:val="28"/>
      </w:rPr>
      <w:t>- 4 -</w:t>
    </w:r>
    <w:r>
      <w:rPr>
        <w:rStyle w:val="8"/>
        <w:rFonts w:ascii="Times New Roman" w:hAnsi="Times New Roman" w:cs="Times New Roman"/>
        <w:sz w:val="28"/>
        <w:szCs w:val="28"/>
      </w:rPr>
      <w:fldChar w:fldCharType="end"/>
    </w:r>
  </w:p>
  <w:p>
    <w:pPr>
      <w:pStyle w:val="3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7566"/>
    <w:rsid w:val="00022AD3"/>
    <w:rsid w:val="00043A5D"/>
    <w:rsid w:val="000A4E2B"/>
    <w:rsid w:val="000B25CB"/>
    <w:rsid w:val="000B2CE2"/>
    <w:rsid w:val="000B79FC"/>
    <w:rsid w:val="0010430B"/>
    <w:rsid w:val="00121DA0"/>
    <w:rsid w:val="00136469"/>
    <w:rsid w:val="001E2341"/>
    <w:rsid w:val="00200A63"/>
    <w:rsid w:val="00222B1D"/>
    <w:rsid w:val="002670E3"/>
    <w:rsid w:val="002B1E29"/>
    <w:rsid w:val="002B7E8F"/>
    <w:rsid w:val="002C47D9"/>
    <w:rsid w:val="002C7EA7"/>
    <w:rsid w:val="002D1046"/>
    <w:rsid w:val="002F2953"/>
    <w:rsid w:val="0030117D"/>
    <w:rsid w:val="00325E73"/>
    <w:rsid w:val="00331B61"/>
    <w:rsid w:val="003560F6"/>
    <w:rsid w:val="003622B0"/>
    <w:rsid w:val="00394900"/>
    <w:rsid w:val="003A2C67"/>
    <w:rsid w:val="003A63C1"/>
    <w:rsid w:val="00442832"/>
    <w:rsid w:val="004559A2"/>
    <w:rsid w:val="00470EF2"/>
    <w:rsid w:val="004A2A39"/>
    <w:rsid w:val="004D767F"/>
    <w:rsid w:val="005165E1"/>
    <w:rsid w:val="00546550"/>
    <w:rsid w:val="00553E42"/>
    <w:rsid w:val="0056286D"/>
    <w:rsid w:val="00567196"/>
    <w:rsid w:val="00580E0F"/>
    <w:rsid w:val="005826AD"/>
    <w:rsid w:val="005B163B"/>
    <w:rsid w:val="005B2185"/>
    <w:rsid w:val="005C0CD2"/>
    <w:rsid w:val="005C702F"/>
    <w:rsid w:val="005E4000"/>
    <w:rsid w:val="00624D9B"/>
    <w:rsid w:val="00643092"/>
    <w:rsid w:val="00655A16"/>
    <w:rsid w:val="00695323"/>
    <w:rsid w:val="006A3EF3"/>
    <w:rsid w:val="006A5004"/>
    <w:rsid w:val="006C4BB5"/>
    <w:rsid w:val="006D6C5D"/>
    <w:rsid w:val="006E406D"/>
    <w:rsid w:val="006E7364"/>
    <w:rsid w:val="00707C5E"/>
    <w:rsid w:val="00746E22"/>
    <w:rsid w:val="00747AFC"/>
    <w:rsid w:val="00747C9B"/>
    <w:rsid w:val="00762E4F"/>
    <w:rsid w:val="00772766"/>
    <w:rsid w:val="007737F5"/>
    <w:rsid w:val="00780D77"/>
    <w:rsid w:val="00792DF4"/>
    <w:rsid w:val="007D2070"/>
    <w:rsid w:val="007D30F2"/>
    <w:rsid w:val="007E5B23"/>
    <w:rsid w:val="007F0B24"/>
    <w:rsid w:val="007F43D9"/>
    <w:rsid w:val="007F6B0F"/>
    <w:rsid w:val="00803300"/>
    <w:rsid w:val="00804AE8"/>
    <w:rsid w:val="00830276"/>
    <w:rsid w:val="00840256"/>
    <w:rsid w:val="00852F24"/>
    <w:rsid w:val="00857CEE"/>
    <w:rsid w:val="008651DE"/>
    <w:rsid w:val="008C7DDC"/>
    <w:rsid w:val="00946387"/>
    <w:rsid w:val="00947566"/>
    <w:rsid w:val="0096032E"/>
    <w:rsid w:val="00966703"/>
    <w:rsid w:val="009727CD"/>
    <w:rsid w:val="00976747"/>
    <w:rsid w:val="009861C8"/>
    <w:rsid w:val="00993C04"/>
    <w:rsid w:val="009A303E"/>
    <w:rsid w:val="009A36AB"/>
    <w:rsid w:val="009A3776"/>
    <w:rsid w:val="009A397F"/>
    <w:rsid w:val="009D1785"/>
    <w:rsid w:val="009E1DCD"/>
    <w:rsid w:val="00A118B4"/>
    <w:rsid w:val="00A20B2C"/>
    <w:rsid w:val="00A25FAE"/>
    <w:rsid w:val="00A7518D"/>
    <w:rsid w:val="00A82C7A"/>
    <w:rsid w:val="00A87291"/>
    <w:rsid w:val="00A92607"/>
    <w:rsid w:val="00A977D0"/>
    <w:rsid w:val="00AB1F23"/>
    <w:rsid w:val="00AC3175"/>
    <w:rsid w:val="00B304F3"/>
    <w:rsid w:val="00B45098"/>
    <w:rsid w:val="00B52440"/>
    <w:rsid w:val="00B83776"/>
    <w:rsid w:val="00BE6131"/>
    <w:rsid w:val="00C06C15"/>
    <w:rsid w:val="00C521E2"/>
    <w:rsid w:val="00C67997"/>
    <w:rsid w:val="00CC493A"/>
    <w:rsid w:val="00D05728"/>
    <w:rsid w:val="00D16116"/>
    <w:rsid w:val="00D438C4"/>
    <w:rsid w:val="00D77F90"/>
    <w:rsid w:val="00D803D6"/>
    <w:rsid w:val="00DC46FE"/>
    <w:rsid w:val="00DD0655"/>
    <w:rsid w:val="00DE451E"/>
    <w:rsid w:val="00E01F35"/>
    <w:rsid w:val="00E07016"/>
    <w:rsid w:val="00E37424"/>
    <w:rsid w:val="00E52B3C"/>
    <w:rsid w:val="00E56E94"/>
    <w:rsid w:val="00E57C07"/>
    <w:rsid w:val="00E627F4"/>
    <w:rsid w:val="00E96A73"/>
    <w:rsid w:val="00EA4E20"/>
    <w:rsid w:val="00EB5F0B"/>
    <w:rsid w:val="00EE318E"/>
    <w:rsid w:val="00EF7E03"/>
    <w:rsid w:val="00F078A1"/>
    <w:rsid w:val="00F10F3E"/>
    <w:rsid w:val="00F257A6"/>
    <w:rsid w:val="00F35ED9"/>
    <w:rsid w:val="00F36066"/>
    <w:rsid w:val="00F53AA4"/>
    <w:rsid w:val="00F74716"/>
    <w:rsid w:val="00F87704"/>
    <w:rsid w:val="00F90405"/>
    <w:rsid w:val="00FA007A"/>
    <w:rsid w:val="00FC7C06"/>
    <w:rsid w:val="00FE30AC"/>
    <w:rsid w:val="00FE39F4"/>
    <w:rsid w:val="00FE7DF3"/>
    <w:rsid w:val="0A7056BA"/>
    <w:rsid w:val="2AF33D79"/>
    <w:rsid w:val="304048AC"/>
    <w:rsid w:val="47243F5F"/>
    <w:rsid w:val="52D659BB"/>
    <w:rsid w:val="6788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uiPriority w:val="99"/>
  </w:style>
  <w:style w:type="character" w:customStyle="1" w:styleId="10">
    <w:name w:val="Heading 1 Char"/>
    <w:basedOn w:val="6"/>
    <w:link w:val="2"/>
    <w:qFormat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11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12">
    <w:name w:val="Header Char"/>
    <w:basedOn w:val="6"/>
    <w:link w:val="4"/>
    <w:locked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5</Pages>
  <Words>325</Words>
  <Characters>1855</Characters>
  <Lines>0</Lines>
  <Paragraphs>0</Paragraphs>
  <TotalTime>51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2018-09-03T06:03:00Z</dcterms:created>
  <dc:creator>微软用户</dc:creator>
  <cp:lastModifiedBy>毛公仔</cp:lastModifiedBy>
  <cp:lastPrinted>2018-08-22T06:11:00Z</cp:lastPrinted>
  <dcterms:modified xsi:type="dcterms:W3CDTF">2018-09-07T05:39:02Z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