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590" w:rsidRPr="003D7F1E" w:rsidRDefault="00F05590" w:rsidP="003D7F1E">
      <w:pPr>
        <w:rPr>
          <w:rFonts w:ascii="黑体" w:eastAsia="黑体" w:hAnsi="黑体" w:cs="黑体"/>
          <w:sz w:val="32"/>
          <w:szCs w:val="32"/>
        </w:rPr>
      </w:pPr>
      <w:r w:rsidRPr="003D7F1E">
        <w:rPr>
          <w:rFonts w:ascii="黑体" w:eastAsia="黑体" w:hAnsi="黑体" w:cs="黑体" w:hint="eastAsia"/>
          <w:sz w:val="32"/>
          <w:szCs w:val="32"/>
        </w:rPr>
        <w:t>附件</w:t>
      </w:r>
      <w:r w:rsidRPr="003D7F1E">
        <w:rPr>
          <w:rFonts w:ascii="黑体" w:eastAsia="黑体" w:hAnsi="黑体" w:cs="黑体"/>
          <w:sz w:val="32"/>
          <w:szCs w:val="32"/>
        </w:rPr>
        <w:t>2</w:t>
      </w:r>
    </w:p>
    <w:p w:rsidR="00F05590" w:rsidRPr="003D7F1E" w:rsidRDefault="00F05590" w:rsidP="003D7F1E">
      <w:pPr>
        <w:spacing w:line="700" w:lineRule="exact"/>
        <w:jc w:val="center"/>
        <w:rPr>
          <w:rFonts w:ascii="方正小标宋简体" w:eastAsia="方正小标宋简体" w:hAnsi="华文仿宋" w:cs="Times New Roman"/>
          <w:sz w:val="44"/>
          <w:szCs w:val="44"/>
        </w:rPr>
      </w:pPr>
      <w:r w:rsidRPr="003D7F1E">
        <w:rPr>
          <w:rFonts w:ascii="方正小标宋简体" w:eastAsia="方正小标宋简体" w:cs="方正小标宋简体" w:hint="eastAsia"/>
          <w:sz w:val="44"/>
          <w:szCs w:val="44"/>
        </w:rPr>
        <w:t>常州市第二届中小学教师中华经典诵写讲综合能力展示评分标准</w:t>
      </w:r>
    </w:p>
    <w:tbl>
      <w:tblPr>
        <w:tblpPr w:leftFromText="180" w:rightFromText="180" w:vertAnchor="page" w:horzAnchor="margin" w:tblpY="3625"/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06"/>
        <w:gridCol w:w="709"/>
        <w:gridCol w:w="1496"/>
        <w:gridCol w:w="851"/>
        <w:gridCol w:w="2425"/>
        <w:gridCol w:w="929"/>
      </w:tblGrid>
      <w:tr w:rsidR="00F05590" w:rsidRPr="003D7F1E" w:rsidTr="003D7F1E">
        <w:trPr>
          <w:trHeight w:val="458"/>
        </w:trPr>
        <w:tc>
          <w:tcPr>
            <w:tcW w:w="3715" w:type="dxa"/>
            <w:gridSpan w:val="2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朗诵（总分</w:t>
            </w:r>
            <w:r w:rsidRPr="003D7F1E">
              <w:rPr>
                <w:rFonts w:ascii="仿宋_GB2312" w:eastAsia="仿宋_GB2312" w:cs="仿宋_GB2312"/>
                <w:b/>
                <w:bCs/>
              </w:rPr>
              <w:t>100</w:t>
            </w:r>
            <w:r w:rsidRPr="003D7F1E">
              <w:rPr>
                <w:rFonts w:ascii="仿宋_GB2312" w:eastAsia="仿宋_GB2312" w:cs="仿宋_GB2312" w:hint="eastAsia"/>
                <w:b/>
                <w:bCs/>
              </w:rPr>
              <w:t>分）</w:t>
            </w:r>
          </w:p>
        </w:tc>
        <w:tc>
          <w:tcPr>
            <w:tcW w:w="2347" w:type="dxa"/>
            <w:gridSpan w:val="2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书写（总分</w:t>
            </w:r>
            <w:r w:rsidRPr="003D7F1E">
              <w:rPr>
                <w:rFonts w:ascii="仿宋_GB2312" w:eastAsia="仿宋_GB2312" w:cs="仿宋_GB2312"/>
                <w:b/>
                <w:bCs/>
              </w:rPr>
              <w:t>100</w:t>
            </w:r>
            <w:r w:rsidRPr="003D7F1E">
              <w:rPr>
                <w:rFonts w:ascii="仿宋_GB2312" w:eastAsia="仿宋_GB2312" w:cs="仿宋_GB2312" w:hint="eastAsia"/>
                <w:b/>
                <w:bCs/>
              </w:rPr>
              <w:t>分）</w:t>
            </w:r>
          </w:p>
        </w:tc>
        <w:tc>
          <w:tcPr>
            <w:tcW w:w="3354" w:type="dxa"/>
            <w:gridSpan w:val="2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讲解（总分</w:t>
            </w:r>
            <w:r w:rsidRPr="003D7F1E">
              <w:rPr>
                <w:rFonts w:ascii="仿宋_GB2312" w:eastAsia="仿宋_GB2312" w:cs="仿宋_GB2312"/>
                <w:b/>
                <w:bCs/>
              </w:rPr>
              <w:t>100</w:t>
            </w:r>
            <w:r w:rsidRPr="003D7F1E">
              <w:rPr>
                <w:rFonts w:ascii="仿宋_GB2312" w:eastAsia="仿宋_GB2312" w:cs="仿宋_GB2312" w:hint="eastAsia"/>
                <w:b/>
                <w:bCs/>
              </w:rPr>
              <w:t>分）</w:t>
            </w:r>
          </w:p>
        </w:tc>
      </w:tr>
      <w:tr w:rsidR="00F05590" w:rsidRPr="003D7F1E" w:rsidTr="003D7F1E">
        <w:trPr>
          <w:trHeight w:val="460"/>
        </w:trPr>
        <w:tc>
          <w:tcPr>
            <w:tcW w:w="300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评分标准</w:t>
            </w:r>
          </w:p>
        </w:tc>
        <w:tc>
          <w:tcPr>
            <w:tcW w:w="70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分值</w:t>
            </w:r>
          </w:p>
        </w:tc>
        <w:tc>
          <w:tcPr>
            <w:tcW w:w="149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评分标准</w:t>
            </w:r>
          </w:p>
        </w:tc>
        <w:tc>
          <w:tcPr>
            <w:tcW w:w="851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分值</w:t>
            </w:r>
          </w:p>
        </w:tc>
        <w:tc>
          <w:tcPr>
            <w:tcW w:w="2425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评分标准</w:t>
            </w:r>
          </w:p>
        </w:tc>
        <w:tc>
          <w:tcPr>
            <w:tcW w:w="92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cs="Times New Roman"/>
                <w:b/>
                <w:bCs/>
              </w:rPr>
            </w:pPr>
            <w:r w:rsidRPr="003D7F1E">
              <w:rPr>
                <w:rFonts w:ascii="仿宋_GB2312" w:eastAsia="仿宋_GB2312" w:cs="仿宋_GB2312" w:hint="eastAsia"/>
                <w:b/>
                <w:bCs/>
              </w:rPr>
              <w:t>分值</w:t>
            </w:r>
          </w:p>
        </w:tc>
      </w:tr>
      <w:tr w:rsidR="00F05590" w:rsidRPr="003D7F1E" w:rsidTr="003D7F1E">
        <w:tc>
          <w:tcPr>
            <w:tcW w:w="300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仪态仪表</w:t>
            </w:r>
          </w:p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服饰得体，行为礼貌。</w:t>
            </w:r>
          </w:p>
        </w:tc>
        <w:tc>
          <w:tcPr>
            <w:tcW w:w="70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10</w:t>
            </w:r>
          </w:p>
        </w:tc>
        <w:tc>
          <w:tcPr>
            <w:tcW w:w="149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书写规范</w:t>
            </w:r>
          </w:p>
        </w:tc>
        <w:tc>
          <w:tcPr>
            <w:tcW w:w="851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60</w:t>
            </w:r>
          </w:p>
        </w:tc>
        <w:tc>
          <w:tcPr>
            <w:tcW w:w="2425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文本解读透彻，有理论、有方法、有工具。</w:t>
            </w:r>
          </w:p>
        </w:tc>
        <w:tc>
          <w:tcPr>
            <w:tcW w:w="92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30</w:t>
            </w:r>
          </w:p>
        </w:tc>
      </w:tr>
      <w:tr w:rsidR="00F05590" w:rsidRPr="003D7F1E" w:rsidTr="003D7F1E">
        <w:tc>
          <w:tcPr>
            <w:tcW w:w="300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语言能力</w:t>
            </w:r>
          </w:p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普通话标准，吐字清楚、准确，语言生动，语气、语调、节奏富于变化，抑扬顿挫切合内容。</w:t>
            </w:r>
          </w:p>
        </w:tc>
        <w:tc>
          <w:tcPr>
            <w:tcW w:w="70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30</w:t>
            </w:r>
          </w:p>
        </w:tc>
        <w:tc>
          <w:tcPr>
            <w:tcW w:w="149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字体美观</w:t>
            </w:r>
          </w:p>
        </w:tc>
        <w:tc>
          <w:tcPr>
            <w:tcW w:w="851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10</w:t>
            </w:r>
          </w:p>
        </w:tc>
        <w:tc>
          <w:tcPr>
            <w:tcW w:w="2425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讲析深入浅出，明白易懂。</w:t>
            </w:r>
          </w:p>
        </w:tc>
        <w:tc>
          <w:tcPr>
            <w:tcW w:w="92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20</w:t>
            </w:r>
          </w:p>
        </w:tc>
      </w:tr>
      <w:tr w:rsidR="00F05590" w:rsidRPr="003D7F1E" w:rsidTr="003D7F1E">
        <w:trPr>
          <w:trHeight w:val="2411"/>
        </w:trPr>
        <w:tc>
          <w:tcPr>
            <w:tcW w:w="300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艺术表现</w:t>
            </w:r>
          </w:p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姿态、动作、手势、表情能准确、鲜明、形象地表达经典内容。</w:t>
            </w:r>
          </w:p>
        </w:tc>
        <w:tc>
          <w:tcPr>
            <w:tcW w:w="70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30</w:t>
            </w:r>
          </w:p>
        </w:tc>
        <w:tc>
          <w:tcPr>
            <w:tcW w:w="149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章法和谐</w:t>
            </w:r>
          </w:p>
        </w:tc>
        <w:tc>
          <w:tcPr>
            <w:tcW w:w="851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10</w:t>
            </w:r>
          </w:p>
        </w:tc>
        <w:tc>
          <w:tcPr>
            <w:tcW w:w="2425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bookmarkStart w:id="0" w:name="_GoBack"/>
            <w:bookmarkEnd w:id="0"/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学以致用，通过经典讲析提升对生活的感受力。</w:t>
            </w:r>
          </w:p>
        </w:tc>
        <w:tc>
          <w:tcPr>
            <w:tcW w:w="92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20</w:t>
            </w:r>
          </w:p>
        </w:tc>
      </w:tr>
      <w:tr w:rsidR="00F05590" w:rsidRPr="003D7F1E" w:rsidTr="003D7F1E">
        <w:trPr>
          <w:trHeight w:val="2319"/>
        </w:trPr>
        <w:tc>
          <w:tcPr>
            <w:tcW w:w="300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4.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朗诵效果</w:t>
            </w:r>
          </w:p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朗诵具有感染力，声情并茂，富有韵味，表现力强。</w:t>
            </w:r>
          </w:p>
        </w:tc>
        <w:tc>
          <w:tcPr>
            <w:tcW w:w="70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30</w:t>
            </w:r>
          </w:p>
        </w:tc>
        <w:tc>
          <w:tcPr>
            <w:tcW w:w="1496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4.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具有较强的艺术性</w:t>
            </w:r>
          </w:p>
        </w:tc>
        <w:tc>
          <w:tcPr>
            <w:tcW w:w="851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20</w:t>
            </w:r>
          </w:p>
        </w:tc>
        <w:tc>
          <w:tcPr>
            <w:tcW w:w="2425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Times New Roman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4.</w:t>
            </w:r>
            <w:r w:rsidRPr="003D7F1E">
              <w:rPr>
                <w:rFonts w:ascii="仿宋_GB2312" w:eastAsia="仿宋_GB2312" w:hAnsi="华文仿宋" w:cs="仿宋_GB2312" w:hint="eastAsia"/>
                <w:sz w:val="24"/>
                <w:szCs w:val="24"/>
              </w:rPr>
              <w:t>教学语言规范，有一定表现力，能够激发学生的学习兴趣。</w:t>
            </w:r>
          </w:p>
        </w:tc>
        <w:tc>
          <w:tcPr>
            <w:tcW w:w="929" w:type="dxa"/>
            <w:vAlign w:val="center"/>
          </w:tcPr>
          <w:p w:rsidR="00F05590" w:rsidRPr="003D7F1E" w:rsidRDefault="00F05590" w:rsidP="003D7F1E">
            <w:pPr>
              <w:rPr>
                <w:rFonts w:ascii="仿宋_GB2312" w:eastAsia="仿宋_GB2312" w:hAnsi="华文仿宋" w:cs="仿宋_GB2312"/>
                <w:sz w:val="24"/>
                <w:szCs w:val="24"/>
              </w:rPr>
            </w:pPr>
            <w:r w:rsidRPr="003D7F1E">
              <w:rPr>
                <w:rFonts w:ascii="仿宋_GB2312" w:eastAsia="仿宋_GB2312" w:hAnsi="华文仿宋" w:cs="仿宋_GB2312"/>
                <w:sz w:val="24"/>
                <w:szCs w:val="24"/>
              </w:rPr>
              <w:t>30</w:t>
            </w:r>
          </w:p>
        </w:tc>
      </w:tr>
    </w:tbl>
    <w:p w:rsidR="00F05590" w:rsidRDefault="00F05590" w:rsidP="003D7F1E">
      <w:pPr>
        <w:spacing w:line="240" w:lineRule="exact"/>
        <w:rPr>
          <w:rFonts w:ascii="黑体" w:eastAsia="黑体" w:hAnsi="黑体" w:cs="Times New Roman"/>
          <w:sz w:val="30"/>
          <w:szCs w:val="30"/>
        </w:rPr>
      </w:pPr>
    </w:p>
    <w:sectPr w:rsidR="00F05590" w:rsidSect="003D7F1E">
      <w:footerReference w:type="default" r:id="rId7"/>
      <w:pgSz w:w="11906" w:h="16838"/>
      <w:pgMar w:top="1440" w:right="1418" w:bottom="1440" w:left="1418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590" w:rsidRDefault="00F05590" w:rsidP="00B52C8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05590" w:rsidRDefault="00F05590" w:rsidP="00B52C8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590" w:rsidRPr="003D7F1E" w:rsidRDefault="00F05590" w:rsidP="001F175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D7F1E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D7F1E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D7F1E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3D7F1E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05590" w:rsidRDefault="00F05590" w:rsidP="003D7F1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590" w:rsidRDefault="00F05590" w:rsidP="00B52C8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05590" w:rsidRDefault="00F05590" w:rsidP="00B52C8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F0079"/>
    <w:multiLevelType w:val="hybridMultilevel"/>
    <w:tmpl w:val="F544ECA4"/>
    <w:lvl w:ilvl="0" w:tplc="0BA4E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B7B"/>
    <w:rsid w:val="000413A0"/>
    <w:rsid w:val="000E33B8"/>
    <w:rsid w:val="00135C3E"/>
    <w:rsid w:val="001F1757"/>
    <w:rsid w:val="00320F52"/>
    <w:rsid w:val="003D7F1E"/>
    <w:rsid w:val="004162D8"/>
    <w:rsid w:val="005417EA"/>
    <w:rsid w:val="0059290C"/>
    <w:rsid w:val="006162A1"/>
    <w:rsid w:val="00677EB3"/>
    <w:rsid w:val="0069202C"/>
    <w:rsid w:val="007D545C"/>
    <w:rsid w:val="008E3E5E"/>
    <w:rsid w:val="00923B7B"/>
    <w:rsid w:val="009B3463"/>
    <w:rsid w:val="00AD57F9"/>
    <w:rsid w:val="00B52C8E"/>
    <w:rsid w:val="00E24AEF"/>
    <w:rsid w:val="00F05590"/>
    <w:rsid w:val="00FC3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7EA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23B7B"/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23B7B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semiHidden/>
    <w:rsid w:val="00B52C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52C8E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52C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52C8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D7F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58</Words>
  <Characters>331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cai</dc:creator>
  <cp:keywords/>
  <dc:description/>
  <cp:lastModifiedBy>吴琳赟</cp:lastModifiedBy>
  <cp:revision>8</cp:revision>
  <dcterms:created xsi:type="dcterms:W3CDTF">2017-09-06T01:13:00Z</dcterms:created>
  <dcterms:modified xsi:type="dcterms:W3CDTF">2018-05-17T06:26:00Z</dcterms:modified>
</cp:coreProperties>
</file>