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053" w:rsidRPr="00D30AB7" w:rsidRDefault="00D47053" w:rsidP="00D47053">
      <w:pPr>
        <w:widowControl/>
        <w:tabs>
          <w:tab w:val="left" w:pos="5832"/>
          <w:tab w:val="left" w:pos="10132"/>
          <w:tab w:val="left" w:pos="14852"/>
        </w:tabs>
        <w:rPr>
          <w:rFonts w:eastAsia="方正黑体_GBK"/>
          <w:kern w:val="0"/>
          <w:sz w:val="32"/>
          <w:szCs w:val="32"/>
        </w:rPr>
      </w:pPr>
      <w:r w:rsidRPr="00D30AB7">
        <w:rPr>
          <w:rFonts w:eastAsia="方正黑体_GBK"/>
          <w:kern w:val="0"/>
          <w:sz w:val="32"/>
          <w:szCs w:val="32"/>
        </w:rPr>
        <w:t>附件</w:t>
      </w:r>
      <w:r w:rsidRPr="00D30AB7">
        <w:rPr>
          <w:rFonts w:eastAsia="方正黑体_GBK"/>
          <w:kern w:val="0"/>
          <w:sz w:val="32"/>
          <w:szCs w:val="32"/>
        </w:rPr>
        <w:t>1</w:t>
      </w:r>
    </w:p>
    <w:p w:rsidR="00D47053" w:rsidRPr="00984B4B" w:rsidRDefault="00D47053" w:rsidP="00D47053">
      <w:pPr>
        <w:adjustRightInd w:val="0"/>
        <w:snapToGrid w:val="0"/>
        <w:spacing w:line="520" w:lineRule="exact"/>
        <w:jc w:val="center"/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</w:pPr>
      <w:r w:rsidRPr="00984B4B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常州市城市长效综合管理考核区域分类表</w:t>
      </w:r>
    </w:p>
    <w:tbl>
      <w:tblPr>
        <w:tblW w:w="1417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23"/>
        <w:gridCol w:w="3639"/>
        <w:gridCol w:w="4113"/>
        <w:gridCol w:w="4118"/>
        <w:gridCol w:w="1382"/>
      </w:tblGrid>
      <w:tr w:rsidR="00D47053" w:rsidRPr="00AD7F81" w:rsidTr="00855C3A">
        <w:trPr>
          <w:trHeight w:val="324"/>
          <w:jc w:val="center"/>
        </w:trPr>
        <w:tc>
          <w:tcPr>
            <w:tcW w:w="923" w:type="dxa"/>
            <w:vAlign w:val="center"/>
          </w:tcPr>
          <w:p w:rsidR="00D47053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Ansi="宋体" w:hint="eastAsia"/>
                <w:bCs/>
                <w:color w:val="000000"/>
                <w:kern w:val="0"/>
                <w:sz w:val="18"/>
                <w:szCs w:val="18"/>
              </w:rPr>
            </w:pPr>
            <w:r w:rsidRPr="00AD7F81">
              <w:rPr>
                <w:rFonts w:ascii="黑体" w:eastAsia="黑体" w:hAnsi="宋体" w:hint="eastAsia"/>
                <w:bCs/>
                <w:color w:val="000000"/>
                <w:kern w:val="0"/>
                <w:sz w:val="18"/>
                <w:szCs w:val="18"/>
              </w:rPr>
              <w:t>区域</w:t>
            </w:r>
          </w:p>
          <w:p w:rsidR="00D47053" w:rsidRPr="00AD7F81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18"/>
                <w:szCs w:val="18"/>
              </w:rPr>
            </w:pPr>
            <w:r w:rsidRPr="00AD7F81">
              <w:rPr>
                <w:rFonts w:ascii="黑体" w:eastAsia="黑体" w:hAnsi="宋体" w:hint="eastAsia"/>
                <w:bCs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39" w:type="dxa"/>
            <w:vAlign w:val="center"/>
          </w:tcPr>
          <w:p w:rsidR="00D47053" w:rsidRPr="00AD7F81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18"/>
                <w:szCs w:val="18"/>
              </w:rPr>
            </w:pPr>
            <w:r w:rsidRPr="00AD7F81">
              <w:rPr>
                <w:rFonts w:ascii="黑体" w:eastAsia="黑体" w:hAnsi="宋体" w:hint="eastAsia"/>
                <w:bCs/>
                <w:color w:val="000000"/>
                <w:kern w:val="0"/>
                <w:sz w:val="18"/>
                <w:szCs w:val="18"/>
              </w:rPr>
              <w:t>一级区域</w:t>
            </w:r>
          </w:p>
        </w:tc>
        <w:tc>
          <w:tcPr>
            <w:tcW w:w="4113" w:type="dxa"/>
            <w:vAlign w:val="center"/>
          </w:tcPr>
          <w:p w:rsidR="00D47053" w:rsidRPr="00AD7F81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18"/>
                <w:szCs w:val="18"/>
              </w:rPr>
            </w:pPr>
            <w:r w:rsidRPr="00AD7F81">
              <w:rPr>
                <w:rFonts w:ascii="黑体" w:eastAsia="黑体" w:hAnsi="宋体" w:hint="eastAsia"/>
                <w:bCs/>
                <w:color w:val="000000"/>
                <w:kern w:val="0"/>
                <w:sz w:val="18"/>
                <w:szCs w:val="18"/>
              </w:rPr>
              <w:t>二级区域</w:t>
            </w:r>
          </w:p>
        </w:tc>
        <w:tc>
          <w:tcPr>
            <w:tcW w:w="4118" w:type="dxa"/>
            <w:vAlign w:val="center"/>
          </w:tcPr>
          <w:p w:rsidR="00D47053" w:rsidRPr="00AD7F81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18"/>
                <w:szCs w:val="18"/>
              </w:rPr>
            </w:pPr>
            <w:r w:rsidRPr="00AD7F81">
              <w:rPr>
                <w:rFonts w:ascii="黑体" w:eastAsia="黑体" w:hAnsi="宋体" w:hint="eastAsia"/>
                <w:bCs/>
                <w:color w:val="000000"/>
                <w:kern w:val="0"/>
                <w:sz w:val="18"/>
                <w:szCs w:val="18"/>
              </w:rPr>
              <w:t>三级区域</w:t>
            </w:r>
          </w:p>
        </w:tc>
        <w:tc>
          <w:tcPr>
            <w:tcW w:w="1382" w:type="dxa"/>
            <w:vAlign w:val="center"/>
          </w:tcPr>
          <w:p w:rsidR="00D47053" w:rsidRPr="00AD7F81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18"/>
                <w:szCs w:val="18"/>
              </w:rPr>
            </w:pPr>
            <w:r w:rsidRPr="00AD7F81">
              <w:rPr>
                <w:rFonts w:ascii="黑体" w:eastAsia="黑体" w:hAnsi="宋体" w:hint="eastAsia"/>
                <w:bCs/>
                <w:color w:val="000000"/>
                <w:kern w:val="0"/>
                <w:sz w:val="18"/>
                <w:szCs w:val="18"/>
              </w:rPr>
              <w:t>总面积</w:t>
            </w:r>
          </w:p>
        </w:tc>
      </w:tr>
      <w:tr w:rsidR="00D47053" w:rsidRPr="00984B4B" w:rsidTr="00855C3A">
        <w:trPr>
          <w:trHeight w:val="561"/>
          <w:jc w:val="center"/>
        </w:trPr>
        <w:tc>
          <w:tcPr>
            <w:tcW w:w="92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金坛市</w:t>
            </w:r>
          </w:p>
        </w:tc>
        <w:tc>
          <w:tcPr>
            <w:tcW w:w="3639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沿河东路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花街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南门大街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南环一路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东环一路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北环东路。（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2.35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西环二路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南环一路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华阳南路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华阳中路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北环东路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北环西路区域除一级区域范围。（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4.43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8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东至金湖路，南至南环二路，西至西环二路，北至良常路区域中除一级、二级考核区域范围。（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15.22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1382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color w:val="000000"/>
                <w:kern w:val="0"/>
                <w:sz w:val="18"/>
                <w:szCs w:val="18"/>
              </w:rPr>
              <w:t>22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</w:t>
            </w:r>
          </w:p>
        </w:tc>
      </w:tr>
      <w:tr w:rsidR="00D47053" w:rsidRPr="00984B4B" w:rsidTr="00855C3A">
        <w:trPr>
          <w:trHeight w:val="910"/>
          <w:jc w:val="center"/>
        </w:trPr>
        <w:tc>
          <w:tcPr>
            <w:tcW w:w="92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溧阳市</w:t>
            </w:r>
          </w:p>
        </w:tc>
        <w:tc>
          <w:tcPr>
            <w:tcW w:w="3639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北起南环路、平陵中路，东至南大街，南至</w:t>
            </w:r>
            <w:r w:rsidRPr="00984B4B">
              <w:rPr>
                <w:color w:val="000000"/>
                <w:kern w:val="0"/>
                <w:sz w:val="18"/>
                <w:szCs w:val="18"/>
              </w:rPr>
              <w:t>G104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，西至天目路、燕山路。（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2.82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北起建设西路、码头街、新华街、平陵中路，东至南大街、昆仑南路、罗庄路，南至</w:t>
            </w:r>
            <w:r w:rsidRPr="00984B4B">
              <w:rPr>
                <w:color w:val="000000"/>
                <w:kern w:val="0"/>
                <w:sz w:val="18"/>
                <w:szCs w:val="18"/>
              </w:rPr>
              <w:t>G104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，西至奥体大道、清溪中路、清溪路。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6.21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118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北起建设西路、凤凰路，东至昆仑南路、罗庄路、迎宾路，南至燕城大道、</w:t>
            </w:r>
            <w:r w:rsidRPr="00984B4B">
              <w:rPr>
                <w:color w:val="000000"/>
                <w:kern w:val="0"/>
                <w:sz w:val="18"/>
                <w:szCs w:val="18"/>
              </w:rPr>
              <w:t>G104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（永平大道），西至</w:t>
            </w:r>
            <w:r w:rsidRPr="00984B4B">
              <w:rPr>
                <w:color w:val="000000"/>
                <w:kern w:val="0"/>
                <w:sz w:val="18"/>
                <w:szCs w:val="18"/>
              </w:rPr>
              <w:t>S241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、奥体大道、清溪中路、清溪路区域除一级、二级区域范围。（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10.31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1382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color w:val="000000"/>
                <w:kern w:val="0"/>
                <w:sz w:val="18"/>
                <w:szCs w:val="18"/>
              </w:rPr>
              <w:t>19.34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</w:t>
            </w:r>
          </w:p>
        </w:tc>
      </w:tr>
      <w:tr w:rsidR="00D47053" w:rsidRPr="00984B4B" w:rsidTr="00855C3A">
        <w:trPr>
          <w:trHeight w:val="1064"/>
          <w:jc w:val="center"/>
        </w:trPr>
        <w:tc>
          <w:tcPr>
            <w:tcW w:w="92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武进区</w:t>
            </w:r>
          </w:p>
        </w:tc>
        <w:tc>
          <w:tcPr>
            <w:tcW w:w="3639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定安路以南，和平南路以西，滆湖中路以北，兰陵南路以东，沪宁高速横山桥出入口，沿江高速各出入口、锡宜高速漕桥出入口、江宜高速各出入口。（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6.42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兰陵路以东，新运河以南，和平南路以西，定安中路以北区域；长江南路以东，广电路、长虹路以南、兰陵路以西、延政路以北区域。隔湖中路以南，和平南路以西，鸣新路以北，兰陵南路以东区域范围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。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10.98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8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东至宋剑南路－广电东路－华昌路－人民东路－丽华南路，南至武南河，西至长江南路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-G312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，北至与天宁、钟楼、戚墅堰交界区域中除一级、二级考核区域范围。（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35.24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1382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color w:val="000000"/>
                <w:kern w:val="0"/>
                <w:sz w:val="18"/>
                <w:szCs w:val="18"/>
              </w:rPr>
              <w:t>52.64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</w:t>
            </w:r>
          </w:p>
        </w:tc>
      </w:tr>
      <w:tr w:rsidR="00D47053" w:rsidRPr="00984B4B" w:rsidTr="00855C3A">
        <w:trPr>
          <w:trHeight w:val="743"/>
          <w:jc w:val="center"/>
        </w:trPr>
        <w:tc>
          <w:tcPr>
            <w:tcW w:w="92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新北区</w:t>
            </w:r>
          </w:p>
        </w:tc>
        <w:tc>
          <w:tcPr>
            <w:tcW w:w="3639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汉江路、泰山路、龙城大道、晋陵北路范围，重点区域：沪宁高速薛家、龙虎塘、罗溪出入口；江宜高速各出入口。（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 xml:space="preserve"> 5.67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长江北路、沪宁高速、老藻江河、龙城大道范围除去一级区域。（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12.11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8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东至江阴、天宁交界，南至天宁、钟楼交界，西至德胜河，北至沪蓉高速、龙江路、嫩江路区域中除一级、二级考核区域范围。（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45.67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1382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color w:val="000000"/>
                <w:kern w:val="0"/>
                <w:sz w:val="18"/>
                <w:szCs w:val="18"/>
              </w:rPr>
              <w:t>63.45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</w:t>
            </w:r>
          </w:p>
        </w:tc>
      </w:tr>
      <w:tr w:rsidR="00D47053" w:rsidRPr="00984B4B" w:rsidTr="00855C3A">
        <w:trPr>
          <w:trHeight w:val="1302"/>
          <w:jc w:val="center"/>
        </w:trPr>
        <w:tc>
          <w:tcPr>
            <w:tcW w:w="92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天宁区</w:t>
            </w:r>
          </w:p>
        </w:tc>
        <w:tc>
          <w:tcPr>
            <w:tcW w:w="3639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18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劳动西路（兰陵桥）－沿运河－朝阳桥－丽华北路</w:t>
            </w:r>
            <w:r w:rsidRPr="00984B4B">
              <w:rPr>
                <w:color w:val="000000"/>
                <w:kern w:val="0"/>
                <w:sz w:val="18"/>
                <w:szCs w:val="18"/>
              </w:rPr>
              <w:t>-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关河东路－小东门地道－竹林南路－竹林西路－永宁路－飞龙东路－健身北路－通济河－关河西路－北直街－化龙巷－小河沿－延陵西路－晋陵中路－同安桥－运河－白荡河－劳动西路，沪宁高速青龙出入口。（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6.45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与钟楼区交界处以东，龙城大道以南，丽华北路（丽华路、五角场路）、青龙西路（常焦路）以西，中吴大道以北区域除一级区域范围。（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13.35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8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除一级、二级考核区域以外的行政区域。（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47.2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1382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color w:val="000000"/>
                <w:kern w:val="0"/>
                <w:sz w:val="18"/>
                <w:szCs w:val="18"/>
              </w:rPr>
              <w:t>67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</w:t>
            </w:r>
          </w:p>
        </w:tc>
      </w:tr>
      <w:tr w:rsidR="00D47053" w:rsidRPr="00984B4B" w:rsidTr="00855C3A">
        <w:trPr>
          <w:trHeight w:val="1329"/>
          <w:jc w:val="center"/>
        </w:trPr>
        <w:tc>
          <w:tcPr>
            <w:tcW w:w="92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钟楼区</w:t>
            </w:r>
          </w:p>
        </w:tc>
        <w:tc>
          <w:tcPr>
            <w:tcW w:w="3639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18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通江南路－大红旗路－沿大湾浜－常新桥－芦墅路－新市路－泰安里－大华路－西直街－怀德桥－米市河－南运河－长江中路－清潭路－劳动西路（兰陵桥）－白荡河－运河－同安桥－晋陵中路－延陵西路－小河沿－化龙巷－北直街－关河西路－通济河－通江南路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6.366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  <w:r w:rsidRPr="00984B4B">
              <w:rPr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411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18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长江路以东，龙城大道以南，与天宁区交界处以西，中吴大道以北区域，加勤业桥－勤业路－星湖路－星园路－白云路－怀德中路－陈渡路－清潭西路－荆川路－白荡河－长江中路区域；茶花路－银杏路－月季路－水杉路区域，除一级区域范围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12.98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8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除一级、二级考核区域以外的行政区域。（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51.654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1382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color w:val="000000"/>
                <w:kern w:val="0"/>
                <w:sz w:val="18"/>
                <w:szCs w:val="18"/>
              </w:rPr>
              <w:t>71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</w:t>
            </w:r>
          </w:p>
        </w:tc>
      </w:tr>
      <w:tr w:rsidR="00D47053" w:rsidRPr="00984B4B" w:rsidTr="00855C3A">
        <w:trPr>
          <w:trHeight w:val="1176"/>
          <w:jc w:val="center"/>
        </w:trPr>
        <w:tc>
          <w:tcPr>
            <w:tcW w:w="92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ind w:right="-107" w:hanging="11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lastRenderedPageBreak/>
              <w:t>戚墅堰区</w:t>
            </w:r>
          </w:p>
        </w:tc>
        <w:tc>
          <w:tcPr>
            <w:tcW w:w="3639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18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大明路以东、潞横路以南、东城路以西、东方路以北，延陵东路区域；新河路以东、沪宁铁路以南、高速公路以西、京杭运河以北区域；湾城路以东、沪宁铁路以南、大明路以西、京杭运河以北区域（东方广场－</w:t>
            </w:r>
            <w:r w:rsidRPr="00984B4B">
              <w:rPr>
                <w:color w:val="000000"/>
                <w:kern w:val="0"/>
                <w:sz w:val="18"/>
                <w:szCs w:val="18"/>
              </w:rPr>
              <w:t>S232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省道）。（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2.56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3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0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大明路以东，富民路以南，东城路以西，潞横路以北区域；东方东路以南，大明路以东，常丰路以北，东城路以西区域；沪宁铁路以北，机厂路、革新路以东，机厂河、泡桐路以南；五一路以西区域范围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。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2.83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4118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除一级、二级考核区域以外的行政区域。（</w:t>
            </w:r>
            <w:r w:rsidRPr="00984B4B">
              <w:rPr>
                <w:color w:val="000000"/>
                <w:kern w:val="0"/>
                <w:sz w:val="18"/>
                <w:szCs w:val="18"/>
              </w:rPr>
              <w:t>25.61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平方公里）</w:t>
            </w:r>
          </w:p>
        </w:tc>
        <w:tc>
          <w:tcPr>
            <w:tcW w:w="1382" w:type="dxa"/>
            <w:vAlign w:val="center"/>
          </w:tcPr>
          <w:p w:rsidR="00D47053" w:rsidRPr="00984B4B" w:rsidRDefault="00D47053" w:rsidP="00855C3A">
            <w:pPr>
              <w:adjustRightInd w:val="0"/>
              <w:snapToGrid w:val="0"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984B4B">
              <w:rPr>
                <w:color w:val="000000"/>
                <w:kern w:val="0"/>
                <w:sz w:val="18"/>
                <w:szCs w:val="18"/>
              </w:rPr>
              <w:t>31</w:t>
            </w:r>
            <w:r w:rsidRPr="00984B4B">
              <w:rPr>
                <w:rFonts w:hAnsi="宋体"/>
                <w:color w:val="000000"/>
                <w:kern w:val="0"/>
                <w:sz w:val="18"/>
                <w:szCs w:val="18"/>
              </w:rPr>
              <w:t>平方公里</w:t>
            </w:r>
          </w:p>
        </w:tc>
      </w:tr>
    </w:tbl>
    <w:p w:rsidR="00A57B67" w:rsidRPr="00D47053" w:rsidRDefault="00A57B67" w:rsidP="00D47053"/>
    <w:sectPr w:rsidR="00A57B67" w:rsidRPr="00D47053" w:rsidSect="00D4705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014D" w:rsidRDefault="0099014D" w:rsidP="00977706">
      <w:r>
        <w:separator/>
      </w:r>
    </w:p>
  </w:endnote>
  <w:endnote w:type="continuationSeparator" w:id="1">
    <w:p w:rsidR="0099014D" w:rsidRDefault="0099014D" w:rsidP="009777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014D" w:rsidRDefault="0099014D" w:rsidP="00977706">
      <w:r>
        <w:separator/>
      </w:r>
    </w:p>
  </w:footnote>
  <w:footnote w:type="continuationSeparator" w:id="1">
    <w:p w:rsidR="0099014D" w:rsidRDefault="0099014D" w:rsidP="009777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7706"/>
    <w:rsid w:val="00577A17"/>
    <w:rsid w:val="00977706"/>
    <w:rsid w:val="0099014D"/>
    <w:rsid w:val="00A57B67"/>
    <w:rsid w:val="00D47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70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77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77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77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7706"/>
    <w:rPr>
      <w:sz w:val="18"/>
      <w:szCs w:val="18"/>
    </w:rPr>
  </w:style>
  <w:style w:type="paragraph" w:customStyle="1" w:styleId="CharCharCharChar">
    <w:name w:val="Char Char Char Char"/>
    <w:basedOn w:val="a"/>
    <w:next w:val="a"/>
    <w:rsid w:val="00977706"/>
    <w:pPr>
      <w:adjustRightInd w:val="0"/>
      <w:spacing w:after="160" w:line="240" w:lineRule="exact"/>
    </w:pPr>
    <w:rPr>
      <w:rFonts w:ascii="Verdana" w:hAnsi="Verdana"/>
      <w:kern w:val="0"/>
      <w:sz w:val="20"/>
      <w:lang w:eastAsia="en-US"/>
    </w:rPr>
  </w:style>
  <w:style w:type="paragraph" w:customStyle="1" w:styleId="1">
    <w:name w:val="标题1"/>
    <w:basedOn w:val="a"/>
    <w:next w:val="a"/>
    <w:rsid w:val="00977706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250</Words>
  <Characters>1427</Characters>
  <Application>Microsoft Office Word</Application>
  <DocSecurity>0</DocSecurity>
  <Lines>11</Lines>
  <Paragraphs>3</Paragraphs>
  <ScaleCrop>false</ScaleCrop>
  <Company>微软中国</Company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2015-03-20T02:42:00Z</dcterms:created>
  <dcterms:modified xsi:type="dcterms:W3CDTF">2015-03-20T02:51:00Z</dcterms:modified>
</cp:coreProperties>
</file>