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10" w:lineRule="exact"/>
        <w:ind w:firstLine="641"/>
        <w:rPr>
          <w:rFonts w:hint="eastAsia" w:ascii="Times New Roman" w:hAnsi="Times New Roman" w:eastAsia="方正仿宋_GBK"/>
          <w:color w:val="000000"/>
          <w:sz w:val="32"/>
          <w:szCs w:val="32"/>
        </w:rPr>
      </w:pPr>
    </w:p>
    <w:p>
      <w:pPr>
        <w:spacing w:line="520" w:lineRule="exact"/>
        <w:jc w:val="center"/>
        <w:rPr>
          <w:rFonts w:hint="eastAsia" w:ascii="Times New Roman" w:hAnsi="Times New Roman" w:eastAsia="方正小标宋简体"/>
          <w:snapToGrid w:val="0"/>
          <w:spacing w:val="-14"/>
          <w:kern w:val="0"/>
          <w:sz w:val="56"/>
          <w:szCs w:val="56"/>
        </w:rPr>
      </w:pPr>
    </w:p>
    <w:p>
      <w:pPr>
        <w:spacing w:line="520" w:lineRule="exact"/>
        <w:jc w:val="center"/>
        <w:rPr>
          <w:rFonts w:hint="eastAsia" w:ascii="Times New Roman" w:hAnsi="Times New Roman" w:eastAsia="方正小标宋简体"/>
          <w:snapToGrid w:val="0"/>
          <w:spacing w:val="-14"/>
          <w:kern w:val="0"/>
          <w:sz w:val="56"/>
          <w:szCs w:val="56"/>
        </w:rPr>
      </w:pPr>
    </w:p>
    <w:p>
      <w:pPr>
        <w:spacing w:line="520" w:lineRule="exact"/>
        <w:jc w:val="center"/>
        <w:rPr>
          <w:rFonts w:hint="eastAsia" w:ascii="Times New Roman" w:hAnsi="Times New Roman" w:eastAsia="方正小标宋简体"/>
          <w:snapToGrid w:val="0"/>
          <w:spacing w:val="-14"/>
          <w:kern w:val="0"/>
          <w:sz w:val="56"/>
          <w:szCs w:val="56"/>
        </w:rPr>
      </w:pPr>
    </w:p>
    <w:p>
      <w:pPr>
        <w:spacing w:line="520" w:lineRule="exact"/>
        <w:jc w:val="center"/>
        <w:rPr>
          <w:rFonts w:hint="eastAsia" w:ascii="Times New Roman" w:hAnsi="Times New Roman" w:eastAsia="方正小标宋简体"/>
          <w:snapToGrid w:val="0"/>
          <w:spacing w:val="-14"/>
          <w:kern w:val="0"/>
          <w:sz w:val="56"/>
          <w:szCs w:val="56"/>
        </w:rPr>
      </w:pPr>
    </w:p>
    <w:p>
      <w:pPr>
        <w:jc w:val="center"/>
        <w:rPr>
          <w:rFonts w:hint="eastAsia" w:ascii="方正小标宋_GBK" w:hAnsi="Times New Roman" w:eastAsia="方正小标宋_GBK"/>
          <w:snapToGrid w:val="0"/>
          <w:spacing w:val="-14"/>
          <w:kern w:val="0"/>
          <w:sz w:val="56"/>
          <w:szCs w:val="56"/>
        </w:rPr>
      </w:pPr>
      <w:r>
        <w:rPr>
          <w:rFonts w:hint="eastAsia" w:ascii="方正小标宋_GBK" w:hAnsi="Times New Roman" w:eastAsia="方正小标宋_GBK"/>
          <w:snapToGrid w:val="0"/>
          <w:spacing w:val="-14"/>
          <w:kern w:val="0"/>
          <w:sz w:val="56"/>
          <w:szCs w:val="56"/>
        </w:rPr>
        <w:t>常州市“十四五”开放型经济发展规划</w:t>
      </w:r>
    </w:p>
    <w:p>
      <w:pPr>
        <w:adjustRightInd w:val="0"/>
        <w:spacing w:line="570" w:lineRule="exact"/>
        <w:jc w:val="center"/>
        <w:rPr>
          <w:rFonts w:hint="eastAsia" w:ascii="Times New Roman" w:hAnsi="Times New Roman" w:eastAsia="楷体_GB2312"/>
          <w:b/>
          <w:sz w:val="56"/>
          <w:szCs w:val="56"/>
        </w:rPr>
      </w:pPr>
    </w:p>
    <w:p>
      <w:pPr>
        <w:adjustRightInd w:val="0"/>
        <w:spacing w:line="570" w:lineRule="exact"/>
        <w:jc w:val="center"/>
        <w:rPr>
          <w:rFonts w:hint="eastAsia" w:ascii="Times New Roman" w:hAnsi="Times New Roman" w:eastAsia="楷体_GB2312"/>
          <w:b/>
          <w:sz w:val="56"/>
          <w:szCs w:val="56"/>
        </w:rPr>
      </w:pPr>
    </w:p>
    <w:p>
      <w:pPr>
        <w:adjustRightInd w:val="0"/>
        <w:spacing w:line="570" w:lineRule="exact"/>
        <w:jc w:val="center"/>
        <w:rPr>
          <w:rFonts w:hint="eastAsia" w:ascii="Times New Roman" w:hAnsi="Times New Roman" w:eastAsia="楷体_GB2312"/>
          <w:b/>
          <w:sz w:val="56"/>
          <w:szCs w:val="56"/>
        </w:rPr>
      </w:pPr>
    </w:p>
    <w:p>
      <w:pPr>
        <w:adjustRightInd w:val="0"/>
        <w:spacing w:line="570" w:lineRule="exact"/>
        <w:jc w:val="center"/>
        <w:rPr>
          <w:rFonts w:hint="eastAsia" w:ascii="Times New Roman" w:hAnsi="Times New Roman" w:eastAsia="楷体_GB2312"/>
          <w:b/>
          <w:sz w:val="56"/>
          <w:szCs w:val="56"/>
        </w:rPr>
      </w:pPr>
    </w:p>
    <w:p>
      <w:pPr>
        <w:adjustRightInd w:val="0"/>
        <w:spacing w:line="570" w:lineRule="exact"/>
        <w:jc w:val="center"/>
        <w:rPr>
          <w:rFonts w:hint="eastAsia" w:ascii="Times New Roman" w:hAnsi="Times New Roman" w:eastAsia="楷体_GB2312"/>
          <w:b/>
          <w:sz w:val="56"/>
          <w:szCs w:val="56"/>
        </w:rPr>
      </w:pPr>
    </w:p>
    <w:p>
      <w:pPr>
        <w:adjustRightInd w:val="0"/>
        <w:spacing w:line="570" w:lineRule="exact"/>
        <w:jc w:val="center"/>
        <w:rPr>
          <w:rFonts w:hint="eastAsia" w:ascii="Times New Roman" w:hAnsi="Times New Roman" w:eastAsia="楷体_GB2312"/>
          <w:b/>
          <w:sz w:val="56"/>
          <w:szCs w:val="56"/>
        </w:rPr>
      </w:pPr>
    </w:p>
    <w:p>
      <w:pPr>
        <w:adjustRightInd w:val="0"/>
        <w:spacing w:line="570" w:lineRule="exact"/>
        <w:jc w:val="center"/>
        <w:rPr>
          <w:rFonts w:hint="eastAsia" w:ascii="Times New Roman" w:hAnsi="Times New Roman" w:eastAsia="楷体_GB2312"/>
          <w:b/>
          <w:sz w:val="56"/>
          <w:szCs w:val="56"/>
        </w:rPr>
      </w:pPr>
    </w:p>
    <w:p>
      <w:pPr>
        <w:adjustRightInd w:val="0"/>
        <w:spacing w:line="570" w:lineRule="exact"/>
        <w:jc w:val="center"/>
        <w:rPr>
          <w:rFonts w:hint="eastAsia" w:ascii="Times New Roman" w:hAnsi="Times New Roman" w:eastAsia="楷体_GB2312"/>
          <w:b/>
          <w:sz w:val="56"/>
          <w:szCs w:val="56"/>
        </w:rPr>
      </w:pPr>
    </w:p>
    <w:p>
      <w:pPr>
        <w:adjustRightInd w:val="0"/>
        <w:spacing w:line="570" w:lineRule="exact"/>
        <w:jc w:val="center"/>
        <w:rPr>
          <w:rFonts w:ascii="Times New Roman" w:hAnsi="Times New Roman" w:eastAsia="楷体_GB2312"/>
          <w:b/>
          <w:sz w:val="56"/>
          <w:szCs w:val="56"/>
        </w:rPr>
        <w:sectPr>
          <w:footerReference r:id="rId5" w:type="first"/>
          <w:footerReference r:id="rId3" w:type="default"/>
          <w:footerReference r:id="rId4" w:type="even"/>
          <w:pgSz w:w="11906" w:h="16838"/>
          <w:pgMar w:top="2098" w:right="1531" w:bottom="1985" w:left="1531" w:header="709" w:footer="1361" w:gutter="0"/>
          <w:cols w:space="720" w:num="1"/>
          <w:titlePg/>
          <w:docGrid w:linePitch="312" w:charSpace="0"/>
        </w:sectPr>
      </w:pPr>
    </w:p>
    <w:p>
      <w:pPr>
        <w:adjustRightInd w:val="0"/>
        <w:snapToGrid w:val="0"/>
        <w:spacing w:line="570" w:lineRule="exact"/>
        <w:jc w:val="center"/>
        <w:rPr>
          <w:rFonts w:hint="eastAsia" w:ascii="方正小标宋_GBK" w:hAnsi="Times New Roman" w:eastAsia="方正小标宋_GBK"/>
          <w:sz w:val="44"/>
          <w:szCs w:val="44"/>
        </w:rPr>
      </w:pPr>
      <w:bookmarkStart w:id="0" w:name="_Toc428521125"/>
      <w:bookmarkStart w:id="1" w:name="_Toc13340"/>
    </w:p>
    <w:p>
      <w:pPr>
        <w:adjustRightInd w:val="0"/>
        <w:snapToGrid w:val="0"/>
        <w:spacing w:line="570" w:lineRule="exact"/>
        <w:jc w:val="center"/>
        <w:rPr>
          <w:rFonts w:hint="eastAsia" w:ascii="方正小标宋_GBK" w:hAnsi="Times New Roman" w:eastAsia="方正小标宋_GBK"/>
          <w:sz w:val="44"/>
          <w:szCs w:val="44"/>
        </w:rPr>
      </w:pPr>
      <w:r>
        <w:rPr>
          <w:rFonts w:hint="eastAsia" w:ascii="方正小标宋_GBK" w:hAnsi="Times New Roman" w:eastAsia="方正小标宋_GBK"/>
          <w:sz w:val="44"/>
          <w:szCs w:val="44"/>
        </w:rPr>
        <w:t>目    录</w:t>
      </w:r>
    </w:p>
    <w:p>
      <w:pPr>
        <w:adjustRightInd w:val="0"/>
        <w:snapToGrid w:val="0"/>
        <w:spacing w:line="570" w:lineRule="exact"/>
        <w:jc w:val="center"/>
        <w:rPr>
          <w:rFonts w:hint="eastAsia" w:ascii="方正小标宋_GBK" w:hAnsi="Times New Roman" w:eastAsia="方正小标宋_GBK"/>
          <w:sz w:val="32"/>
          <w:szCs w:val="32"/>
        </w:rPr>
      </w:pPr>
    </w:p>
    <w:p>
      <w:pPr>
        <w:overflowPunct w:val="0"/>
        <w:autoSpaceDE w:val="0"/>
        <w:autoSpaceDN w:val="0"/>
        <w:adjustRightInd w:val="0"/>
        <w:snapToGrid w:val="0"/>
        <w:spacing w:line="550" w:lineRule="exact"/>
        <w:ind w:firstLine="632" w:firstLineChars="200"/>
        <w:rPr>
          <w:rFonts w:ascii="Times New Roman" w:hAnsi="Times New Roman" w:eastAsia="方正仿宋_GBK"/>
          <w:spacing w:val="-2"/>
          <w:sz w:val="32"/>
          <w:szCs w:val="32"/>
        </w:rPr>
      </w:pPr>
      <w:r>
        <w:rPr>
          <w:rFonts w:ascii="Times New Roman" w:hAnsi="Times New Roman" w:eastAsia="方正仿宋_GBK"/>
          <w:spacing w:val="-2"/>
          <w:sz w:val="32"/>
          <w:szCs w:val="32"/>
        </w:rPr>
        <w:t>序  言</w:t>
      </w:r>
    </w:p>
    <w:p>
      <w:pPr>
        <w:overflowPunct w:val="0"/>
        <w:autoSpaceDE w:val="0"/>
        <w:autoSpaceDN w:val="0"/>
        <w:adjustRightInd w:val="0"/>
        <w:snapToGrid w:val="0"/>
        <w:spacing w:line="550" w:lineRule="exact"/>
        <w:ind w:firstLine="632" w:firstLineChars="200"/>
        <w:rPr>
          <w:rFonts w:ascii="Times New Roman" w:hAnsi="Times New Roman" w:eastAsia="方正黑体_GBK"/>
          <w:spacing w:val="-2"/>
          <w:sz w:val="32"/>
          <w:szCs w:val="32"/>
        </w:rPr>
      </w:pPr>
      <w:r>
        <w:rPr>
          <w:rFonts w:ascii="Times New Roman" w:hAnsi="Times New Roman" w:eastAsia="方正黑体_GBK"/>
          <w:spacing w:val="-2"/>
          <w:sz w:val="32"/>
          <w:szCs w:val="32"/>
        </w:rPr>
        <w:t>一、</w:t>
      </w:r>
      <w:r>
        <w:rPr>
          <w:rFonts w:ascii="Times New Roman" w:hAnsi="Times New Roman" w:eastAsia="方正黑体_GBK"/>
          <w:sz w:val="32"/>
          <w:szCs w:val="32"/>
        </w:rPr>
        <w:t>发展基础</w:t>
      </w:r>
    </w:p>
    <w:p>
      <w:pPr>
        <w:overflowPunct w:val="0"/>
        <w:autoSpaceDE w:val="0"/>
        <w:autoSpaceDN w:val="0"/>
        <w:adjustRightInd w:val="0"/>
        <w:snapToGrid w:val="0"/>
        <w:spacing w:line="550" w:lineRule="exact"/>
        <w:ind w:firstLine="632" w:firstLineChars="200"/>
        <w:rPr>
          <w:rFonts w:ascii="Times New Roman" w:hAnsi="Times New Roman" w:eastAsia="方正仿宋_GBK"/>
          <w:spacing w:val="-2"/>
          <w:sz w:val="32"/>
          <w:szCs w:val="32"/>
        </w:rPr>
      </w:pPr>
      <w:r>
        <w:rPr>
          <w:rFonts w:ascii="Times New Roman" w:hAnsi="Times New Roman" w:eastAsia="方正仿宋_GBK"/>
          <w:spacing w:val="-2"/>
          <w:sz w:val="32"/>
          <w:szCs w:val="32"/>
        </w:rPr>
        <w:t>（一）</w:t>
      </w:r>
      <w:r>
        <w:rPr>
          <w:rFonts w:ascii="Times New Roman" w:hAnsi="Times New Roman" w:eastAsia="方正仿宋_GBK"/>
          <w:sz w:val="32"/>
          <w:szCs w:val="32"/>
        </w:rPr>
        <w:t>发展成就</w:t>
      </w:r>
    </w:p>
    <w:p>
      <w:pPr>
        <w:overflowPunct w:val="0"/>
        <w:autoSpaceDE w:val="0"/>
        <w:autoSpaceDN w:val="0"/>
        <w:adjustRightInd w:val="0"/>
        <w:snapToGrid w:val="0"/>
        <w:spacing w:line="550" w:lineRule="exact"/>
        <w:ind w:firstLine="632" w:firstLineChars="200"/>
        <w:rPr>
          <w:rFonts w:ascii="Times New Roman" w:hAnsi="Times New Roman" w:eastAsia="方正仿宋_GBK"/>
          <w:spacing w:val="-2"/>
          <w:sz w:val="32"/>
          <w:szCs w:val="32"/>
        </w:rPr>
      </w:pPr>
      <w:r>
        <w:rPr>
          <w:rFonts w:ascii="Times New Roman" w:hAnsi="Times New Roman" w:eastAsia="方正仿宋_GBK"/>
          <w:spacing w:val="-2"/>
          <w:sz w:val="32"/>
          <w:szCs w:val="32"/>
        </w:rPr>
        <w:t>（二）</w:t>
      </w:r>
      <w:r>
        <w:rPr>
          <w:rFonts w:ascii="Times New Roman" w:hAnsi="Times New Roman" w:eastAsia="方正仿宋_GBK"/>
          <w:sz w:val="32"/>
          <w:szCs w:val="32"/>
        </w:rPr>
        <w:t>问题不足</w:t>
      </w:r>
    </w:p>
    <w:p>
      <w:pPr>
        <w:overflowPunct w:val="0"/>
        <w:autoSpaceDE w:val="0"/>
        <w:autoSpaceDN w:val="0"/>
        <w:adjustRightInd w:val="0"/>
        <w:snapToGrid w:val="0"/>
        <w:spacing w:line="550" w:lineRule="exact"/>
        <w:ind w:firstLine="632" w:firstLineChars="200"/>
        <w:rPr>
          <w:rFonts w:ascii="Times New Roman" w:hAnsi="Times New Roman" w:eastAsia="方正黑体_GBK"/>
          <w:spacing w:val="-2"/>
          <w:sz w:val="32"/>
          <w:szCs w:val="32"/>
        </w:rPr>
      </w:pPr>
      <w:r>
        <w:rPr>
          <w:rFonts w:ascii="Times New Roman" w:hAnsi="Times New Roman" w:eastAsia="方正黑体_GBK"/>
          <w:spacing w:val="-2"/>
          <w:sz w:val="32"/>
          <w:szCs w:val="32"/>
        </w:rPr>
        <w:t>二、发展环境</w:t>
      </w:r>
    </w:p>
    <w:p>
      <w:pPr>
        <w:overflowPunct w:val="0"/>
        <w:autoSpaceDE w:val="0"/>
        <w:autoSpaceDN w:val="0"/>
        <w:adjustRightInd w:val="0"/>
        <w:snapToGrid w:val="0"/>
        <w:spacing w:line="550" w:lineRule="exact"/>
        <w:ind w:firstLine="632" w:firstLineChars="200"/>
        <w:rPr>
          <w:rFonts w:ascii="Times New Roman" w:hAnsi="Times New Roman" w:eastAsia="方正仿宋_GBK"/>
          <w:spacing w:val="-2"/>
          <w:sz w:val="32"/>
          <w:szCs w:val="32"/>
        </w:rPr>
      </w:pPr>
      <w:r>
        <w:rPr>
          <w:rFonts w:ascii="Times New Roman" w:hAnsi="Times New Roman" w:eastAsia="方正仿宋_GBK"/>
          <w:spacing w:val="-2"/>
          <w:sz w:val="32"/>
          <w:szCs w:val="32"/>
        </w:rPr>
        <w:t>（一）</w:t>
      </w:r>
      <w:r>
        <w:rPr>
          <w:rFonts w:ascii="Times New Roman" w:hAnsi="Times New Roman" w:eastAsia="方正仿宋_GBK"/>
          <w:sz w:val="32"/>
          <w:szCs w:val="32"/>
        </w:rPr>
        <w:t>从挑战看</w:t>
      </w:r>
    </w:p>
    <w:p>
      <w:pPr>
        <w:overflowPunct w:val="0"/>
        <w:autoSpaceDE w:val="0"/>
        <w:autoSpaceDN w:val="0"/>
        <w:adjustRightInd w:val="0"/>
        <w:snapToGrid w:val="0"/>
        <w:spacing w:line="550" w:lineRule="exact"/>
        <w:ind w:firstLine="632" w:firstLineChars="200"/>
        <w:rPr>
          <w:rFonts w:ascii="Times New Roman" w:hAnsi="Times New Roman" w:eastAsia="方正仿宋_GBK"/>
          <w:spacing w:val="-2"/>
          <w:sz w:val="32"/>
          <w:szCs w:val="32"/>
        </w:rPr>
      </w:pPr>
      <w:r>
        <w:rPr>
          <w:rFonts w:ascii="Times New Roman" w:hAnsi="Times New Roman" w:eastAsia="方正仿宋_GBK"/>
          <w:spacing w:val="-2"/>
          <w:sz w:val="32"/>
          <w:szCs w:val="32"/>
        </w:rPr>
        <w:t>（二）</w:t>
      </w:r>
      <w:r>
        <w:rPr>
          <w:rFonts w:ascii="Times New Roman" w:hAnsi="Times New Roman" w:eastAsia="方正仿宋_GBK"/>
          <w:sz w:val="32"/>
          <w:szCs w:val="32"/>
        </w:rPr>
        <w:t>从机遇看</w:t>
      </w:r>
    </w:p>
    <w:p>
      <w:pPr>
        <w:overflowPunct w:val="0"/>
        <w:autoSpaceDE w:val="0"/>
        <w:autoSpaceDN w:val="0"/>
        <w:adjustRightInd w:val="0"/>
        <w:snapToGrid w:val="0"/>
        <w:spacing w:line="550" w:lineRule="exact"/>
        <w:ind w:firstLine="632" w:firstLineChars="200"/>
        <w:rPr>
          <w:rFonts w:ascii="Times New Roman" w:hAnsi="Times New Roman" w:eastAsia="方正黑体_GBK"/>
          <w:spacing w:val="-2"/>
          <w:sz w:val="32"/>
          <w:szCs w:val="32"/>
        </w:rPr>
      </w:pPr>
      <w:r>
        <w:rPr>
          <w:rFonts w:ascii="Times New Roman" w:hAnsi="Times New Roman" w:eastAsia="方正黑体_GBK"/>
          <w:spacing w:val="-2"/>
          <w:sz w:val="32"/>
          <w:szCs w:val="32"/>
        </w:rPr>
        <w:t>三、总体思路</w:t>
      </w:r>
    </w:p>
    <w:p>
      <w:pPr>
        <w:overflowPunct w:val="0"/>
        <w:autoSpaceDE w:val="0"/>
        <w:autoSpaceDN w:val="0"/>
        <w:adjustRightInd w:val="0"/>
        <w:snapToGrid w:val="0"/>
        <w:spacing w:line="550" w:lineRule="exact"/>
        <w:ind w:firstLine="632" w:firstLineChars="200"/>
        <w:rPr>
          <w:rFonts w:ascii="Times New Roman" w:hAnsi="Times New Roman" w:eastAsia="方正仿宋_GBK"/>
          <w:spacing w:val="-2"/>
          <w:sz w:val="32"/>
          <w:szCs w:val="32"/>
        </w:rPr>
      </w:pPr>
      <w:r>
        <w:rPr>
          <w:rFonts w:ascii="Times New Roman" w:hAnsi="Times New Roman" w:eastAsia="方正仿宋_GBK"/>
          <w:spacing w:val="-2"/>
          <w:sz w:val="32"/>
          <w:szCs w:val="32"/>
        </w:rPr>
        <w:t>（一）</w:t>
      </w:r>
      <w:r>
        <w:rPr>
          <w:rFonts w:ascii="Times New Roman" w:hAnsi="Times New Roman" w:eastAsia="方正仿宋_GBK"/>
          <w:sz w:val="32"/>
          <w:szCs w:val="32"/>
        </w:rPr>
        <w:t>指导思想</w:t>
      </w:r>
    </w:p>
    <w:p>
      <w:pPr>
        <w:overflowPunct w:val="0"/>
        <w:autoSpaceDE w:val="0"/>
        <w:autoSpaceDN w:val="0"/>
        <w:adjustRightInd w:val="0"/>
        <w:snapToGrid w:val="0"/>
        <w:spacing w:line="550" w:lineRule="exact"/>
        <w:ind w:firstLine="632" w:firstLineChars="200"/>
        <w:rPr>
          <w:rFonts w:ascii="Times New Roman" w:hAnsi="Times New Roman" w:eastAsia="方正仿宋_GBK"/>
          <w:spacing w:val="-2"/>
          <w:sz w:val="32"/>
          <w:szCs w:val="32"/>
        </w:rPr>
      </w:pPr>
      <w:r>
        <w:rPr>
          <w:rFonts w:ascii="Times New Roman" w:hAnsi="Times New Roman" w:eastAsia="方正仿宋_GBK"/>
          <w:spacing w:val="-2"/>
          <w:sz w:val="32"/>
          <w:szCs w:val="32"/>
        </w:rPr>
        <w:t>（二）</w:t>
      </w:r>
      <w:r>
        <w:rPr>
          <w:rFonts w:ascii="Times New Roman" w:hAnsi="Times New Roman" w:eastAsia="方正仿宋_GBK"/>
          <w:sz w:val="32"/>
          <w:szCs w:val="32"/>
        </w:rPr>
        <w:t>基本原则</w:t>
      </w:r>
    </w:p>
    <w:p>
      <w:pPr>
        <w:overflowPunct w:val="0"/>
        <w:autoSpaceDE w:val="0"/>
        <w:autoSpaceDN w:val="0"/>
        <w:adjustRightInd w:val="0"/>
        <w:snapToGrid w:val="0"/>
        <w:spacing w:line="550" w:lineRule="exact"/>
        <w:ind w:firstLine="632" w:firstLineChars="200"/>
        <w:rPr>
          <w:rFonts w:ascii="Times New Roman" w:hAnsi="Times New Roman" w:eastAsia="方正仿宋_GBK"/>
          <w:spacing w:val="-2"/>
          <w:sz w:val="32"/>
          <w:szCs w:val="32"/>
        </w:rPr>
      </w:pPr>
      <w:r>
        <w:rPr>
          <w:rFonts w:ascii="Times New Roman" w:hAnsi="Times New Roman" w:eastAsia="方正仿宋_GBK"/>
          <w:spacing w:val="-2"/>
          <w:sz w:val="32"/>
          <w:szCs w:val="32"/>
        </w:rPr>
        <w:t>（三）</w:t>
      </w:r>
      <w:r>
        <w:rPr>
          <w:rFonts w:ascii="Times New Roman" w:hAnsi="Times New Roman" w:eastAsia="方正仿宋_GBK"/>
          <w:sz w:val="32"/>
          <w:szCs w:val="32"/>
        </w:rPr>
        <w:t>发展目标</w:t>
      </w:r>
    </w:p>
    <w:p>
      <w:pPr>
        <w:overflowPunct w:val="0"/>
        <w:autoSpaceDE w:val="0"/>
        <w:autoSpaceDN w:val="0"/>
        <w:adjustRightInd w:val="0"/>
        <w:snapToGrid w:val="0"/>
        <w:spacing w:line="550" w:lineRule="exact"/>
        <w:ind w:firstLine="632" w:firstLineChars="200"/>
        <w:rPr>
          <w:rFonts w:ascii="Times New Roman" w:hAnsi="Times New Roman" w:eastAsia="方正仿宋_GBK"/>
          <w:spacing w:val="-2"/>
          <w:sz w:val="32"/>
          <w:szCs w:val="32"/>
        </w:rPr>
      </w:pPr>
      <w:r>
        <w:rPr>
          <w:rFonts w:ascii="Times New Roman" w:hAnsi="Times New Roman" w:eastAsia="方正仿宋_GBK"/>
          <w:spacing w:val="-2"/>
          <w:sz w:val="32"/>
          <w:szCs w:val="32"/>
        </w:rPr>
        <w:t>（四）</w:t>
      </w:r>
      <w:r>
        <w:rPr>
          <w:rFonts w:ascii="Times New Roman" w:hAnsi="Times New Roman" w:eastAsia="方正仿宋_GBK"/>
          <w:sz w:val="32"/>
          <w:szCs w:val="32"/>
        </w:rPr>
        <w:t>重点方向</w:t>
      </w:r>
    </w:p>
    <w:p>
      <w:pPr>
        <w:overflowPunct w:val="0"/>
        <w:autoSpaceDE w:val="0"/>
        <w:autoSpaceDN w:val="0"/>
        <w:adjustRightInd w:val="0"/>
        <w:snapToGrid w:val="0"/>
        <w:spacing w:line="550" w:lineRule="exact"/>
        <w:ind w:firstLine="632" w:firstLineChars="200"/>
        <w:rPr>
          <w:rFonts w:ascii="Times New Roman" w:hAnsi="Times New Roman" w:eastAsia="方正黑体_GBK"/>
          <w:spacing w:val="-2"/>
          <w:sz w:val="32"/>
          <w:szCs w:val="32"/>
        </w:rPr>
      </w:pPr>
      <w:r>
        <w:rPr>
          <w:rFonts w:ascii="Times New Roman" w:hAnsi="Times New Roman" w:eastAsia="方正黑体_GBK"/>
          <w:spacing w:val="-2"/>
          <w:sz w:val="32"/>
          <w:szCs w:val="32"/>
        </w:rPr>
        <w:t>四、转型升级，打造更高水平开发园区</w:t>
      </w:r>
    </w:p>
    <w:p>
      <w:pPr>
        <w:overflowPunct w:val="0"/>
        <w:autoSpaceDE w:val="0"/>
        <w:autoSpaceDN w:val="0"/>
        <w:adjustRightInd w:val="0"/>
        <w:snapToGrid w:val="0"/>
        <w:spacing w:line="550" w:lineRule="exact"/>
        <w:ind w:firstLine="632" w:firstLineChars="200"/>
        <w:rPr>
          <w:rFonts w:ascii="Times New Roman" w:hAnsi="Times New Roman" w:eastAsia="方正仿宋_GBK"/>
          <w:spacing w:val="-2"/>
          <w:sz w:val="32"/>
          <w:szCs w:val="32"/>
        </w:rPr>
      </w:pPr>
      <w:r>
        <w:rPr>
          <w:rFonts w:ascii="Times New Roman" w:hAnsi="Times New Roman" w:eastAsia="方正仿宋_GBK"/>
          <w:spacing w:val="-2"/>
          <w:sz w:val="32"/>
          <w:szCs w:val="32"/>
        </w:rPr>
        <w:t>（一）完善开发区布局</w:t>
      </w:r>
    </w:p>
    <w:p>
      <w:pPr>
        <w:overflowPunct w:val="0"/>
        <w:autoSpaceDE w:val="0"/>
        <w:autoSpaceDN w:val="0"/>
        <w:adjustRightInd w:val="0"/>
        <w:snapToGrid w:val="0"/>
        <w:spacing w:line="550" w:lineRule="exact"/>
        <w:ind w:firstLine="632" w:firstLineChars="200"/>
        <w:rPr>
          <w:rFonts w:ascii="Times New Roman" w:hAnsi="Times New Roman" w:eastAsia="方正仿宋_GBK"/>
          <w:spacing w:val="-2"/>
          <w:sz w:val="32"/>
          <w:szCs w:val="32"/>
        </w:rPr>
      </w:pPr>
      <w:r>
        <w:rPr>
          <w:rFonts w:ascii="Times New Roman" w:hAnsi="Times New Roman" w:eastAsia="方正仿宋_GBK"/>
          <w:spacing w:val="-2"/>
          <w:sz w:val="32"/>
          <w:szCs w:val="32"/>
        </w:rPr>
        <w:t>（二）推动开发区升级</w:t>
      </w:r>
    </w:p>
    <w:p>
      <w:pPr>
        <w:overflowPunct w:val="0"/>
        <w:autoSpaceDE w:val="0"/>
        <w:autoSpaceDN w:val="0"/>
        <w:adjustRightInd w:val="0"/>
        <w:snapToGrid w:val="0"/>
        <w:spacing w:line="550" w:lineRule="exact"/>
        <w:ind w:firstLine="632" w:firstLineChars="200"/>
        <w:rPr>
          <w:rFonts w:ascii="Times New Roman" w:hAnsi="Times New Roman" w:eastAsia="方正仿宋_GBK"/>
          <w:spacing w:val="-2"/>
          <w:sz w:val="32"/>
          <w:szCs w:val="32"/>
        </w:rPr>
      </w:pPr>
      <w:r>
        <w:rPr>
          <w:rFonts w:ascii="Times New Roman" w:hAnsi="Times New Roman" w:eastAsia="方正仿宋_GBK"/>
          <w:spacing w:val="-2"/>
          <w:sz w:val="32"/>
          <w:szCs w:val="32"/>
        </w:rPr>
        <w:t>（三）加快特色产业集聚</w:t>
      </w:r>
    </w:p>
    <w:p>
      <w:pPr>
        <w:overflowPunct w:val="0"/>
        <w:autoSpaceDE w:val="0"/>
        <w:autoSpaceDN w:val="0"/>
        <w:adjustRightInd w:val="0"/>
        <w:snapToGrid w:val="0"/>
        <w:spacing w:line="550" w:lineRule="exact"/>
        <w:ind w:firstLine="632" w:firstLineChars="200"/>
        <w:rPr>
          <w:rFonts w:ascii="Times New Roman" w:hAnsi="Times New Roman" w:eastAsia="方正仿宋_GBK"/>
          <w:spacing w:val="-2"/>
          <w:sz w:val="32"/>
          <w:szCs w:val="32"/>
        </w:rPr>
      </w:pPr>
      <w:r>
        <w:rPr>
          <w:rFonts w:ascii="Times New Roman" w:hAnsi="Times New Roman" w:eastAsia="方正仿宋_GBK"/>
          <w:spacing w:val="-2"/>
          <w:sz w:val="32"/>
          <w:szCs w:val="32"/>
        </w:rPr>
        <w:t>（四）加强开放平台建设</w:t>
      </w:r>
    </w:p>
    <w:p>
      <w:pPr>
        <w:overflowPunct w:val="0"/>
        <w:autoSpaceDE w:val="0"/>
        <w:autoSpaceDN w:val="0"/>
        <w:adjustRightInd w:val="0"/>
        <w:snapToGrid w:val="0"/>
        <w:spacing w:line="550" w:lineRule="exact"/>
        <w:ind w:firstLine="632" w:firstLineChars="200"/>
        <w:rPr>
          <w:rFonts w:ascii="Times New Roman" w:hAnsi="Times New Roman" w:eastAsia="方正仿宋_GBK"/>
          <w:spacing w:val="-2"/>
          <w:sz w:val="32"/>
          <w:szCs w:val="32"/>
        </w:rPr>
      </w:pPr>
      <w:r>
        <w:rPr>
          <w:rFonts w:ascii="Times New Roman" w:hAnsi="Times New Roman" w:eastAsia="方正仿宋_GBK"/>
          <w:spacing w:val="-2"/>
          <w:sz w:val="32"/>
          <w:szCs w:val="32"/>
        </w:rPr>
        <w:t>（五）推动园区管理体制改革</w:t>
      </w:r>
    </w:p>
    <w:p>
      <w:pPr>
        <w:overflowPunct w:val="0"/>
        <w:autoSpaceDE w:val="0"/>
        <w:autoSpaceDN w:val="0"/>
        <w:adjustRightInd w:val="0"/>
        <w:snapToGrid w:val="0"/>
        <w:spacing w:line="550" w:lineRule="exact"/>
        <w:ind w:firstLine="632" w:firstLineChars="200"/>
        <w:rPr>
          <w:rFonts w:ascii="Times New Roman" w:hAnsi="Times New Roman" w:eastAsia="方正黑体_GBK"/>
          <w:spacing w:val="-2"/>
          <w:sz w:val="32"/>
          <w:szCs w:val="32"/>
        </w:rPr>
      </w:pPr>
      <w:r>
        <w:rPr>
          <w:rFonts w:ascii="Times New Roman" w:hAnsi="Times New Roman" w:eastAsia="方正黑体_GBK"/>
          <w:spacing w:val="-2"/>
          <w:sz w:val="32"/>
          <w:szCs w:val="32"/>
        </w:rPr>
        <w:t>五、提质增效，强化利用外资质量和水平</w:t>
      </w:r>
    </w:p>
    <w:p>
      <w:pPr>
        <w:overflowPunct w:val="0"/>
        <w:autoSpaceDE w:val="0"/>
        <w:autoSpaceDN w:val="0"/>
        <w:adjustRightInd w:val="0"/>
        <w:snapToGrid w:val="0"/>
        <w:spacing w:line="550" w:lineRule="exact"/>
        <w:ind w:firstLine="632" w:firstLineChars="200"/>
        <w:rPr>
          <w:rFonts w:ascii="Times New Roman" w:hAnsi="Times New Roman" w:eastAsia="方正仿宋_GBK"/>
          <w:spacing w:val="-2"/>
          <w:sz w:val="32"/>
          <w:szCs w:val="32"/>
        </w:rPr>
      </w:pPr>
      <w:r>
        <w:rPr>
          <w:rFonts w:ascii="Times New Roman" w:hAnsi="Times New Roman" w:eastAsia="方正仿宋_GBK"/>
          <w:spacing w:val="-2"/>
          <w:sz w:val="32"/>
          <w:szCs w:val="32"/>
        </w:rPr>
        <w:t>（一）聚焦重点产业优质项目</w:t>
      </w:r>
    </w:p>
    <w:p>
      <w:pPr>
        <w:overflowPunct w:val="0"/>
        <w:autoSpaceDE w:val="0"/>
        <w:autoSpaceDN w:val="0"/>
        <w:adjustRightInd w:val="0"/>
        <w:snapToGrid w:val="0"/>
        <w:spacing w:line="550" w:lineRule="exact"/>
        <w:ind w:firstLine="632" w:firstLineChars="200"/>
        <w:rPr>
          <w:rFonts w:ascii="Times New Roman" w:hAnsi="Times New Roman" w:eastAsia="方正仿宋_GBK"/>
          <w:spacing w:val="-2"/>
          <w:sz w:val="32"/>
          <w:szCs w:val="32"/>
        </w:rPr>
      </w:pPr>
      <w:r>
        <w:rPr>
          <w:rFonts w:ascii="Times New Roman" w:hAnsi="Times New Roman" w:eastAsia="方正仿宋_GBK"/>
          <w:spacing w:val="-2"/>
          <w:sz w:val="32"/>
          <w:szCs w:val="32"/>
        </w:rPr>
        <w:t>（二）聚焦招商引资方式创新</w:t>
      </w:r>
    </w:p>
    <w:p>
      <w:pPr>
        <w:overflowPunct w:val="0"/>
        <w:autoSpaceDE w:val="0"/>
        <w:autoSpaceDN w:val="0"/>
        <w:adjustRightInd w:val="0"/>
        <w:snapToGrid w:val="0"/>
        <w:spacing w:line="550" w:lineRule="exact"/>
        <w:ind w:firstLine="632" w:firstLineChars="200"/>
        <w:rPr>
          <w:rFonts w:ascii="Times New Roman" w:hAnsi="Times New Roman" w:eastAsia="方正仿宋_GBK"/>
          <w:spacing w:val="-2"/>
          <w:sz w:val="32"/>
          <w:szCs w:val="32"/>
        </w:rPr>
      </w:pPr>
      <w:r>
        <w:rPr>
          <w:rFonts w:ascii="Times New Roman" w:hAnsi="Times New Roman" w:eastAsia="方正仿宋_GBK"/>
          <w:spacing w:val="-2"/>
          <w:sz w:val="32"/>
          <w:szCs w:val="32"/>
        </w:rPr>
        <w:t>（三）聚焦招商队伍建设</w:t>
      </w:r>
    </w:p>
    <w:p>
      <w:pPr>
        <w:overflowPunct w:val="0"/>
        <w:autoSpaceDE w:val="0"/>
        <w:autoSpaceDN w:val="0"/>
        <w:adjustRightInd w:val="0"/>
        <w:snapToGrid w:val="0"/>
        <w:spacing w:line="550" w:lineRule="exact"/>
        <w:ind w:firstLine="632" w:firstLineChars="200"/>
        <w:rPr>
          <w:rFonts w:ascii="Times New Roman" w:hAnsi="Times New Roman" w:eastAsia="方正黑体_GBK"/>
          <w:spacing w:val="-2"/>
          <w:sz w:val="32"/>
          <w:szCs w:val="32"/>
        </w:rPr>
      </w:pPr>
      <w:r>
        <w:rPr>
          <w:rFonts w:ascii="Times New Roman" w:hAnsi="Times New Roman" w:eastAsia="方正黑体_GBK"/>
          <w:spacing w:val="-2"/>
          <w:sz w:val="32"/>
          <w:szCs w:val="32"/>
        </w:rPr>
        <w:t>六、优进优出，加快转变外贸发展方式</w:t>
      </w:r>
    </w:p>
    <w:p>
      <w:pPr>
        <w:overflowPunct w:val="0"/>
        <w:autoSpaceDE w:val="0"/>
        <w:autoSpaceDN w:val="0"/>
        <w:adjustRightInd w:val="0"/>
        <w:snapToGrid w:val="0"/>
        <w:spacing w:line="550" w:lineRule="exact"/>
        <w:ind w:firstLine="632" w:firstLineChars="200"/>
        <w:rPr>
          <w:rFonts w:ascii="Times New Roman" w:hAnsi="Times New Roman" w:eastAsia="方正仿宋_GBK"/>
          <w:spacing w:val="-2"/>
          <w:sz w:val="32"/>
          <w:szCs w:val="32"/>
        </w:rPr>
      </w:pPr>
      <w:r>
        <w:rPr>
          <w:rFonts w:ascii="Times New Roman" w:hAnsi="Times New Roman" w:eastAsia="方正仿宋_GBK"/>
          <w:spacing w:val="-2"/>
          <w:sz w:val="32"/>
          <w:szCs w:val="32"/>
        </w:rPr>
        <w:t>（一）外贸强基行动</w:t>
      </w:r>
    </w:p>
    <w:p>
      <w:pPr>
        <w:overflowPunct w:val="0"/>
        <w:autoSpaceDE w:val="0"/>
        <w:autoSpaceDN w:val="0"/>
        <w:adjustRightInd w:val="0"/>
        <w:snapToGrid w:val="0"/>
        <w:spacing w:line="550" w:lineRule="exact"/>
        <w:ind w:firstLine="632" w:firstLineChars="200"/>
        <w:rPr>
          <w:rFonts w:ascii="Times New Roman" w:hAnsi="Times New Roman" w:eastAsia="方正仿宋_GBK"/>
          <w:spacing w:val="-2"/>
          <w:sz w:val="32"/>
          <w:szCs w:val="32"/>
        </w:rPr>
      </w:pPr>
      <w:r>
        <w:rPr>
          <w:rFonts w:ascii="Times New Roman" w:hAnsi="Times New Roman" w:eastAsia="方正仿宋_GBK"/>
          <w:spacing w:val="-2"/>
          <w:sz w:val="32"/>
          <w:szCs w:val="32"/>
        </w:rPr>
        <w:t>（二）外贸创新行动</w:t>
      </w:r>
    </w:p>
    <w:p>
      <w:pPr>
        <w:overflowPunct w:val="0"/>
        <w:autoSpaceDE w:val="0"/>
        <w:autoSpaceDN w:val="0"/>
        <w:adjustRightInd w:val="0"/>
        <w:snapToGrid w:val="0"/>
        <w:spacing w:line="550" w:lineRule="exact"/>
        <w:ind w:firstLine="632" w:firstLineChars="200"/>
        <w:rPr>
          <w:rFonts w:ascii="Times New Roman" w:hAnsi="Times New Roman" w:eastAsia="方正仿宋_GBK"/>
          <w:spacing w:val="-2"/>
          <w:sz w:val="32"/>
          <w:szCs w:val="32"/>
        </w:rPr>
      </w:pPr>
      <w:r>
        <w:rPr>
          <w:rFonts w:ascii="Times New Roman" w:hAnsi="Times New Roman" w:eastAsia="方正仿宋_GBK"/>
          <w:spacing w:val="-2"/>
          <w:sz w:val="32"/>
          <w:szCs w:val="32"/>
        </w:rPr>
        <w:t>（三）外贸护航行动</w:t>
      </w:r>
    </w:p>
    <w:p>
      <w:pPr>
        <w:overflowPunct w:val="0"/>
        <w:autoSpaceDE w:val="0"/>
        <w:autoSpaceDN w:val="0"/>
        <w:adjustRightInd w:val="0"/>
        <w:snapToGrid w:val="0"/>
        <w:spacing w:line="550" w:lineRule="exact"/>
        <w:ind w:firstLine="632" w:firstLineChars="200"/>
        <w:rPr>
          <w:rFonts w:ascii="Times New Roman" w:hAnsi="Times New Roman" w:eastAsia="方正黑体_GBK"/>
          <w:spacing w:val="-2"/>
          <w:sz w:val="32"/>
          <w:szCs w:val="32"/>
        </w:rPr>
      </w:pPr>
      <w:r>
        <w:rPr>
          <w:rFonts w:ascii="Times New Roman" w:hAnsi="Times New Roman" w:eastAsia="方正黑体_GBK"/>
          <w:spacing w:val="-2"/>
          <w:sz w:val="32"/>
          <w:szCs w:val="32"/>
        </w:rPr>
        <w:t>七、内外联动，推动企业更好“走出去”</w:t>
      </w:r>
    </w:p>
    <w:p>
      <w:pPr>
        <w:overflowPunct w:val="0"/>
        <w:autoSpaceDE w:val="0"/>
        <w:autoSpaceDN w:val="0"/>
        <w:adjustRightInd w:val="0"/>
        <w:snapToGrid w:val="0"/>
        <w:spacing w:line="550" w:lineRule="exact"/>
        <w:ind w:firstLine="632" w:firstLineChars="200"/>
        <w:rPr>
          <w:rFonts w:ascii="Times New Roman" w:hAnsi="Times New Roman" w:eastAsia="方正仿宋_GBK"/>
          <w:spacing w:val="-2"/>
          <w:sz w:val="32"/>
          <w:szCs w:val="32"/>
        </w:rPr>
      </w:pPr>
      <w:r>
        <w:rPr>
          <w:rFonts w:ascii="Times New Roman" w:hAnsi="Times New Roman" w:eastAsia="方正仿宋_GBK"/>
          <w:spacing w:val="-2"/>
          <w:sz w:val="32"/>
          <w:szCs w:val="32"/>
        </w:rPr>
        <w:t>（一）推动“一带一路”合作</w:t>
      </w:r>
    </w:p>
    <w:p>
      <w:pPr>
        <w:overflowPunct w:val="0"/>
        <w:autoSpaceDE w:val="0"/>
        <w:autoSpaceDN w:val="0"/>
        <w:adjustRightInd w:val="0"/>
        <w:snapToGrid w:val="0"/>
        <w:spacing w:line="550" w:lineRule="exact"/>
        <w:ind w:firstLine="632" w:firstLineChars="200"/>
        <w:rPr>
          <w:rFonts w:ascii="Times New Roman" w:hAnsi="Times New Roman" w:eastAsia="方正仿宋_GBK"/>
          <w:spacing w:val="-2"/>
          <w:sz w:val="32"/>
          <w:szCs w:val="32"/>
        </w:rPr>
      </w:pPr>
      <w:r>
        <w:rPr>
          <w:rFonts w:ascii="Times New Roman" w:hAnsi="Times New Roman" w:eastAsia="方正仿宋_GBK"/>
          <w:spacing w:val="-2"/>
          <w:sz w:val="32"/>
          <w:szCs w:val="32"/>
        </w:rPr>
        <w:t>（二）培育本土跨国公司</w:t>
      </w:r>
    </w:p>
    <w:p>
      <w:pPr>
        <w:overflowPunct w:val="0"/>
        <w:autoSpaceDE w:val="0"/>
        <w:autoSpaceDN w:val="0"/>
        <w:adjustRightInd w:val="0"/>
        <w:snapToGrid w:val="0"/>
        <w:spacing w:line="550" w:lineRule="exact"/>
        <w:ind w:firstLine="632" w:firstLineChars="200"/>
        <w:rPr>
          <w:rFonts w:ascii="Times New Roman" w:hAnsi="Times New Roman" w:eastAsia="方正仿宋_GBK"/>
          <w:spacing w:val="-2"/>
          <w:sz w:val="32"/>
          <w:szCs w:val="32"/>
        </w:rPr>
      </w:pPr>
      <w:r>
        <w:rPr>
          <w:rFonts w:ascii="Times New Roman" w:hAnsi="Times New Roman" w:eastAsia="方正仿宋_GBK"/>
          <w:spacing w:val="-2"/>
          <w:sz w:val="32"/>
          <w:szCs w:val="32"/>
        </w:rPr>
        <w:t>（三）推动境外园区建设</w:t>
      </w:r>
    </w:p>
    <w:p>
      <w:pPr>
        <w:overflowPunct w:val="0"/>
        <w:autoSpaceDE w:val="0"/>
        <w:autoSpaceDN w:val="0"/>
        <w:adjustRightInd w:val="0"/>
        <w:snapToGrid w:val="0"/>
        <w:spacing w:line="550" w:lineRule="exact"/>
        <w:ind w:firstLine="632" w:firstLineChars="200"/>
        <w:rPr>
          <w:rFonts w:ascii="Times New Roman" w:hAnsi="Times New Roman" w:eastAsia="方正仿宋_GBK"/>
          <w:spacing w:val="-2"/>
          <w:sz w:val="32"/>
          <w:szCs w:val="32"/>
        </w:rPr>
      </w:pPr>
      <w:r>
        <w:rPr>
          <w:rFonts w:ascii="Times New Roman" w:hAnsi="Times New Roman" w:eastAsia="方正仿宋_GBK"/>
          <w:spacing w:val="-2"/>
          <w:sz w:val="32"/>
          <w:szCs w:val="32"/>
        </w:rPr>
        <w:t>（四）打造支撑服务体系</w:t>
      </w:r>
    </w:p>
    <w:p>
      <w:pPr>
        <w:overflowPunct w:val="0"/>
        <w:autoSpaceDE w:val="0"/>
        <w:autoSpaceDN w:val="0"/>
        <w:adjustRightInd w:val="0"/>
        <w:snapToGrid w:val="0"/>
        <w:spacing w:line="550" w:lineRule="exact"/>
        <w:ind w:firstLine="632" w:firstLineChars="200"/>
        <w:rPr>
          <w:rFonts w:ascii="Times New Roman" w:hAnsi="Times New Roman" w:eastAsia="方正黑体_GBK"/>
          <w:spacing w:val="-2"/>
          <w:sz w:val="32"/>
          <w:szCs w:val="32"/>
        </w:rPr>
      </w:pPr>
      <w:r>
        <w:rPr>
          <w:rFonts w:ascii="Times New Roman" w:hAnsi="Times New Roman" w:eastAsia="方正黑体_GBK"/>
          <w:spacing w:val="-2"/>
          <w:sz w:val="32"/>
          <w:szCs w:val="32"/>
        </w:rPr>
        <w:t>八、整合提升，优化口岸开放功能</w:t>
      </w:r>
    </w:p>
    <w:p>
      <w:pPr>
        <w:overflowPunct w:val="0"/>
        <w:autoSpaceDE w:val="0"/>
        <w:autoSpaceDN w:val="0"/>
        <w:adjustRightInd w:val="0"/>
        <w:snapToGrid w:val="0"/>
        <w:spacing w:line="550" w:lineRule="exact"/>
        <w:ind w:firstLine="632" w:firstLineChars="200"/>
        <w:rPr>
          <w:rFonts w:ascii="Times New Roman" w:hAnsi="Times New Roman" w:eastAsia="方正仿宋_GBK"/>
          <w:spacing w:val="-2"/>
          <w:sz w:val="32"/>
          <w:szCs w:val="32"/>
        </w:rPr>
      </w:pPr>
      <w:r>
        <w:rPr>
          <w:rFonts w:ascii="Times New Roman" w:hAnsi="Times New Roman" w:eastAsia="方正仿宋_GBK"/>
          <w:spacing w:val="-2"/>
          <w:sz w:val="32"/>
          <w:szCs w:val="32"/>
        </w:rPr>
        <w:t>（一）优化口岸布局</w:t>
      </w:r>
    </w:p>
    <w:p>
      <w:pPr>
        <w:overflowPunct w:val="0"/>
        <w:autoSpaceDE w:val="0"/>
        <w:autoSpaceDN w:val="0"/>
        <w:adjustRightInd w:val="0"/>
        <w:snapToGrid w:val="0"/>
        <w:spacing w:line="550" w:lineRule="exact"/>
        <w:ind w:firstLine="632" w:firstLineChars="200"/>
        <w:rPr>
          <w:rFonts w:ascii="Times New Roman" w:hAnsi="Times New Roman" w:eastAsia="方正仿宋_GBK"/>
          <w:spacing w:val="-2"/>
          <w:sz w:val="32"/>
          <w:szCs w:val="32"/>
        </w:rPr>
      </w:pPr>
      <w:r>
        <w:rPr>
          <w:rFonts w:ascii="Times New Roman" w:hAnsi="Times New Roman" w:eastAsia="方正仿宋_GBK"/>
          <w:spacing w:val="-2"/>
          <w:sz w:val="32"/>
          <w:szCs w:val="32"/>
        </w:rPr>
        <w:t>（二）提升口岸功能</w:t>
      </w:r>
    </w:p>
    <w:p>
      <w:pPr>
        <w:overflowPunct w:val="0"/>
        <w:autoSpaceDE w:val="0"/>
        <w:autoSpaceDN w:val="0"/>
        <w:adjustRightInd w:val="0"/>
        <w:snapToGrid w:val="0"/>
        <w:spacing w:line="550" w:lineRule="exact"/>
        <w:ind w:firstLine="632" w:firstLineChars="200"/>
        <w:rPr>
          <w:rFonts w:ascii="Times New Roman" w:hAnsi="Times New Roman" w:eastAsia="方正仿宋_GBK"/>
          <w:spacing w:val="-2"/>
          <w:sz w:val="32"/>
          <w:szCs w:val="32"/>
        </w:rPr>
      </w:pPr>
      <w:r>
        <w:rPr>
          <w:rFonts w:ascii="Times New Roman" w:hAnsi="Times New Roman" w:eastAsia="方正仿宋_GBK"/>
          <w:spacing w:val="-2"/>
          <w:sz w:val="32"/>
          <w:szCs w:val="32"/>
        </w:rPr>
        <w:t>（三）优化服务效能</w:t>
      </w:r>
    </w:p>
    <w:p>
      <w:pPr>
        <w:overflowPunct w:val="0"/>
        <w:autoSpaceDE w:val="0"/>
        <w:autoSpaceDN w:val="0"/>
        <w:adjustRightInd w:val="0"/>
        <w:snapToGrid w:val="0"/>
        <w:spacing w:line="550" w:lineRule="exact"/>
        <w:ind w:firstLine="632" w:firstLineChars="200"/>
        <w:rPr>
          <w:rFonts w:ascii="Times New Roman" w:hAnsi="Times New Roman" w:eastAsia="方正黑体_GBK"/>
          <w:spacing w:val="-2"/>
          <w:sz w:val="32"/>
          <w:szCs w:val="32"/>
        </w:rPr>
      </w:pPr>
      <w:r>
        <w:rPr>
          <w:rFonts w:ascii="Times New Roman" w:hAnsi="Times New Roman" w:eastAsia="方正黑体_GBK"/>
          <w:spacing w:val="-2"/>
          <w:sz w:val="32"/>
          <w:szCs w:val="32"/>
        </w:rPr>
        <w:t>九、优化环境，提升城市国际化功能</w:t>
      </w:r>
    </w:p>
    <w:p>
      <w:pPr>
        <w:overflowPunct w:val="0"/>
        <w:autoSpaceDE w:val="0"/>
        <w:autoSpaceDN w:val="0"/>
        <w:adjustRightInd w:val="0"/>
        <w:snapToGrid w:val="0"/>
        <w:spacing w:line="550" w:lineRule="exact"/>
        <w:ind w:firstLine="632" w:firstLineChars="200"/>
        <w:rPr>
          <w:rFonts w:ascii="Times New Roman" w:hAnsi="Times New Roman" w:eastAsia="方正仿宋_GBK"/>
          <w:spacing w:val="-2"/>
          <w:sz w:val="32"/>
          <w:szCs w:val="32"/>
        </w:rPr>
      </w:pPr>
      <w:r>
        <w:rPr>
          <w:rFonts w:ascii="Times New Roman" w:hAnsi="Times New Roman" w:eastAsia="方正仿宋_GBK"/>
          <w:spacing w:val="-2"/>
          <w:sz w:val="32"/>
          <w:szCs w:val="32"/>
        </w:rPr>
        <w:t>（一）提升教育国际化功能</w:t>
      </w:r>
    </w:p>
    <w:p>
      <w:pPr>
        <w:overflowPunct w:val="0"/>
        <w:autoSpaceDE w:val="0"/>
        <w:autoSpaceDN w:val="0"/>
        <w:adjustRightInd w:val="0"/>
        <w:snapToGrid w:val="0"/>
        <w:spacing w:line="550" w:lineRule="exact"/>
        <w:ind w:firstLine="632" w:firstLineChars="200"/>
        <w:rPr>
          <w:rFonts w:ascii="Times New Roman" w:hAnsi="Times New Roman" w:eastAsia="方正仿宋_GBK"/>
          <w:spacing w:val="-2"/>
          <w:sz w:val="32"/>
          <w:szCs w:val="32"/>
        </w:rPr>
      </w:pPr>
      <w:r>
        <w:rPr>
          <w:rFonts w:ascii="Times New Roman" w:hAnsi="Times New Roman" w:eastAsia="方正仿宋_GBK"/>
          <w:spacing w:val="-2"/>
          <w:sz w:val="32"/>
          <w:szCs w:val="32"/>
        </w:rPr>
        <w:t>（二）提升医疗国际化功能</w:t>
      </w:r>
    </w:p>
    <w:p>
      <w:pPr>
        <w:overflowPunct w:val="0"/>
        <w:autoSpaceDE w:val="0"/>
        <w:autoSpaceDN w:val="0"/>
        <w:adjustRightInd w:val="0"/>
        <w:snapToGrid w:val="0"/>
        <w:spacing w:line="550" w:lineRule="exact"/>
        <w:ind w:firstLine="632" w:firstLineChars="200"/>
        <w:rPr>
          <w:rFonts w:ascii="Times New Roman" w:hAnsi="Times New Roman" w:eastAsia="方正仿宋_GBK"/>
          <w:spacing w:val="-2"/>
          <w:sz w:val="32"/>
          <w:szCs w:val="32"/>
        </w:rPr>
      </w:pPr>
      <w:r>
        <w:rPr>
          <w:rFonts w:ascii="Times New Roman" w:hAnsi="Times New Roman" w:eastAsia="方正仿宋_GBK"/>
          <w:spacing w:val="-2"/>
          <w:sz w:val="32"/>
          <w:szCs w:val="32"/>
        </w:rPr>
        <w:t>（三）提升居住环境国际化功能</w:t>
      </w:r>
    </w:p>
    <w:p>
      <w:pPr>
        <w:overflowPunct w:val="0"/>
        <w:autoSpaceDE w:val="0"/>
        <w:autoSpaceDN w:val="0"/>
        <w:adjustRightInd w:val="0"/>
        <w:snapToGrid w:val="0"/>
        <w:spacing w:line="550" w:lineRule="exact"/>
        <w:ind w:firstLine="632" w:firstLineChars="200"/>
        <w:rPr>
          <w:rFonts w:ascii="Times New Roman" w:hAnsi="Times New Roman" w:eastAsia="方正仿宋_GBK"/>
          <w:spacing w:val="-2"/>
          <w:sz w:val="32"/>
          <w:szCs w:val="32"/>
        </w:rPr>
      </w:pPr>
      <w:r>
        <w:rPr>
          <w:rFonts w:ascii="Times New Roman" w:hAnsi="Times New Roman" w:eastAsia="方正仿宋_GBK"/>
          <w:spacing w:val="-2"/>
          <w:sz w:val="32"/>
          <w:szCs w:val="32"/>
        </w:rPr>
        <w:t>（四）提升餐饮配套国际化功能</w:t>
      </w:r>
    </w:p>
    <w:p>
      <w:pPr>
        <w:overflowPunct w:val="0"/>
        <w:autoSpaceDE w:val="0"/>
        <w:autoSpaceDN w:val="0"/>
        <w:adjustRightInd w:val="0"/>
        <w:snapToGrid w:val="0"/>
        <w:spacing w:line="550" w:lineRule="exact"/>
        <w:ind w:firstLine="632" w:firstLineChars="200"/>
        <w:rPr>
          <w:rFonts w:ascii="Times New Roman" w:hAnsi="Times New Roman" w:eastAsia="方正仿宋_GBK"/>
          <w:spacing w:val="-2"/>
          <w:sz w:val="32"/>
          <w:szCs w:val="32"/>
        </w:rPr>
      </w:pPr>
      <w:r>
        <w:rPr>
          <w:rFonts w:ascii="Times New Roman" w:hAnsi="Times New Roman" w:eastAsia="方正仿宋_GBK"/>
          <w:spacing w:val="-2"/>
          <w:sz w:val="32"/>
          <w:szCs w:val="32"/>
        </w:rPr>
        <w:t>（五）提升国际化营商环境</w:t>
      </w:r>
    </w:p>
    <w:p>
      <w:pPr>
        <w:overflowPunct w:val="0"/>
        <w:autoSpaceDE w:val="0"/>
        <w:autoSpaceDN w:val="0"/>
        <w:adjustRightInd w:val="0"/>
        <w:snapToGrid w:val="0"/>
        <w:spacing w:line="550" w:lineRule="exact"/>
        <w:ind w:firstLine="632" w:firstLineChars="200"/>
        <w:rPr>
          <w:rFonts w:ascii="Times New Roman" w:hAnsi="Times New Roman" w:eastAsia="方正黑体_GBK"/>
          <w:spacing w:val="-2"/>
          <w:sz w:val="32"/>
          <w:szCs w:val="32"/>
        </w:rPr>
      </w:pPr>
      <w:r>
        <w:rPr>
          <w:rFonts w:ascii="Times New Roman" w:hAnsi="Times New Roman" w:eastAsia="方正黑体_GBK"/>
          <w:spacing w:val="-2"/>
          <w:sz w:val="32"/>
          <w:szCs w:val="32"/>
        </w:rPr>
        <w:t>十、深化合作，着力推动全方位开放</w:t>
      </w:r>
    </w:p>
    <w:p>
      <w:pPr>
        <w:overflowPunct w:val="0"/>
        <w:autoSpaceDE w:val="0"/>
        <w:autoSpaceDN w:val="0"/>
        <w:adjustRightInd w:val="0"/>
        <w:snapToGrid w:val="0"/>
        <w:spacing w:line="550" w:lineRule="exact"/>
        <w:ind w:firstLine="640" w:firstLineChars="200"/>
        <w:rPr>
          <w:rFonts w:ascii="Times New Roman" w:hAnsi="Times New Roman" w:eastAsia="方正仿宋_GBK"/>
          <w:spacing w:val="-2"/>
          <w:sz w:val="32"/>
          <w:szCs w:val="32"/>
        </w:rPr>
      </w:pPr>
      <w:r>
        <w:rPr>
          <w:rFonts w:ascii="Times New Roman" w:hAnsi="Times New Roman" w:eastAsia="方正仿宋_GBK"/>
          <w:sz w:val="32"/>
          <w:szCs w:val="32"/>
        </w:rPr>
        <w:t>（一）加强国际人文交流</w:t>
      </w:r>
    </w:p>
    <w:p>
      <w:pPr>
        <w:overflowPunct w:val="0"/>
        <w:autoSpaceDE w:val="0"/>
        <w:autoSpaceDN w:val="0"/>
        <w:adjustRightInd w:val="0"/>
        <w:snapToGrid w:val="0"/>
        <w:spacing w:line="550" w:lineRule="exact"/>
        <w:ind w:firstLine="640" w:firstLineChars="200"/>
        <w:rPr>
          <w:rFonts w:ascii="Times New Roman" w:hAnsi="Times New Roman" w:eastAsia="方正仿宋_GBK"/>
          <w:spacing w:val="-2"/>
          <w:sz w:val="32"/>
          <w:szCs w:val="32"/>
        </w:rPr>
      </w:pPr>
      <w:r>
        <w:rPr>
          <w:rFonts w:ascii="Times New Roman" w:hAnsi="Times New Roman" w:eastAsia="方正仿宋_GBK"/>
          <w:sz w:val="32"/>
          <w:szCs w:val="32"/>
        </w:rPr>
        <w:t>（二）加强国际友城合作</w:t>
      </w:r>
    </w:p>
    <w:p>
      <w:pPr>
        <w:overflowPunct w:val="0"/>
        <w:autoSpaceDE w:val="0"/>
        <w:autoSpaceDN w:val="0"/>
        <w:adjustRightInd w:val="0"/>
        <w:snapToGrid w:val="0"/>
        <w:spacing w:line="550" w:lineRule="exact"/>
        <w:ind w:firstLine="640" w:firstLineChars="200"/>
        <w:rPr>
          <w:rFonts w:ascii="Times New Roman" w:hAnsi="Times New Roman" w:eastAsia="方正仿宋_GBK"/>
          <w:spacing w:val="-2"/>
          <w:sz w:val="32"/>
          <w:szCs w:val="32"/>
        </w:rPr>
      </w:pPr>
      <w:r>
        <w:rPr>
          <w:rFonts w:ascii="Times New Roman" w:hAnsi="Times New Roman" w:eastAsia="方正仿宋_GBK"/>
          <w:sz w:val="32"/>
          <w:szCs w:val="32"/>
        </w:rPr>
        <w:t>（三）加强国际经贸交流</w:t>
      </w:r>
    </w:p>
    <w:p>
      <w:pPr>
        <w:overflowPunct w:val="0"/>
        <w:autoSpaceDE w:val="0"/>
        <w:autoSpaceDN w:val="0"/>
        <w:adjustRightInd w:val="0"/>
        <w:snapToGrid w:val="0"/>
        <w:spacing w:line="550" w:lineRule="exact"/>
        <w:ind w:firstLine="640" w:firstLineChars="200"/>
        <w:rPr>
          <w:rFonts w:ascii="Times New Roman" w:hAnsi="Times New Roman" w:eastAsia="方正仿宋_GBK"/>
          <w:spacing w:val="-2"/>
          <w:sz w:val="32"/>
          <w:szCs w:val="32"/>
        </w:rPr>
      </w:pPr>
      <w:r>
        <w:rPr>
          <w:rFonts w:ascii="Times New Roman" w:hAnsi="Times New Roman" w:eastAsia="方正仿宋_GBK"/>
          <w:sz w:val="32"/>
          <w:szCs w:val="32"/>
        </w:rPr>
        <w:t>（四）加强涉外服务水平</w:t>
      </w:r>
    </w:p>
    <w:p>
      <w:pPr>
        <w:overflowPunct w:val="0"/>
        <w:autoSpaceDE w:val="0"/>
        <w:autoSpaceDN w:val="0"/>
        <w:adjustRightInd w:val="0"/>
        <w:snapToGrid w:val="0"/>
        <w:spacing w:line="550" w:lineRule="exact"/>
        <w:ind w:firstLine="632" w:firstLineChars="200"/>
        <w:rPr>
          <w:rFonts w:ascii="Times New Roman" w:hAnsi="Times New Roman" w:eastAsia="方正黑体_GBK"/>
          <w:spacing w:val="-2"/>
          <w:sz w:val="32"/>
          <w:szCs w:val="32"/>
        </w:rPr>
      </w:pPr>
      <w:r>
        <w:rPr>
          <w:rFonts w:ascii="Times New Roman" w:hAnsi="Times New Roman" w:eastAsia="方正黑体_GBK"/>
          <w:spacing w:val="-2"/>
          <w:sz w:val="32"/>
          <w:szCs w:val="32"/>
        </w:rPr>
        <w:t>十一、实施保障</w:t>
      </w:r>
    </w:p>
    <w:p>
      <w:pPr>
        <w:overflowPunct w:val="0"/>
        <w:autoSpaceDE w:val="0"/>
        <w:autoSpaceDN w:val="0"/>
        <w:adjustRightInd w:val="0"/>
        <w:snapToGrid w:val="0"/>
        <w:spacing w:line="550" w:lineRule="exact"/>
        <w:ind w:firstLine="632" w:firstLineChars="200"/>
        <w:rPr>
          <w:rFonts w:ascii="Times New Roman" w:hAnsi="Times New Roman" w:eastAsia="方正仿宋_GBK"/>
          <w:spacing w:val="-2"/>
          <w:sz w:val="32"/>
          <w:szCs w:val="32"/>
        </w:rPr>
      </w:pPr>
      <w:r>
        <w:rPr>
          <w:rFonts w:ascii="Times New Roman" w:hAnsi="Times New Roman" w:eastAsia="方正仿宋_GBK"/>
          <w:spacing w:val="-2"/>
          <w:sz w:val="32"/>
          <w:szCs w:val="32"/>
        </w:rPr>
        <w:t>（一）加强组织领导</w:t>
      </w:r>
    </w:p>
    <w:p>
      <w:pPr>
        <w:overflowPunct w:val="0"/>
        <w:autoSpaceDE w:val="0"/>
        <w:autoSpaceDN w:val="0"/>
        <w:adjustRightInd w:val="0"/>
        <w:snapToGrid w:val="0"/>
        <w:spacing w:line="550" w:lineRule="exact"/>
        <w:ind w:firstLine="632" w:firstLineChars="200"/>
        <w:rPr>
          <w:rFonts w:ascii="Times New Roman" w:hAnsi="Times New Roman" w:eastAsia="方正仿宋_GBK"/>
          <w:spacing w:val="-2"/>
          <w:sz w:val="32"/>
          <w:szCs w:val="32"/>
        </w:rPr>
      </w:pPr>
      <w:r>
        <w:rPr>
          <w:rFonts w:ascii="Times New Roman" w:hAnsi="Times New Roman" w:eastAsia="方正仿宋_GBK"/>
          <w:spacing w:val="-2"/>
          <w:sz w:val="32"/>
          <w:szCs w:val="32"/>
        </w:rPr>
        <w:t>（二）优化考核评价</w:t>
      </w:r>
    </w:p>
    <w:p>
      <w:pPr>
        <w:overflowPunct w:val="0"/>
        <w:autoSpaceDE w:val="0"/>
        <w:autoSpaceDN w:val="0"/>
        <w:adjustRightInd w:val="0"/>
        <w:snapToGrid w:val="0"/>
        <w:spacing w:line="550" w:lineRule="exact"/>
        <w:ind w:firstLine="632" w:firstLineChars="200"/>
        <w:rPr>
          <w:rFonts w:ascii="Times New Roman" w:hAnsi="Times New Roman" w:eastAsia="方正仿宋_GBK"/>
          <w:spacing w:val="-2"/>
          <w:sz w:val="32"/>
          <w:szCs w:val="32"/>
        </w:rPr>
      </w:pPr>
      <w:r>
        <w:rPr>
          <w:rFonts w:ascii="Times New Roman" w:hAnsi="Times New Roman" w:eastAsia="方正仿宋_GBK"/>
          <w:spacing w:val="-2"/>
          <w:sz w:val="32"/>
          <w:szCs w:val="32"/>
        </w:rPr>
        <w:t>（三）强化政策保障</w:t>
      </w:r>
    </w:p>
    <w:p>
      <w:pPr>
        <w:overflowPunct w:val="0"/>
        <w:autoSpaceDE w:val="0"/>
        <w:autoSpaceDN w:val="0"/>
        <w:adjustRightInd w:val="0"/>
        <w:snapToGrid w:val="0"/>
        <w:spacing w:line="550" w:lineRule="exact"/>
        <w:ind w:firstLine="632" w:firstLineChars="200"/>
        <w:rPr>
          <w:rFonts w:ascii="Times New Roman" w:hAnsi="Times New Roman" w:eastAsia="方正仿宋_GBK"/>
          <w:spacing w:val="-2"/>
          <w:sz w:val="32"/>
          <w:szCs w:val="32"/>
        </w:rPr>
      </w:pPr>
      <w:r>
        <w:rPr>
          <w:rFonts w:ascii="Times New Roman" w:hAnsi="Times New Roman" w:eastAsia="方正仿宋_GBK"/>
          <w:spacing w:val="-2"/>
          <w:sz w:val="32"/>
          <w:szCs w:val="32"/>
        </w:rPr>
        <w:t>（四）提升服务水平</w:t>
      </w:r>
      <w:bookmarkEnd w:id="0"/>
      <w:bookmarkEnd w:id="1"/>
    </w:p>
    <w:p>
      <w:pPr>
        <w:adjustRightInd w:val="0"/>
        <w:spacing w:line="560" w:lineRule="exact"/>
        <w:ind w:firstLine="640"/>
        <w:rPr>
          <w:rFonts w:hint="eastAsia" w:ascii="宋体" w:hAnsi="宋体"/>
          <w:spacing w:val="-2"/>
          <w:sz w:val="32"/>
          <w:szCs w:val="32"/>
        </w:rPr>
      </w:pPr>
    </w:p>
    <w:p>
      <w:pPr>
        <w:adjustRightInd w:val="0"/>
        <w:spacing w:line="570" w:lineRule="exact"/>
        <w:jc w:val="center"/>
        <w:rPr>
          <w:rFonts w:hint="eastAsia" w:ascii="方正小标宋_GBK" w:hAnsi="Times New Roman" w:eastAsia="方正小标宋_GBK"/>
        </w:rPr>
      </w:pPr>
      <w:r>
        <w:rPr>
          <w:rFonts w:ascii="宋体" w:hAnsi="宋体"/>
          <w:spacing w:val="-2"/>
          <w:sz w:val="32"/>
          <w:szCs w:val="32"/>
        </w:rPr>
        <w:br w:type="page"/>
      </w:r>
    </w:p>
    <w:p>
      <w:pPr>
        <w:adjustRightInd w:val="0"/>
        <w:spacing w:line="570" w:lineRule="exact"/>
        <w:jc w:val="center"/>
        <w:rPr>
          <w:rFonts w:hint="eastAsia" w:ascii="方正小标宋_GBK" w:hAnsi="Times New Roman" w:eastAsia="方正小标宋_GBK"/>
          <w:sz w:val="44"/>
          <w:szCs w:val="44"/>
        </w:rPr>
      </w:pPr>
      <w:r>
        <w:rPr>
          <w:rFonts w:hint="eastAsia" w:ascii="方正小标宋_GBK" w:hAnsi="Times New Roman" w:eastAsia="方正小标宋_GBK"/>
          <w:sz w:val="44"/>
          <w:szCs w:val="44"/>
        </w:rPr>
        <w:t>序    言</w:t>
      </w:r>
    </w:p>
    <w:p>
      <w:pPr>
        <w:adjustRightInd w:val="0"/>
        <w:spacing w:line="570" w:lineRule="exact"/>
        <w:jc w:val="center"/>
        <w:rPr>
          <w:rFonts w:hint="eastAsia" w:ascii="方正小标宋_GBK" w:hAnsi="Times New Roman" w:eastAsia="方正小标宋_GBK"/>
          <w:sz w:val="44"/>
          <w:szCs w:val="44"/>
        </w:rPr>
      </w:pPr>
    </w:p>
    <w:p>
      <w:pPr>
        <w:overflowPunct w:val="0"/>
        <w:autoSpaceDE w:val="0"/>
        <w:autoSpaceDN w:val="0"/>
        <w:adjustRightInd w:val="0"/>
        <w:snapToGrid w:val="0"/>
        <w:spacing w:line="570" w:lineRule="exact"/>
        <w:ind w:firstLine="641"/>
        <w:rPr>
          <w:rFonts w:ascii="Times New Roman" w:hAnsi="Times New Roman" w:eastAsia="方正仿宋_GBK"/>
          <w:snapToGrid w:val="0"/>
          <w:spacing w:val="-6"/>
          <w:kern w:val="0"/>
          <w:sz w:val="32"/>
          <w:szCs w:val="32"/>
        </w:rPr>
      </w:pPr>
      <w:r>
        <w:rPr>
          <w:rFonts w:ascii="Times New Roman" w:hAnsi="Times New Roman" w:eastAsia="方正仿宋_GBK"/>
          <w:snapToGrid w:val="0"/>
          <w:spacing w:val="-6"/>
          <w:kern w:val="0"/>
          <w:sz w:val="32"/>
          <w:szCs w:val="32"/>
        </w:rPr>
        <w:t>“十四五”时期是我市全面开启社会主义现代化建设新征程、建设“强富美高”新常州、推动高质量发展走在前列的关键时期，也是进一步深化改革开放、构筑高水平对外开放新高地的重要时期。制定科学的规划，对于常州立足新形势、应对新挑战、构建新格局、实现新发展，推动常州开放型经济更高水平发展至关重要。</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《常州市“十四五”开放型经济发展规划》（以下简称《规划》）根据《中共常州市委关于制定国民经济和社会发展第十四个五年规划和</w:t>
      </w:r>
      <w:r>
        <w:rPr>
          <w:rFonts w:hint="eastAsia" w:ascii="Times New Roman" w:hAnsi="Times New Roman" w:eastAsia="方正仿宋_GBK"/>
          <w:snapToGrid w:val="0"/>
          <w:kern w:val="0"/>
          <w:sz w:val="32"/>
          <w:szCs w:val="32"/>
        </w:rPr>
        <w:t>二〇三五</w:t>
      </w:r>
      <w:r>
        <w:rPr>
          <w:rFonts w:ascii="Times New Roman" w:hAnsi="Times New Roman" w:eastAsia="方正仿宋_GBK"/>
          <w:snapToGrid w:val="0"/>
          <w:kern w:val="0"/>
          <w:sz w:val="32"/>
          <w:szCs w:val="32"/>
        </w:rPr>
        <w:t>年远景目标的建议》和《常州市国民经济和社会发展第十四个五年规划和</w:t>
      </w:r>
      <w:r>
        <w:rPr>
          <w:rFonts w:hint="eastAsia" w:ascii="Times New Roman" w:hAnsi="Times New Roman" w:eastAsia="方正仿宋_GBK"/>
          <w:snapToGrid w:val="0"/>
          <w:kern w:val="0"/>
          <w:sz w:val="32"/>
          <w:szCs w:val="32"/>
        </w:rPr>
        <w:t>二〇三五</w:t>
      </w:r>
      <w:r>
        <w:rPr>
          <w:rFonts w:ascii="Times New Roman" w:hAnsi="Times New Roman" w:eastAsia="方正仿宋_GBK"/>
          <w:snapToGrid w:val="0"/>
          <w:kern w:val="0"/>
          <w:sz w:val="32"/>
          <w:szCs w:val="32"/>
        </w:rPr>
        <w:t>年远景目标纲要》编制。在编制过程中，组织开展了对我市“十三五”时期开放型经济发展的总结评估，邀请上海社科院、商务部研究院等单位业内知名专家，对常州市“十四五”开放型经济发展重大课题进行了研究和咨询，广泛听取并采纳了各方意见和建议，同时与国家、省市有关专项规划进行衔接。</w:t>
      </w:r>
    </w:p>
    <w:p>
      <w:pPr>
        <w:overflowPunct w:val="0"/>
        <w:autoSpaceDE w:val="0"/>
        <w:autoSpaceDN w:val="0"/>
        <w:adjustRightInd w:val="0"/>
        <w:snapToGrid w:val="0"/>
        <w:spacing w:line="570" w:lineRule="exact"/>
        <w:ind w:firstLine="641"/>
        <w:rPr>
          <w:rFonts w:ascii="Times New Roman" w:hAnsi="Times New Roman" w:eastAsia="仿宋_GB2312"/>
          <w:snapToGrid w:val="0"/>
          <w:kern w:val="0"/>
          <w:sz w:val="32"/>
          <w:szCs w:val="32"/>
        </w:rPr>
      </w:pPr>
      <w:r>
        <w:rPr>
          <w:rFonts w:ascii="Times New Roman" w:hAnsi="Times New Roman" w:eastAsia="方正仿宋_GBK"/>
          <w:snapToGrid w:val="0"/>
          <w:kern w:val="0"/>
          <w:sz w:val="32"/>
          <w:szCs w:val="32"/>
        </w:rPr>
        <w:t>《规划》主要阐明2021—2025年常州开放型经济发展的指导思想、基本原则、发展目标、重点方向和主要工作，是政府履行开放型经济管理职能以及引导市场主体发展方向的重要依据，也是制定开放型经济年度发展计划及相关政策的重要依据。</w:t>
      </w:r>
    </w:p>
    <w:p>
      <w:pPr>
        <w:overflowPunct w:val="0"/>
        <w:autoSpaceDE w:val="0"/>
        <w:autoSpaceDN w:val="0"/>
        <w:adjustRightInd w:val="0"/>
        <w:snapToGrid w:val="0"/>
        <w:spacing w:line="570" w:lineRule="exact"/>
        <w:ind w:firstLine="641"/>
        <w:rPr>
          <w:rFonts w:ascii="Times New Roman" w:hAnsi="Times New Roman" w:eastAsia="方正黑体_GBK"/>
          <w:snapToGrid w:val="0"/>
          <w:kern w:val="0"/>
          <w:sz w:val="32"/>
          <w:szCs w:val="32"/>
        </w:rPr>
      </w:pPr>
      <w:r>
        <w:rPr>
          <w:rFonts w:ascii="Times New Roman" w:hAnsi="Times New Roman"/>
          <w:szCs w:val="32"/>
        </w:rPr>
        <w:br w:type="page"/>
      </w:r>
      <w:r>
        <w:rPr>
          <w:rFonts w:ascii="Times New Roman" w:hAnsi="Times New Roman" w:eastAsia="方正黑体_GBK"/>
          <w:snapToGrid w:val="0"/>
          <w:kern w:val="0"/>
          <w:sz w:val="32"/>
          <w:szCs w:val="32"/>
        </w:rPr>
        <w:t>一、发展基础</w:t>
      </w:r>
    </w:p>
    <w:p>
      <w:pPr>
        <w:overflowPunct w:val="0"/>
        <w:autoSpaceDE w:val="0"/>
        <w:autoSpaceDN w:val="0"/>
        <w:adjustRightInd w:val="0"/>
        <w:snapToGrid w:val="0"/>
        <w:spacing w:line="570" w:lineRule="exact"/>
        <w:ind w:firstLine="641"/>
        <w:rPr>
          <w:rFonts w:ascii="Times New Roman" w:hAnsi="Times New Roman" w:eastAsia="方正楷体_GBK"/>
          <w:snapToGrid w:val="0"/>
          <w:kern w:val="0"/>
          <w:sz w:val="32"/>
          <w:szCs w:val="32"/>
        </w:rPr>
      </w:pPr>
      <w:bookmarkStart w:id="2" w:name="OLE_LINK7"/>
      <w:bookmarkStart w:id="3" w:name="OLE_LINK8"/>
      <w:r>
        <w:rPr>
          <w:rFonts w:ascii="Times New Roman" w:hAnsi="Times New Roman" w:eastAsia="方正楷体_GBK"/>
          <w:snapToGrid w:val="0"/>
          <w:kern w:val="0"/>
          <w:sz w:val="32"/>
          <w:szCs w:val="32"/>
        </w:rPr>
        <w:t>（一）发展成就</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十三五”时期，面对错综复杂的国内外经济形势和日益激烈的区域竞争压力，全市开放型经济条线在市委、市政府的坚强领导下，紧紧围绕全市经济社会发展大局，认真贯彻落实中央、省市关于深化开放型经济改革发展的决策部署，抢抓机遇求突破，主动作为谋发展，扎实做好各项工作，全市开放型经济总体呈现平稳健康发展态势。</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1. 利用外资总量平稳、质效提升。“十三五”时期，全市利用外资总体平稳，结构不断优化，质效持续提升，对全市经济社会发展的贡献进一步加大。五年累计实际利用外资131.7亿美元，新增协议外资超3000万美元以上项目271个，总投资超亿美元项目152个，总投资超10亿美元项目5个，新增爱思开电池、赛得利、太阳诱电、蒂森克虏伯、西门子、住化电子、科勒等一批重大项目；新增世界500强企业9家、投资项目18个，全市累计世界500强企业68家、投资项目117个；新增省级跨国公司地区总部和功能性机构17家，累计达23家。“十三五”末，全市共有外商投资法人企业3000多家；累计实际利用外资407.7亿美元，其中制造业利用外资209.2亿美元，占比达到51.3%；实际到账外资占全省比重9.57%，较2015年提升2.48个百分点，规模列全省第四位，较“十二五”期末上升1位；外资对全市规模以上工业产值、利税的贡献占到1/3，出口约占1/2，直接创造就业岗位近30万个。“外资小镇”</w:t>
      </w:r>
      <w:r>
        <w:rPr>
          <w:rFonts w:ascii="黑体" w:hAnsi="黑体" w:eastAsia="黑体"/>
          <w:snapToGrid w:val="0"/>
          <w:kern w:val="0"/>
          <w:sz w:val="32"/>
          <w:szCs w:val="32"/>
        </w:rPr>
        <w:t>——</w:t>
      </w:r>
      <w:r>
        <w:rPr>
          <w:rFonts w:ascii="Times New Roman" w:hAnsi="Times New Roman" w:eastAsia="方正仿宋_GBK"/>
          <w:snapToGrid w:val="0"/>
          <w:kern w:val="0"/>
          <w:sz w:val="32"/>
          <w:szCs w:val="32"/>
        </w:rPr>
        <w:t>新北区薛家镇利用外资工作成效突出，其经验做法得到了省委、省政府和商务部的充分肯定。</w:t>
      </w:r>
    </w:p>
    <w:p>
      <w:pPr>
        <w:overflowPunct w:val="0"/>
        <w:autoSpaceDE w:val="0"/>
        <w:autoSpaceDN w:val="0"/>
        <w:adjustRightInd w:val="0"/>
        <w:snapToGrid w:val="0"/>
        <w:spacing w:before="120" w:after="120" w:line="560" w:lineRule="exact"/>
        <w:jc w:val="center"/>
        <w:rPr>
          <w:rFonts w:ascii="Times New Roman" w:hAnsi="Times New Roman" w:eastAsia="方正黑体_GBK"/>
          <w:sz w:val="32"/>
          <w:szCs w:val="32"/>
        </w:rPr>
      </w:pPr>
      <w:r>
        <w:rPr>
          <w:rFonts w:ascii="Times New Roman" w:hAnsi="Times New Roman" w:eastAsia="方正黑体_GBK"/>
          <w:sz w:val="32"/>
          <w:szCs w:val="32"/>
        </w:rPr>
        <w:t>2016</w:t>
      </w:r>
      <w:r>
        <w:rPr>
          <w:rFonts w:ascii="黑体" w:hAnsi="黑体" w:eastAsia="黑体"/>
          <w:sz w:val="32"/>
          <w:szCs w:val="32"/>
        </w:rPr>
        <w:t>—</w:t>
      </w:r>
      <w:r>
        <w:rPr>
          <w:rFonts w:ascii="Times New Roman" w:hAnsi="Times New Roman" w:eastAsia="方正黑体_GBK"/>
          <w:sz w:val="32"/>
          <w:szCs w:val="32"/>
        </w:rPr>
        <w:t>2020年常州市利用外资情况表</w:t>
      </w:r>
    </w:p>
    <w:p>
      <w:pPr>
        <w:adjustRightInd w:val="0"/>
        <w:spacing w:line="440" w:lineRule="exact"/>
        <w:jc w:val="right"/>
        <w:rPr>
          <w:rFonts w:ascii="Times New Roman" w:hAnsi="Times New Roman"/>
          <w:sz w:val="24"/>
          <w:szCs w:val="24"/>
        </w:rPr>
      </w:pPr>
      <w:r>
        <w:rPr>
          <w:rFonts w:ascii="Times New Roman" w:hAnsi="Times New Roman"/>
          <w:sz w:val="24"/>
          <w:szCs w:val="24"/>
        </w:rPr>
        <w:t>单位：个、亿美元</w:t>
      </w:r>
    </w:p>
    <w:tbl>
      <w:tblPr>
        <w:tblStyle w:val="3"/>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503"/>
        <w:gridCol w:w="2126"/>
        <w:gridCol w:w="1500"/>
        <w:gridCol w:w="2443"/>
        <w:gridCol w:w="150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124" w:hRule="atLeast"/>
          <w:jc w:val="center"/>
        </w:trPr>
        <w:tc>
          <w:tcPr>
            <w:tcW w:w="1503" w:type="dxa"/>
            <w:tcBorders>
              <w:top w:val="single" w:color="auto" w:sz="6" w:space="0"/>
              <w:left w:val="single" w:color="auto" w:sz="6" w:space="0"/>
              <w:bottom w:val="single" w:color="auto" w:sz="6" w:space="0"/>
              <w:right w:val="single" w:color="auto" w:sz="6" w:space="0"/>
              <w:tl2br w:val="single" w:color="auto" w:sz="6" w:space="0"/>
            </w:tcBorders>
            <w:noWrap w:val="0"/>
            <w:vAlign w:val="center"/>
          </w:tcPr>
          <w:p>
            <w:pPr>
              <w:spacing w:line="320" w:lineRule="exact"/>
              <w:ind w:right="120"/>
              <w:jc w:val="right"/>
              <w:rPr>
                <w:rFonts w:ascii="Times New Roman" w:hAnsi="Times New Roman" w:eastAsia="黑体"/>
                <w:sz w:val="24"/>
                <w:szCs w:val="24"/>
              </w:rPr>
            </w:pPr>
            <w:r>
              <w:rPr>
                <w:rFonts w:ascii="Times New Roman" w:hAnsi="Times New Roman" w:eastAsia="黑体"/>
                <w:sz w:val="24"/>
                <w:szCs w:val="24"/>
              </w:rPr>
              <w:t>项目</w:t>
            </w:r>
          </w:p>
          <w:p>
            <w:pPr>
              <w:spacing w:line="320" w:lineRule="exact"/>
              <w:jc w:val="center"/>
              <w:rPr>
                <w:rFonts w:ascii="Times New Roman" w:hAnsi="Times New Roman" w:eastAsia="方正黑体_GBK"/>
                <w:sz w:val="24"/>
                <w:szCs w:val="24"/>
              </w:rPr>
            </w:pPr>
          </w:p>
          <w:p>
            <w:pPr>
              <w:spacing w:line="320" w:lineRule="exact"/>
              <w:rPr>
                <w:rFonts w:ascii="Times New Roman" w:hAnsi="Times New Roman" w:eastAsia="方正黑体_GBK"/>
                <w:sz w:val="24"/>
                <w:szCs w:val="24"/>
              </w:rPr>
            </w:pPr>
            <w:r>
              <w:rPr>
                <w:rFonts w:ascii="Times New Roman" w:hAnsi="Times New Roman" w:eastAsia="黑体"/>
                <w:sz w:val="24"/>
                <w:szCs w:val="24"/>
              </w:rPr>
              <w:t>年份</w:t>
            </w:r>
          </w:p>
        </w:tc>
        <w:tc>
          <w:tcPr>
            <w:tcW w:w="2126" w:type="dxa"/>
            <w:tcBorders>
              <w:left w:val="single" w:color="auto" w:sz="6" w:space="0"/>
            </w:tcBorders>
            <w:noWrap w:val="0"/>
            <w:vAlign w:val="center"/>
          </w:tcPr>
          <w:p>
            <w:pPr>
              <w:spacing w:line="320" w:lineRule="exact"/>
              <w:jc w:val="center"/>
              <w:rPr>
                <w:rFonts w:ascii="Times New Roman" w:hAnsi="Times New Roman" w:eastAsia="黑体"/>
                <w:sz w:val="24"/>
                <w:szCs w:val="24"/>
              </w:rPr>
            </w:pPr>
            <w:r>
              <w:rPr>
                <w:rFonts w:ascii="Times New Roman" w:hAnsi="Times New Roman" w:eastAsia="黑体"/>
                <w:sz w:val="24"/>
                <w:szCs w:val="24"/>
              </w:rPr>
              <w:t>实际到账</w:t>
            </w:r>
          </w:p>
          <w:p>
            <w:pPr>
              <w:spacing w:line="320" w:lineRule="exact"/>
              <w:jc w:val="center"/>
              <w:rPr>
                <w:rFonts w:ascii="Times New Roman" w:hAnsi="Times New Roman" w:eastAsia="黑体"/>
                <w:sz w:val="24"/>
                <w:szCs w:val="24"/>
              </w:rPr>
            </w:pPr>
            <w:r>
              <w:rPr>
                <w:rFonts w:ascii="Times New Roman" w:hAnsi="Times New Roman" w:eastAsia="黑体"/>
                <w:sz w:val="24"/>
                <w:szCs w:val="24"/>
              </w:rPr>
              <w:t>注册外资</w:t>
            </w:r>
          </w:p>
        </w:tc>
        <w:tc>
          <w:tcPr>
            <w:tcW w:w="1500" w:type="dxa"/>
            <w:noWrap w:val="0"/>
            <w:vAlign w:val="center"/>
          </w:tcPr>
          <w:p>
            <w:pPr>
              <w:spacing w:line="320" w:lineRule="exact"/>
              <w:jc w:val="center"/>
              <w:rPr>
                <w:rFonts w:ascii="Times New Roman" w:hAnsi="Times New Roman" w:eastAsia="黑体"/>
                <w:sz w:val="24"/>
                <w:szCs w:val="24"/>
              </w:rPr>
            </w:pPr>
            <w:r>
              <w:rPr>
                <w:rFonts w:ascii="Times New Roman" w:hAnsi="Times New Roman" w:eastAsia="黑体"/>
                <w:sz w:val="24"/>
                <w:szCs w:val="24"/>
              </w:rPr>
              <w:t>新签项目</w:t>
            </w:r>
          </w:p>
          <w:p>
            <w:pPr>
              <w:spacing w:line="320" w:lineRule="exact"/>
              <w:jc w:val="center"/>
              <w:rPr>
                <w:rFonts w:ascii="Times New Roman" w:hAnsi="Times New Roman" w:eastAsia="黑体"/>
                <w:sz w:val="24"/>
                <w:szCs w:val="24"/>
              </w:rPr>
            </w:pPr>
            <w:r>
              <w:rPr>
                <w:rFonts w:ascii="Times New Roman" w:hAnsi="Times New Roman" w:eastAsia="黑体"/>
                <w:sz w:val="24"/>
                <w:szCs w:val="24"/>
              </w:rPr>
              <w:t>个数</w:t>
            </w:r>
          </w:p>
        </w:tc>
        <w:tc>
          <w:tcPr>
            <w:tcW w:w="2443" w:type="dxa"/>
            <w:noWrap w:val="0"/>
            <w:vAlign w:val="center"/>
          </w:tcPr>
          <w:p>
            <w:pPr>
              <w:spacing w:line="320" w:lineRule="exact"/>
              <w:jc w:val="center"/>
              <w:rPr>
                <w:rFonts w:ascii="Times New Roman" w:hAnsi="Times New Roman" w:eastAsia="黑体"/>
                <w:sz w:val="24"/>
                <w:szCs w:val="24"/>
              </w:rPr>
            </w:pPr>
            <w:r>
              <w:rPr>
                <w:rFonts w:ascii="Times New Roman" w:hAnsi="Times New Roman" w:eastAsia="黑体"/>
                <w:sz w:val="24"/>
                <w:szCs w:val="24"/>
              </w:rPr>
              <w:t>其中，协议注册外资</w:t>
            </w:r>
          </w:p>
          <w:p>
            <w:pPr>
              <w:spacing w:line="320" w:lineRule="exact"/>
              <w:jc w:val="center"/>
              <w:rPr>
                <w:rFonts w:ascii="Times New Roman" w:hAnsi="Times New Roman" w:eastAsia="黑体"/>
                <w:sz w:val="24"/>
                <w:szCs w:val="24"/>
              </w:rPr>
            </w:pPr>
            <w:r>
              <w:rPr>
                <w:rFonts w:ascii="Times New Roman" w:hAnsi="Times New Roman" w:eastAsia="黑体"/>
                <w:sz w:val="24"/>
                <w:szCs w:val="24"/>
              </w:rPr>
              <w:t>超3000万美元</w:t>
            </w:r>
          </w:p>
          <w:p>
            <w:pPr>
              <w:spacing w:line="320" w:lineRule="exact"/>
              <w:jc w:val="center"/>
              <w:rPr>
                <w:rFonts w:ascii="Times New Roman" w:hAnsi="Times New Roman" w:eastAsia="黑体"/>
                <w:sz w:val="24"/>
                <w:szCs w:val="24"/>
              </w:rPr>
            </w:pPr>
            <w:r>
              <w:rPr>
                <w:rFonts w:ascii="Times New Roman" w:hAnsi="Times New Roman" w:eastAsia="黑体"/>
                <w:sz w:val="24"/>
                <w:szCs w:val="24"/>
              </w:rPr>
              <w:t>项目个数</w:t>
            </w:r>
          </w:p>
        </w:tc>
        <w:tc>
          <w:tcPr>
            <w:tcW w:w="1500" w:type="dxa"/>
            <w:noWrap w:val="0"/>
            <w:vAlign w:val="center"/>
          </w:tcPr>
          <w:p>
            <w:pPr>
              <w:spacing w:line="320" w:lineRule="exact"/>
              <w:jc w:val="center"/>
              <w:rPr>
                <w:rFonts w:ascii="Times New Roman" w:hAnsi="Times New Roman" w:eastAsia="黑体"/>
                <w:sz w:val="24"/>
                <w:szCs w:val="24"/>
              </w:rPr>
            </w:pPr>
            <w:r>
              <w:rPr>
                <w:rFonts w:ascii="Times New Roman" w:hAnsi="Times New Roman" w:eastAsia="黑体"/>
                <w:sz w:val="24"/>
                <w:szCs w:val="24"/>
              </w:rPr>
              <w:t>协议注册</w:t>
            </w:r>
          </w:p>
          <w:p>
            <w:pPr>
              <w:spacing w:line="320" w:lineRule="exact"/>
              <w:jc w:val="center"/>
              <w:rPr>
                <w:rFonts w:ascii="Times New Roman" w:hAnsi="Times New Roman" w:eastAsia="黑体"/>
                <w:sz w:val="24"/>
                <w:szCs w:val="24"/>
              </w:rPr>
            </w:pPr>
            <w:r>
              <w:rPr>
                <w:rFonts w:ascii="Times New Roman" w:hAnsi="Times New Roman" w:eastAsia="黑体"/>
                <w:sz w:val="24"/>
                <w:szCs w:val="24"/>
              </w:rPr>
              <w:t>外资</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exact"/>
          <w:jc w:val="center"/>
        </w:trPr>
        <w:tc>
          <w:tcPr>
            <w:tcW w:w="1503" w:type="dxa"/>
            <w:tcBorders>
              <w:top w:val="single" w:color="auto" w:sz="6" w:space="0"/>
            </w:tcBorders>
            <w:noWrap w:val="0"/>
            <w:vAlign w:val="center"/>
          </w:tcPr>
          <w:p>
            <w:pPr>
              <w:spacing w:line="320" w:lineRule="exact"/>
              <w:jc w:val="center"/>
              <w:rPr>
                <w:rFonts w:ascii="Times New Roman" w:hAnsi="Times New Roman"/>
                <w:sz w:val="24"/>
                <w:szCs w:val="24"/>
              </w:rPr>
            </w:pPr>
            <w:bookmarkStart w:id="4" w:name="OLE_LINK1" w:colFirst="0" w:colLast="4"/>
            <w:r>
              <w:rPr>
                <w:rFonts w:ascii="Times New Roman" w:hAnsi="Times New Roman"/>
                <w:sz w:val="24"/>
                <w:szCs w:val="24"/>
              </w:rPr>
              <w:t>2016年</w:t>
            </w:r>
          </w:p>
        </w:tc>
        <w:tc>
          <w:tcPr>
            <w:tcW w:w="2126"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25.0</w:t>
            </w:r>
          </w:p>
        </w:tc>
        <w:tc>
          <w:tcPr>
            <w:tcW w:w="1500"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269</w:t>
            </w:r>
          </w:p>
        </w:tc>
        <w:tc>
          <w:tcPr>
            <w:tcW w:w="2443"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43</w:t>
            </w:r>
          </w:p>
        </w:tc>
        <w:tc>
          <w:tcPr>
            <w:tcW w:w="1500"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41.1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exact"/>
          <w:jc w:val="center"/>
        </w:trPr>
        <w:tc>
          <w:tcPr>
            <w:tcW w:w="1503"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2017年</w:t>
            </w:r>
          </w:p>
        </w:tc>
        <w:tc>
          <w:tcPr>
            <w:tcW w:w="2126"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25.5</w:t>
            </w:r>
          </w:p>
        </w:tc>
        <w:tc>
          <w:tcPr>
            <w:tcW w:w="1500"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372</w:t>
            </w:r>
          </w:p>
        </w:tc>
        <w:tc>
          <w:tcPr>
            <w:tcW w:w="2443"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57</w:t>
            </w:r>
          </w:p>
        </w:tc>
        <w:tc>
          <w:tcPr>
            <w:tcW w:w="1500"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46.1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exact"/>
          <w:jc w:val="center"/>
        </w:trPr>
        <w:tc>
          <w:tcPr>
            <w:tcW w:w="1503"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2018年</w:t>
            </w:r>
          </w:p>
        </w:tc>
        <w:tc>
          <w:tcPr>
            <w:tcW w:w="2126"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26.1</w:t>
            </w:r>
          </w:p>
        </w:tc>
        <w:tc>
          <w:tcPr>
            <w:tcW w:w="1500"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356</w:t>
            </w:r>
          </w:p>
        </w:tc>
        <w:tc>
          <w:tcPr>
            <w:tcW w:w="2443"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56</w:t>
            </w:r>
          </w:p>
        </w:tc>
        <w:tc>
          <w:tcPr>
            <w:tcW w:w="1500"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51.2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exact"/>
          <w:jc w:val="center"/>
        </w:trPr>
        <w:tc>
          <w:tcPr>
            <w:tcW w:w="1503"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2019年</w:t>
            </w:r>
          </w:p>
        </w:tc>
        <w:tc>
          <w:tcPr>
            <w:tcW w:w="2126"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26.3</w:t>
            </w:r>
          </w:p>
        </w:tc>
        <w:tc>
          <w:tcPr>
            <w:tcW w:w="1500"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384</w:t>
            </w:r>
          </w:p>
        </w:tc>
        <w:tc>
          <w:tcPr>
            <w:tcW w:w="2443"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55</w:t>
            </w:r>
          </w:p>
        </w:tc>
        <w:tc>
          <w:tcPr>
            <w:tcW w:w="1500"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66.0</w:t>
            </w:r>
          </w:p>
        </w:tc>
      </w:tr>
      <w:bookmarkEnd w:id="4"/>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exact"/>
          <w:jc w:val="center"/>
        </w:trPr>
        <w:tc>
          <w:tcPr>
            <w:tcW w:w="1503"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2020年</w:t>
            </w:r>
          </w:p>
        </w:tc>
        <w:tc>
          <w:tcPr>
            <w:tcW w:w="2126"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28.8</w:t>
            </w:r>
          </w:p>
        </w:tc>
        <w:tc>
          <w:tcPr>
            <w:tcW w:w="1500"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346</w:t>
            </w:r>
          </w:p>
        </w:tc>
        <w:tc>
          <w:tcPr>
            <w:tcW w:w="2443"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60</w:t>
            </w:r>
          </w:p>
        </w:tc>
        <w:tc>
          <w:tcPr>
            <w:tcW w:w="1500"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55.9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67" w:hRule="exact"/>
          <w:jc w:val="center"/>
        </w:trPr>
        <w:tc>
          <w:tcPr>
            <w:tcW w:w="1503"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总计</w:t>
            </w:r>
          </w:p>
        </w:tc>
        <w:tc>
          <w:tcPr>
            <w:tcW w:w="2126"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131.7</w:t>
            </w:r>
          </w:p>
        </w:tc>
        <w:tc>
          <w:tcPr>
            <w:tcW w:w="1500"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1727</w:t>
            </w:r>
          </w:p>
        </w:tc>
        <w:tc>
          <w:tcPr>
            <w:tcW w:w="2443"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271</w:t>
            </w:r>
          </w:p>
        </w:tc>
        <w:tc>
          <w:tcPr>
            <w:tcW w:w="1500"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260.3</w:t>
            </w:r>
          </w:p>
        </w:tc>
      </w:tr>
    </w:tbl>
    <w:p>
      <w:pPr>
        <w:spacing w:before="120" w:after="120" w:line="560" w:lineRule="exact"/>
        <w:jc w:val="center"/>
        <w:rPr>
          <w:rFonts w:ascii="Times New Roman" w:hAnsi="Times New Roman" w:eastAsia="方正黑体_GBK"/>
          <w:sz w:val="32"/>
          <w:szCs w:val="32"/>
        </w:rPr>
      </w:pPr>
      <w:r>
        <w:rPr>
          <w:rFonts w:ascii="Times New Roman" w:hAnsi="Times New Roman" w:eastAsia="方正黑体_GBK"/>
          <w:sz w:val="32"/>
          <w:szCs w:val="32"/>
        </w:rPr>
        <w:t>2016</w:t>
      </w:r>
      <w:r>
        <w:rPr>
          <w:rFonts w:ascii="黑体" w:hAnsi="黑体" w:eastAsia="黑体"/>
          <w:sz w:val="32"/>
          <w:szCs w:val="32"/>
        </w:rPr>
        <w:t>—</w:t>
      </w:r>
      <w:r>
        <w:rPr>
          <w:rFonts w:ascii="Times New Roman" w:hAnsi="Times New Roman" w:eastAsia="方正黑体_GBK"/>
          <w:sz w:val="32"/>
          <w:szCs w:val="32"/>
        </w:rPr>
        <w:t>2020年常州市各辖市区实际到账外资情况表</w:t>
      </w:r>
    </w:p>
    <w:p>
      <w:pPr>
        <w:adjustRightInd w:val="0"/>
        <w:spacing w:line="440" w:lineRule="exact"/>
        <w:jc w:val="right"/>
        <w:rPr>
          <w:rFonts w:ascii="Times New Roman" w:hAnsi="Times New Roman"/>
          <w:sz w:val="24"/>
          <w:szCs w:val="24"/>
        </w:rPr>
      </w:pPr>
      <w:r>
        <w:rPr>
          <w:rFonts w:ascii="Times New Roman" w:hAnsi="Times New Roman"/>
          <w:sz w:val="24"/>
          <w:szCs w:val="24"/>
        </w:rPr>
        <w:t>单位：亿美元</w:t>
      </w:r>
    </w:p>
    <w:tbl>
      <w:tblPr>
        <w:tblStyle w:val="3"/>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95"/>
        <w:gridCol w:w="1295"/>
        <w:gridCol w:w="1294"/>
        <w:gridCol w:w="1294"/>
        <w:gridCol w:w="1294"/>
        <w:gridCol w:w="1294"/>
        <w:gridCol w:w="129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1295" w:type="dxa"/>
            <w:tcBorders>
              <w:tl2br w:val="single" w:color="auto" w:sz="6" w:space="0"/>
            </w:tcBorders>
            <w:noWrap/>
            <w:vAlign w:val="center"/>
          </w:tcPr>
          <w:p>
            <w:pPr>
              <w:spacing w:line="320" w:lineRule="exact"/>
              <w:ind w:firstLine="240" w:firstLineChars="100"/>
              <w:jc w:val="right"/>
              <w:rPr>
                <w:rFonts w:ascii="Times New Roman" w:hAnsi="Times New Roman" w:eastAsia="黑体"/>
                <w:sz w:val="24"/>
                <w:szCs w:val="24"/>
              </w:rPr>
            </w:pPr>
            <w:r>
              <w:rPr>
                <w:rFonts w:ascii="Times New Roman" w:eastAsia="黑体"/>
                <w:sz w:val="24"/>
                <w:szCs w:val="24"/>
              </w:rPr>
              <w:t>辖市区</w:t>
            </w:r>
          </w:p>
          <w:p>
            <w:pPr>
              <w:widowControl/>
              <w:jc w:val="center"/>
              <w:rPr>
                <w:rFonts w:ascii="Times New Roman" w:hAnsi="Times New Roman" w:eastAsia="黑体"/>
                <w:sz w:val="24"/>
                <w:szCs w:val="24"/>
              </w:rPr>
            </w:pPr>
          </w:p>
          <w:p>
            <w:pPr>
              <w:widowControl/>
              <w:jc w:val="left"/>
              <w:rPr>
                <w:rFonts w:ascii="Times New Roman" w:hAnsi="Times New Roman"/>
                <w:sz w:val="24"/>
                <w:szCs w:val="24"/>
              </w:rPr>
            </w:pPr>
            <w:r>
              <w:rPr>
                <w:rFonts w:ascii="Times New Roman" w:eastAsia="黑体"/>
                <w:sz w:val="24"/>
                <w:szCs w:val="24"/>
              </w:rPr>
              <w:t>年份</w:t>
            </w:r>
          </w:p>
        </w:tc>
        <w:tc>
          <w:tcPr>
            <w:tcW w:w="1295" w:type="dxa"/>
            <w:noWrap w:val="0"/>
            <w:vAlign w:val="center"/>
          </w:tcPr>
          <w:p>
            <w:pPr>
              <w:spacing w:line="320" w:lineRule="exact"/>
              <w:jc w:val="center"/>
              <w:rPr>
                <w:rFonts w:ascii="Times New Roman" w:hAnsi="Times New Roman" w:eastAsia="黑体"/>
                <w:sz w:val="24"/>
                <w:szCs w:val="24"/>
              </w:rPr>
            </w:pPr>
            <w:r>
              <w:rPr>
                <w:rFonts w:ascii="Times New Roman" w:eastAsia="黑体"/>
                <w:sz w:val="24"/>
                <w:szCs w:val="24"/>
              </w:rPr>
              <w:t>溧阳市</w:t>
            </w:r>
          </w:p>
        </w:tc>
        <w:tc>
          <w:tcPr>
            <w:tcW w:w="1294" w:type="dxa"/>
            <w:noWrap w:val="0"/>
            <w:vAlign w:val="center"/>
          </w:tcPr>
          <w:p>
            <w:pPr>
              <w:spacing w:line="320" w:lineRule="exact"/>
              <w:jc w:val="center"/>
              <w:rPr>
                <w:rFonts w:ascii="Times New Roman" w:hAnsi="Times New Roman" w:eastAsia="黑体"/>
                <w:sz w:val="24"/>
                <w:szCs w:val="24"/>
              </w:rPr>
            </w:pPr>
            <w:r>
              <w:rPr>
                <w:rFonts w:ascii="Times New Roman" w:eastAsia="黑体"/>
                <w:sz w:val="24"/>
                <w:szCs w:val="24"/>
              </w:rPr>
              <w:t>金坛区</w:t>
            </w:r>
          </w:p>
        </w:tc>
        <w:tc>
          <w:tcPr>
            <w:tcW w:w="1294" w:type="dxa"/>
            <w:noWrap w:val="0"/>
            <w:vAlign w:val="center"/>
          </w:tcPr>
          <w:p>
            <w:pPr>
              <w:spacing w:line="320" w:lineRule="exact"/>
              <w:ind w:left="-210" w:leftChars="-100" w:right="-210" w:rightChars="-100"/>
              <w:jc w:val="center"/>
              <w:rPr>
                <w:rFonts w:ascii="Times New Roman" w:eastAsia="黑体"/>
                <w:sz w:val="24"/>
                <w:szCs w:val="24"/>
              </w:rPr>
            </w:pPr>
            <w:r>
              <w:rPr>
                <w:rFonts w:ascii="Times New Roman" w:eastAsia="黑体"/>
                <w:sz w:val="24"/>
                <w:szCs w:val="24"/>
              </w:rPr>
              <w:t>武进区</w:t>
            </w:r>
          </w:p>
          <w:p>
            <w:pPr>
              <w:spacing w:line="320" w:lineRule="exact"/>
              <w:ind w:left="-210" w:leftChars="-100" w:right="-210" w:rightChars="-100"/>
              <w:jc w:val="center"/>
              <w:rPr>
                <w:rFonts w:ascii="Times New Roman" w:eastAsia="黑体"/>
                <w:sz w:val="24"/>
                <w:szCs w:val="24"/>
              </w:rPr>
            </w:pPr>
            <w:r>
              <w:rPr>
                <w:rFonts w:ascii="Times New Roman" w:eastAsia="黑体"/>
                <w:sz w:val="24"/>
                <w:szCs w:val="24"/>
              </w:rPr>
              <w:t>（含常经开）</w:t>
            </w:r>
          </w:p>
        </w:tc>
        <w:tc>
          <w:tcPr>
            <w:tcW w:w="1294" w:type="dxa"/>
            <w:noWrap w:val="0"/>
            <w:vAlign w:val="center"/>
          </w:tcPr>
          <w:p>
            <w:pPr>
              <w:spacing w:line="320" w:lineRule="exact"/>
              <w:jc w:val="center"/>
              <w:rPr>
                <w:rFonts w:ascii="Times New Roman" w:hAnsi="Times New Roman" w:eastAsia="黑体"/>
                <w:sz w:val="24"/>
                <w:szCs w:val="24"/>
              </w:rPr>
            </w:pPr>
            <w:r>
              <w:rPr>
                <w:rFonts w:ascii="Times New Roman" w:eastAsia="黑体"/>
                <w:sz w:val="24"/>
                <w:szCs w:val="24"/>
              </w:rPr>
              <w:t>新北区</w:t>
            </w:r>
          </w:p>
        </w:tc>
        <w:tc>
          <w:tcPr>
            <w:tcW w:w="1294" w:type="dxa"/>
            <w:noWrap w:val="0"/>
            <w:vAlign w:val="center"/>
          </w:tcPr>
          <w:p>
            <w:pPr>
              <w:spacing w:line="320" w:lineRule="exact"/>
              <w:jc w:val="center"/>
              <w:rPr>
                <w:rFonts w:ascii="Times New Roman" w:hAnsi="Times New Roman" w:eastAsia="黑体"/>
                <w:sz w:val="24"/>
                <w:szCs w:val="24"/>
              </w:rPr>
            </w:pPr>
            <w:r>
              <w:rPr>
                <w:rFonts w:ascii="Times New Roman" w:eastAsia="黑体"/>
                <w:sz w:val="24"/>
                <w:szCs w:val="24"/>
              </w:rPr>
              <w:t>天宁区</w:t>
            </w:r>
          </w:p>
        </w:tc>
        <w:tc>
          <w:tcPr>
            <w:tcW w:w="1294" w:type="dxa"/>
            <w:noWrap w:val="0"/>
            <w:vAlign w:val="center"/>
          </w:tcPr>
          <w:p>
            <w:pPr>
              <w:spacing w:line="320" w:lineRule="exact"/>
              <w:jc w:val="center"/>
              <w:rPr>
                <w:rFonts w:ascii="Times New Roman" w:hAnsi="Times New Roman" w:eastAsia="黑体"/>
                <w:sz w:val="24"/>
                <w:szCs w:val="24"/>
              </w:rPr>
            </w:pPr>
            <w:r>
              <w:rPr>
                <w:rFonts w:ascii="Times New Roman" w:eastAsia="黑体"/>
                <w:sz w:val="24"/>
                <w:szCs w:val="24"/>
              </w:rPr>
              <w:t>钟楼区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1295"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2016年</w:t>
            </w:r>
          </w:p>
        </w:tc>
        <w:tc>
          <w:tcPr>
            <w:tcW w:w="1295"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3.36</w:t>
            </w:r>
          </w:p>
        </w:tc>
        <w:tc>
          <w:tcPr>
            <w:tcW w:w="1294"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3.20</w:t>
            </w:r>
          </w:p>
        </w:tc>
        <w:tc>
          <w:tcPr>
            <w:tcW w:w="1294"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8.50</w:t>
            </w:r>
          </w:p>
        </w:tc>
        <w:tc>
          <w:tcPr>
            <w:tcW w:w="1294"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8.50</w:t>
            </w:r>
          </w:p>
        </w:tc>
        <w:tc>
          <w:tcPr>
            <w:tcW w:w="1294"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2.60</w:t>
            </w:r>
          </w:p>
        </w:tc>
        <w:tc>
          <w:tcPr>
            <w:tcW w:w="1294"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1.89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1295"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2017年</w:t>
            </w:r>
          </w:p>
        </w:tc>
        <w:tc>
          <w:tcPr>
            <w:tcW w:w="1295"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2.50</w:t>
            </w:r>
          </w:p>
        </w:tc>
        <w:tc>
          <w:tcPr>
            <w:tcW w:w="1294"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1.01</w:t>
            </w:r>
          </w:p>
        </w:tc>
        <w:tc>
          <w:tcPr>
            <w:tcW w:w="1294"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7.21</w:t>
            </w:r>
          </w:p>
        </w:tc>
        <w:tc>
          <w:tcPr>
            <w:tcW w:w="1294"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7.00</w:t>
            </w:r>
          </w:p>
        </w:tc>
        <w:tc>
          <w:tcPr>
            <w:tcW w:w="1294"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1.56</w:t>
            </w:r>
          </w:p>
        </w:tc>
        <w:tc>
          <w:tcPr>
            <w:tcW w:w="1294"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1.52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1295"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2018年</w:t>
            </w:r>
          </w:p>
        </w:tc>
        <w:tc>
          <w:tcPr>
            <w:tcW w:w="1295"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3.01</w:t>
            </w:r>
          </w:p>
        </w:tc>
        <w:tc>
          <w:tcPr>
            <w:tcW w:w="1294"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3.00</w:t>
            </w:r>
          </w:p>
        </w:tc>
        <w:tc>
          <w:tcPr>
            <w:tcW w:w="1294"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7.70</w:t>
            </w:r>
          </w:p>
        </w:tc>
        <w:tc>
          <w:tcPr>
            <w:tcW w:w="1294"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7.70</w:t>
            </w:r>
          </w:p>
        </w:tc>
        <w:tc>
          <w:tcPr>
            <w:tcW w:w="1294"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2.01</w:t>
            </w:r>
          </w:p>
        </w:tc>
        <w:tc>
          <w:tcPr>
            <w:tcW w:w="1294"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1.92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1295"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2019年</w:t>
            </w:r>
          </w:p>
        </w:tc>
        <w:tc>
          <w:tcPr>
            <w:tcW w:w="1295"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3.00</w:t>
            </w:r>
          </w:p>
        </w:tc>
        <w:tc>
          <w:tcPr>
            <w:tcW w:w="1294"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3.03</w:t>
            </w:r>
          </w:p>
        </w:tc>
        <w:tc>
          <w:tcPr>
            <w:tcW w:w="1294"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7.60</w:t>
            </w:r>
          </w:p>
        </w:tc>
        <w:tc>
          <w:tcPr>
            <w:tcW w:w="1294"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7.62</w:t>
            </w:r>
          </w:p>
        </w:tc>
        <w:tc>
          <w:tcPr>
            <w:tcW w:w="1294"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2.12</w:t>
            </w:r>
          </w:p>
        </w:tc>
        <w:tc>
          <w:tcPr>
            <w:tcW w:w="1294"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1.90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1295"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2020年</w:t>
            </w:r>
          </w:p>
        </w:tc>
        <w:tc>
          <w:tcPr>
            <w:tcW w:w="1295"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3.34</w:t>
            </w:r>
          </w:p>
        </w:tc>
        <w:tc>
          <w:tcPr>
            <w:tcW w:w="1294"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3.36</w:t>
            </w:r>
          </w:p>
        </w:tc>
        <w:tc>
          <w:tcPr>
            <w:tcW w:w="1294"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8.11</w:t>
            </w:r>
          </w:p>
        </w:tc>
        <w:tc>
          <w:tcPr>
            <w:tcW w:w="1294"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8.00</w:t>
            </w:r>
          </w:p>
        </w:tc>
        <w:tc>
          <w:tcPr>
            <w:tcW w:w="1294"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2.31</w:t>
            </w:r>
          </w:p>
        </w:tc>
        <w:tc>
          <w:tcPr>
            <w:tcW w:w="1294"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2.15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24" w:hRule="atLeast"/>
          <w:jc w:val="center"/>
        </w:trPr>
        <w:tc>
          <w:tcPr>
            <w:tcW w:w="1295"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总  计</w:t>
            </w:r>
          </w:p>
        </w:tc>
        <w:tc>
          <w:tcPr>
            <w:tcW w:w="1295"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15.21</w:t>
            </w:r>
          </w:p>
        </w:tc>
        <w:tc>
          <w:tcPr>
            <w:tcW w:w="1294"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13.6</w:t>
            </w:r>
          </w:p>
        </w:tc>
        <w:tc>
          <w:tcPr>
            <w:tcW w:w="1294"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39.12</w:t>
            </w:r>
          </w:p>
        </w:tc>
        <w:tc>
          <w:tcPr>
            <w:tcW w:w="1294"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38.82</w:t>
            </w:r>
          </w:p>
        </w:tc>
        <w:tc>
          <w:tcPr>
            <w:tcW w:w="1294"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10.6</w:t>
            </w:r>
          </w:p>
        </w:tc>
        <w:tc>
          <w:tcPr>
            <w:tcW w:w="1294"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9.38</w:t>
            </w:r>
          </w:p>
        </w:tc>
      </w:tr>
    </w:tbl>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2. 对外贸易稳中有进、结构优化。“十三五”时期，我市积极应对中美经贸摩擦和新冠肺炎疫情等复杂严峻的外贸形势，大力推动外贸稳中提质，对外贸易总体趋稳，结构不断优化，外贸高质量发展有序推进。五年累计完成进出口总额1619.8亿美元，2017年全市进出口总额首次突破300亿美元大关，2020年达到349亿美元，是“十二五”末的1.24倍。“十三五”末，全市共有进出口实绩企业7800多家，较2015年增加1600多家；全市一般贸易进出口占比达82.7%，较2015年提升10.2个百分点；机电产品出口和高新技术产品出口占比分别达到59.5%和18.4%；“一带一路”出口占比33.1%。新增轨道交通、地坪地材等4个国家外贸转型升级基地，累计拥有国家外贸转型升级基地5个、省级出口基地6个；新增省重点培育和发展品牌17个、市重点培育和发展品牌26个，累计分别达到63个和89个；新增省级公共海外仓3个、进口交易中心10家、外贸综合服务企业3家；全市服务外包企业803家，直接从业人员超过15.33万人，拥有5家省级服务外包示范区和2个省级服务贸易基地。中国（常州）跨境电子商务综合试验区获批建设，开通“贸易预警灯”微信公众号，建成国内首个外贸专利公共服务平台“专品汇”和省内首家市级涉外商事法律服务中心，创新提出“九法联用”应对贸易摩擦并在全省推广，我市佰腾科技公司创成全省唯一一家国家级应对贸易摩擦工作站。</w:t>
      </w:r>
    </w:p>
    <w:p>
      <w:pPr>
        <w:spacing w:before="120" w:after="120" w:line="580" w:lineRule="exact"/>
        <w:jc w:val="center"/>
        <w:rPr>
          <w:rFonts w:ascii="Times New Roman" w:hAnsi="Times New Roman" w:eastAsia="方正黑体_GBK"/>
          <w:sz w:val="32"/>
          <w:szCs w:val="32"/>
        </w:rPr>
      </w:pPr>
      <w:r>
        <w:rPr>
          <w:rFonts w:ascii="Times New Roman" w:hAnsi="Times New Roman" w:eastAsia="仿宋_GB2312"/>
          <w:snapToGrid w:val="0"/>
          <w:kern w:val="0"/>
          <w:sz w:val="32"/>
          <w:szCs w:val="32"/>
        </w:rPr>
        <w:br w:type="page"/>
      </w:r>
      <w:r>
        <w:rPr>
          <w:rFonts w:ascii="Times New Roman" w:hAnsi="Times New Roman" w:eastAsia="方正黑体_GBK"/>
          <w:sz w:val="32"/>
          <w:szCs w:val="32"/>
        </w:rPr>
        <w:t>2016</w:t>
      </w:r>
      <w:r>
        <w:rPr>
          <w:rFonts w:ascii="黑体" w:hAnsi="黑体" w:eastAsia="黑体"/>
          <w:sz w:val="32"/>
          <w:szCs w:val="32"/>
        </w:rPr>
        <w:t>—</w:t>
      </w:r>
      <w:r>
        <w:rPr>
          <w:rFonts w:ascii="Times New Roman" w:hAnsi="Times New Roman" w:eastAsia="方正黑体_GBK"/>
          <w:sz w:val="32"/>
          <w:szCs w:val="32"/>
        </w:rPr>
        <w:t>2020年常州市对外贸易情况表</w:t>
      </w:r>
    </w:p>
    <w:p>
      <w:pPr>
        <w:adjustRightInd w:val="0"/>
        <w:spacing w:line="440" w:lineRule="exact"/>
        <w:jc w:val="right"/>
        <w:rPr>
          <w:rFonts w:ascii="Times New Roman" w:hAnsi="Times New Roman"/>
          <w:sz w:val="24"/>
          <w:szCs w:val="24"/>
        </w:rPr>
      </w:pPr>
      <w:r>
        <w:rPr>
          <w:rFonts w:ascii="Times New Roman" w:hAnsi="Times New Roman"/>
          <w:sz w:val="24"/>
          <w:szCs w:val="24"/>
        </w:rPr>
        <w:t>单位：亿美元</w:t>
      </w:r>
    </w:p>
    <w:tbl>
      <w:tblPr>
        <w:tblStyle w:val="3"/>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532"/>
        <w:gridCol w:w="2603"/>
        <w:gridCol w:w="2443"/>
        <w:gridCol w:w="249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942" w:hRule="atLeast"/>
          <w:jc w:val="center"/>
        </w:trPr>
        <w:tc>
          <w:tcPr>
            <w:tcW w:w="1532" w:type="dxa"/>
            <w:tcBorders>
              <w:tl2br w:val="single" w:color="000000" w:sz="6" w:space="0"/>
            </w:tcBorders>
            <w:noWrap w:val="0"/>
            <w:vAlign w:val="center"/>
          </w:tcPr>
          <w:p>
            <w:pPr>
              <w:spacing w:line="320" w:lineRule="exact"/>
              <w:ind w:right="120"/>
              <w:jc w:val="right"/>
              <w:rPr>
                <w:rFonts w:ascii="Times New Roman" w:hAnsi="Times New Roman" w:eastAsia="黑体"/>
                <w:sz w:val="24"/>
                <w:szCs w:val="24"/>
              </w:rPr>
            </w:pPr>
            <w:r>
              <w:rPr>
                <w:rFonts w:ascii="Times New Roman" w:hAnsi="Times New Roman" w:eastAsia="黑体"/>
                <w:sz w:val="24"/>
                <w:szCs w:val="24"/>
              </w:rPr>
              <w:t>项目</w:t>
            </w:r>
          </w:p>
          <w:p>
            <w:pPr>
              <w:spacing w:line="320" w:lineRule="exact"/>
              <w:jc w:val="center"/>
              <w:rPr>
                <w:rFonts w:ascii="Times New Roman" w:hAnsi="Times New Roman" w:eastAsia="黑体"/>
                <w:sz w:val="24"/>
                <w:szCs w:val="24"/>
              </w:rPr>
            </w:pPr>
          </w:p>
          <w:p>
            <w:pPr>
              <w:spacing w:line="320" w:lineRule="exact"/>
              <w:rPr>
                <w:rFonts w:ascii="Times New Roman" w:hAnsi="Times New Roman" w:eastAsia="黑体"/>
                <w:sz w:val="24"/>
                <w:szCs w:val="24"/>
              </w:rPr>
            </w:pPr>
            <w:r>
              <w:rPr>
                <w:rFonts w:ascii="Times New Roman" w:hAnsi="Times New Roman" w:eastAsia="黑体"/>
                <w:sz w:val="24"/>
                <w:szCs w:val="24"/>
              </w:rPr>
              <w:t>年份</w:t>
            </w:r>
          </w:p>
        </w:tc>
        <w:tc>
          <w:tcPr>
            <w:tcW w:w="2603" w:type="dxa"/>
            <w:noWrap w:val="0"/>
            <w:vAlign w:val="center"/>
          </w:tcPr>
          <w:p>
            <w:pPr>
              <w:spacing w:line="320" w:lineRule="exact"/>
              <w:jc w:val="center"/>
              <w:rPr>
                <w:rFonts w:ascii="Times New Roman" w:hAnsi="Times New Roman" w:eastAsia="黑体"/>
                <w:sz w:val="24"/>
                <w:szCs w:val="24"/>
              </w:rPr>
            </w:pPr>
            <w:r>
              <w:rPr>
                <w:rFonts w:ascii="Times New Roman" w:hAnsi="Times New Roman" w:eastAsia="黑体"/>
                <w:sz w:val="24"/>
                <w:szCs w:val="24"/>
              </w:rPr>
              <w:t>进出口</w:t>
            </w:r>
          </w:p>
        </w:tc>
        <w:tc>
          <w:tcPr>
            <w:tcW w:w="2443" w:type="dxa"/>
            <w:noWrap w:val="0"/>
            <w:vAlign w:val="center"/>
          </w:tcPr>
          <w:p>
            <w:pPr>
              <w:spacing w:line="320" w:lineRule="exact"/>
              <w:jc w:val="center"/>
              <w:rPr>
                <w:rFonts w:ascii="Times New Roman" w:hAnsi="Times New Roman" w:eastAsia="黑体"/>
                <w:sz w:val="24"/>
                <w:szCs w:val="24"/>
              </w:rPr>
            </w:pPr>
            <w:r>
              <w:rPr>
                <w:rFonts w:ascii="Times New Roman" w:hAnsi="Times New Roman" w:eastAsia="黑体"/>
                <w:sz w:val="24"/>
                <w:szCs w:val="24"/>
              </w:rPr>
              <w:t>出口</w:t>
            </w:r>
          </w:p>
        </w:tc>
        <w:tc>
          <w:tcPr>
            <w:tcW w:w="2494" w:type="dxa"/>
            <w:noWrap w:val="0"/>
            <w:vAlign w:val="center"/>
          </w:tcPr>
          <w:p>
            <w:pPr>
              <w:spacing w:line="320" w:lineRule="exact"/>
              <w:jc w:val="center"/>
              <w:rPr>
                <w:rFonts w:ascii="Times New Roman" w:hAnsi="Times New Roman" w:eastAsia="黑体"/>
                <w:sz w:val="24"/>
                <w:szCs w:val="24"/>
              </w:rPr>
            </w:pPr>
            <w:r>
              <w:rPr>
                <w:rFonts w:ascii="Times New Roman" w:hAnsi="Times New Roman" w:eastAsia="黑体"/>
                <w:sz w:val="24"/>
                <w:szCs w:val="24"/>
              </w:rPr>
              <w:t>进口</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52" w:hRule="exact"/>
          <w:jc w:val="center"/>
        </w:trPr>
        <w:tc>
          <w:tcPr>
            <w:tcW w:w="1532" w:type="dxa"/>
            <w:noWrap w:val="0"/>
            <w:vAlign w:val="center"/>
          </w:tcPr>
          <w:p>
            <w:pPr>
              <w:spacing w:line="320" w:lineRule="exact"/>
              <w:jc w:val="center"/>
              <w:rPr>
                <w:rFonts w:ascii="Times New Roman" w:hAnsi="Times New Roman"/>
                <w:sz w:val="24"/>
                <w:szCs w:val="24"/>
              </w:rPr>
            </w:pPr>
            <w:bookmarkStart w:id="5" w:name="OLE_LINK2" w:colFirst="0" w:colLast="3"/>
            <w:r>
              <w:rPr>
                <w:rFonts w:ascii="Times New Roman" w:hAnsi="Times New Roman"/>
                <w:sz w:val="24"/>
                <w:szCs w:val="24"/>
              </w:rPr>
              <w:t>2016年</w:t>
            </w:r>
          </w:p>
        </w:tc>
        <w:tc>
          <w:tcPr>
            <w:tcW w:w="2603"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275.8</w:t>
            </w:r>
          </w:p>
        </w:tc>
        <w:tc>
          <w:tcPr>
            <w:tcW w:w="2443"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208.6</w:t>
            </w:r>
          </w:p>
        </w:tc>
        <w:tc>
          <w:tcPr>
            <w:tcW w:w="2494"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67.2</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52" w:hRule="exact"/>
          <w:jc w:val="center"/>
        </w:trPr>
        <w:tc>
          <w:tcPr>
            <w:tcW w:w="1532"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2017年</w:t>
            </w:r>
          </w:p>
        </w:tc>
        <w:tc>
          <w:tcPr>
            <w:tcW w:w="2603"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312.7</w:t>
            </w:r>
          </w:p>
        </w:tc>
        <w:tc>
          <w:tcPr>
            <w:tcW w:w="2443"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229.4</w:t>
            </w:r>
          </w:p>
        </w:tc>
        <w:tc>
          <w:tcPr>
            <w:tcW w:w="2494"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83.3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52" w:hRule="exact"/>
          <w:jc w:val="center"/>
        </w:trPr>
        <w:tc>
          <w:tcPr>
            <w:tcW w:w="1532"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2018年</w:t>
            </w:r>
          </w:p>
        </w:tc>
        <w:tc>
          <w:tcPr>
            <w:tcW w:w="2603"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343.9</w:t>
            </w:r>
          </w:p>
        </w:tc>
        <w:tc>
          <w:tcPr>
            <w:tcW w:w="2443"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250.7</w:t>
            </w:r>
          </w:p>
        </w:tc>
        <w:tc>
          <w:tcPr>
            <w:tcW w:w="2494"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93.1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52" w:hRule="exact"/>
          <w:jc w:val="center"/>
        </w:trPr>
        <w:tc>
          <w:tcPr>
            <w:tcW w:w="1532"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2019年</w:t>
            </w:r>
          </w:p>
        </w:tc>
        <w:tc>
          <w:tcPr>
            <w:tcW w:w="2603"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338.3</w:t>
            </w:r>
          </w:p>
        </w:tc>
        <w:tc>
          <w:tcPr>
            <w:tcW w:w="2443"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252.4</w:t>
            </w:r>
          </w:p>
        </w:tc>
        <w:tc>
          <w:tcPr>
            <w:tcW w:w="2494"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85.9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52" w:hRule="exact"/>
          <w:jc w:val="center"/>
        </w:trPr>
        <w:tc>
          <w:tcPr>
            <w:tcW w:w="1532"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2020年</w:t>
            </w:r>
          </w:p>
        </w:tc>
        <w:tc>
          <w:tcPr>
            <w:tcW w:w="2603"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349.1</w:t>
            </w:r>
          </w:p>
        </w:tc>
        <w:tc>
          <w:tcPr>
            <w:tcW w:w="2443"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259.4</w:t>
            </w:r>
          </w:p>
        </w:tc>
        <w:tc>
          <w:tcPr>
            <w:tcW w:w="2494"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89.7</w:t>
            </w:r>
          </w:p>
        </w:tc>
      </w:tr>
      <w:bookmarkEnd w:id="5"/>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52" w:hRule="exact"/>
          <w:jc w:val="center"/>
        </w:trPr>
        <w:tc>
          <w:tcPr>
            <w:tcW w:w="1532"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总  计</w:t>
            </w:r>
          </w:p>
        </w:tc>
        <w:tc>
          <w:tcPr>
            <w:tcW w:w="2603"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1619.8</w:t>
            </w:r>
          </w:p>
        </w:tc>
        <w:tc>
          <w:tcPr>
            <w:tcW w:w="2443"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1200.5</w:t>
            </w:r>
          </w:p>
        </w:tc>
        <w:tc>
          <w:tcPr>
            <w:tcW w:w="2494"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419.2</w:t>
            </w:r>
          </w:p>
        </w:tc>
      </w:tr>
    </w:tbl>
    <w:p>
      <w:pPr>
        <w:adjustRightInd w:val="0"/>
        <w:spacing w:line="560" w:lineRule="exact"/>
        <w:jc w:val="center"/>
        <w:rPr>
          <w:rFonts w:hint="eastAsia" w:ascii="Times New Roman" w:hAnsi="Times New Roman" w:eastAsia="方正黑体_GBK"/>
          <w:sz w:val="32"/>
          <w:szCs w:val="32"/>
        </w:rPr>
      </w:pPr>
    </w:p>
    <w:p>
      <w:pPr>
        <w:adjustRightInd w:val="0"/>
        <w:spacing w:before="120" w:after="120" w:line="560" w:lineRule="exact"/>
        <w:jc w:val="center"/>
        <w:rPr>
          <w:rFonts w:ascii="Times New Roman" w:hAnsi="Times New Roman" w:eastAsia="方正黑体_GBK"/>
          <w:sz w:val="32"/>
          <w:szCs w:val="32"/>
        </w:rPr>
      </w:pPr>
      <w:r>
        <w:rPr>
          <w:rFonts w:ascii="Times New Roman" w:hAnsi="Times New Roman" w:eastAsia="方正黑体_GBK"/>
          <w:sz w:val="32"/>
          <w:szCs w:val="32"/>
        </w:rPr>
        <w:t>2016</w:t>
      </w:r>
      <w:r>
        <w:rPr>
          <w:rFonts w:ascii="黑体" w:hAnsi="黑体" w:eastAsia="黑体"/>
          <w:sz w:val="32"/>
          <w:szCs w:val="32"/>
        </w:rPr>
        <w:t>—</w:t>
      </w:r>
      <w:r>
        <w:rPr>
          <w:rFonts w:ascii="Times New Roman" w:hAnsi="Times New Roman" w:eastAsia="方正黑体_GBK"/>
          <w:sz w:val="32"/>
          <w:szCs w:val="32"/>
        </w:rPr>
        <w:t>2020年常州市各辖市区进出口情况表</w:t>
      </w:r>
    </w:p>
    <w:p>
      <w:pPr>
        <w:adjustRightInd w:val="0"/>
        <w:spacing w:line="440" w:lineRule="exact"/>
        <w:jc w:val="right"/>
        <w:rPr>
          <w:rFonts w:ascii="Times New Roman" w:hAnsi="Times New Roman"/>
          <w:sz w:val="24"/>
          <w:szCs w:val="24"/>
        </w:rPr>
      </w:pPr>
      <w:r>
        <w:rPr>
          <w:rFonts w:ascii="Times New Roman" w:hAnsi="Times New Roman"/>
          <w:sz w:val="24"/>
          <w:szCs w:val="24"/>
        </w:rPr>
        <w:t>单位：亿美元</w:t>
      </w:r>
    </w:p>
    <w:tbl>
      <w:tblPr>
        <w:tblStyle w:val="3"/>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42"/>
        <w:gridCol w:w="1271"/>
        <w:gridCol w:w="1401"/>
        <w:gridCol w:w="1401"/>
        <w:gridCol w:w="1317"/>
        <w:gridCol w:w="1317"/>
        <w:gridCol w:w="111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77" w:hRule="atLeast"/>
          <w:jc w:val="center"/>
        </w:trPr>
        <w:tc>
          <w:tcPr>
            <w:tcW w:w="1242" w:type="dxa"/>
            <w:tcBorders>
              <w:tl2br w:val="single" w:color="auto" w:sz="6" w:space="0"/>
            </w:tcBorders>
            <w:noWrap/>
            <w:vAlign w:val="center"/>
          </w:tcPr>
          <w:p>
            <w:pPr>
              <w:spacing w:line="320" w:lineRule="exact"/>
              <w:ind w:firstLine="120" w:firstLineChars="50"/>
              <w:jc w:val="right"/>
              <w:rPr>
                <w:rFonts w:ascii="Times New Roman" w:hAnsi="Times New Roman" w:eastAsia="黑体"/>
                <w:sz w:val="24"/>
                <w:szCs w:val="24"/>
              </w:rPr>
            </w:pPr>
            <w:r>
              <w:rPr>
                <w:rFonts w:hint="eastAsia" w:ascii="Times New Roman" w:hAnsi="Times New Roman" w:eastAsia="黑体"/>
                <w:sz w:val="24"/>
                <w:szCs w:val="24"/>
              </w:rPr>
              <w:t xml:space="preserve"> </w:t>
            </w:r>
            <w:r>
              <w:rPr>
                <w:rFonts w:ascii="Times New Roman" w:hAnsi="Times New Roman" w:eastAsia="黑体"/>
                <w:sz w:val="24"/>
                <w:szCs w:val="24"/>
              </w:rPr>
              <w:t>辖市区</w:t>
            </w:r>
          </w:p>
          <w:p>
            <w:pPr>
              <w:widowControl/>
              <w:rPr>
                <w:rFonts w:ascii="Times New Roman" w:hAnsi="Times New Roman" w:eastAsia="黑体"/>
                <w:sz w:val="24"/>
                <w:szCs w:val="24"/>
              </w:rPr>
            </w:pPr>
          </w:p>
          <w:p>
            <w:pPr>
              <w:widowControl/>
              <w:jc w:val="left"/>
              <w:rPr>
                <w:rFonts w:ascii="Times New Roman" w:hAnsi="Times New Roman"/>
                <w:sz w:val="24"/>
                <w:szCs w:val="24"/>
              </w:rPr>
            </w:pPr>
            <w:r>
              <w:rPr>
                <w:rFonts w:ascii="Times New Roman" w:hAnsi="Times New Roman" w:eastAsia="黑体"/>
                <w:sz w:val="24"/>
                <w:szCs w:val="24"/>
              </w:rPr>
              <w:t>年份</w:t>
            </w:r>
          </w:p>
        </w:tc>
        <w:tc>
          <w:tcPr>
            <w:tcW w:w="1271" w:type="dxa"/>
            <w:noWrap w:val="0"/>
            <w:vAlign w:val="center"/>
          </w:tcPr>
          <w:p>
            <w:pPr>
              <w:spacing w:line="320" w:lineRule="exact"/>
              <w:jc w:val="center"/>
              <w:rPr>
                <w:rFonts w:ascii="Times New Roman" w:hAnsi="Times New Roman" w:eastAsia="黑体"/>
                <w:sz w:val="24"/>
                <w:szCs w:val="24"/>
              </w:rPr>
            </w:pPr>
            <w:r>
              <w:rPr>
                <w:rFonts w:ascii="Times New Roman" w:hAnsi="Times New Roman" w:eastAsia="黑体"/>
                <w:sz w:val="24"/>
                <w:szCs w:val="24"/>
              </w:rPr>
              <w:t>溧阳市</w:t>
            </w:r>
          </w:p>
        </w:tc>
        <w:tc>
          <w:tcPr>
            <w:tcW w:w="1401" w:type="dxa"/>
            <w:noWrap w:val="0"/>
            <w:vAlign w:val="center"/>
          </w:tcPr>
          <w:p>
            <w:pPr>
              <w:spacing w:line="320" w:lineRule="exact"/>
              <w:jc w:val="center"/>
              <w:rPr>
                <w:rFonts w:ascii="Times New Roman" w:hAnsi="Times New Roman" w:eastAsia="黑体"/>
                <w:sz w:val="24"/>
                <w:szCs w:val="24"/>
              </w:rPr>
            </w:pPr>
            <w:r>
              <w:rPr>
                <w:rFonts w:ascii="Times New Roman" w:hAnsi="Times New Roman" w:eastAsia="黑体"/>
                <w:sz w:val="24"/>
                <w:szCs w:val="24"/>
              </w:rPr>
              <w:t>金坛区</w:t>
            </w:r>
          </w:p>
        </w:tc>
        <w:tc>
          <w:tcPr>
            <w:tcW w:w="1401" w:type="dxa"/>
            <w:noWrap w:val="0"/>
            <w:vAlign w:val="center"/>
          </w:tcPr>
          <w:p>
            <w:pPr>
              <w:spacing w:line="320" w:lineRule="exact"/>
              <w:jc w:val="center"/>
              <w:rPr>
                <w:rFonts w:ascii="Times New Roman" w:hAnsi="Times New Roman" w:eastAsia="黑体"/>
                <w:sz w:val="24"/>
                <w:szCs w:val="24"/>
              </w:rPr>
            </w:pPr>
            <w:r>
              <w:rPr>
                <w:rFonts w:ascii="Times New Roman" w:hAnsi="Times New Roman" w:eastAsia="黑体"/>
                <w:sz w:val="24"/>
                <w:szCs w:val="24"/>
              </w:rPr>
              <w:t>武进区</w:t>
            </w:r>
          </w:p>
          <w:p>
            <w:pPr>
              <w:spacing w:line="320" w:lineRule="exact"/>
              <w:jc w:val="center"/>
              <w:rPr>
                <w:rFonts w:ascii="Times New Roman" w:hAnsi="Times New Roman" w:eastAsia="黑体"/>
                <w:sz w:val="18"/>
                <w:szCs w:val="18"/>
              </w:rPr>
            </w:pPr>
            <w:r>
              <w:rPr>
                <w:rFonts w:ascii="Times New Roman" w:hAnsi="Times New Roman" w:eastAsia="黑体"/>
                <w:sz w:val="18"/>
                <w:szCs w:val="18"/>
              </w:rPr>
              <w:t>（含常经开）</w:t>
            </w:r>
          </w:p>
        </w:tc>
        <w:tc>
          <w:tcPr>
            <w:tcW w:w="1317" w:type="dxa"/>
            <w:noWrap w:val="0"/>
            <w:vAlign w:val="center"/>
          </w:tcPr>
          <w:p>
            <w:pPr>
              <w:spacing w:line="320" w:lineRule="exact"/>
              <w:jc w:val="center"/>
              <w:rPr>
                <w:rFonts w:ascii="Times New Roman" w:hAnsi="Times New Roman" w:eastAsia="黑体"/>
                <w:sz w:val="24"/>
                <w:szCs w:val="24"/>
              </w:rPr>
            </w:pPr>
            <w:r>
              <w:rPr>
                <w:rFonts w:ascii="Times New Roman" w:hAnsi="Times New Roman" w:eastAsia="黑体"/>
                <w:sz w:val="24"/>
                <w:szCs w:val="24"/>
              </w:rPr>
              <w:t>新北区</w:t>
            </w:r>
          </w:p>
        </w:tc>
        <w:tc>
          <w:tcPr>
            <w:tcW w:w="1317" w:type="dxa"/>
            <w:noWrap w:val="0"/>
            <w:vAlign w:val="center"/>
          </w:tcPr>
          <w:p>
            <w:pPr>
              <w:spacing w:line="320" w:lineRule="exact"/>
              <w:jc w:val="center"/>
              <w:rPr>
                <w:rFonts w:ascii="Times New Roman" w:hAnsi="Times New Roman" w:eastAsia="黑体"/>
                <w:sz w:val="24"/>
                <w:szCs w:val="24"/>
              </w:rPr>
            </w:pPr>
            <w:r>
              <w:rPr>
                <w:rFonts w:ascii="Times New Roman" w:hAnsi="Times New Roman" w:eastAsia="黑体"/>
                <w:sz w:val="24"/>
                <w:szCs w:val="24"/>
              </w:rPr>
              <w:t>天宁区</w:t>
            </w:r>
          </w:p>
        </w:tc>
        <w:tc>
          <w:tcPr>
            <w:tcW w:w="1111" w:type="dxa"/>
            <w:noWrap w:val="0"/>
            <w:vAlign w:val="center"/>
          </w:tcPr>
          <w:p>
            <w:pPr>
              <w:spacing w:line="320" w:lineRule="exact"/>
              <w:jc w:val="center"/>
              <w:rPr>
                <w:rFonts w:ascii="Times New Roman" w:hAnsi="Times New Roman" w:eastAsia="黑体"/>
                <w:sz w:val="24"/>
                <w:szCs w:val="24"/>
              </w:rPr>
            </w:pPr>
            <w:r>
              <w:rPr>
                <w:rFonts w:ascii="Times New Roman" w:hAnsi="Times New Roman" w:eastAsia="黑体"/>
                <w:sz w:val="24"/>
                <w:szCs w:val="24"/>
              </w:rPr>
              <w:t>钟楼区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242"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2016年</w:t>
            </w:r>
          </w:p>
        </w:tc>
        <w:tc>
          <w:tcPr>
            <w:tcW w:w="1271"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8.30</w:t>
            </w:r>
          </w:p>
        </w:tc>
        <w:tc>
          <w:tcPr>
            <w:tcW w:w="1401"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16.72</w:t>
            </w:r>
          </w:p>
        </w:tc>
        <w:tc>
          <w:tcPr>
            <w:tcW w:w="1401"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94.77</w:t>
            </w:r>
          </w:p>
        </w:tc>
        <w:tc>
          <w:tcPr>
            <w:tcW w:w="1317"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100.74</w:t>
            </w:r>
          </w:p>
        </w:tc>
        <w:tc>
          <w:tcPr>
            <w:tcW w:w="1317"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28.35</w:t>
            </w:r>
          </w:p>
        </w:tc>
        <w:tc>
          <w:tcPr>
            <w:tcW w:w="1111"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25.14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242"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2017年</w:t>
            </w:r>
          </w:p>
        </w:tc>
        <w:tc>
          <w:tcPr>
            <w:tcW w:w="1271"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9.95</w:t>
            </w:r>
          </w:p>
        </w:tc>
        <w:tc>
          <w:tcPr>
            <w:tcW w:w="1401"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20.57</w:t>
            </w:r>
          </w:p>
        </w:tc>
        <w:tc>
          <w:tcPr>
            <w:tcW w:w="1401"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108.92</w:t>
            </w:r>
          </w:p>
        </w:tc>
        <w:tc>
          <w:tcPr>
            <w:tcW w:w="1317"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115.01</w:t>
            </w:r>
          </w:p>
        </w:tc>
        <w:tc>
          <w:tcPr>
            <w:tcW w:w="1317"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30.92</w:t>
            </w:r>
          </w:p>
        </w:tc>
        <w:tc>
          <w:tcPr>
            <w:tcW w:w="1111"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26.05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242"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2018年</w:t>
            </w:r>
          </w:p>
        </w:tc>
        <w:tc>
          <w:tcPr>
            <w:tcW w:w="1271"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11.47</w:t>
            </w:r>
          </w:p>
        </w:tc>
        <w:tc>
          <w:tcPr>
            <w:tcW w:w="1401"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23.80</w:t>
            </w:r>
          </w:p>
        </w:tc>
        <w:tc>
          <w:tcPr>
            <w:tcW w:w="1401"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120.46</w:t>
            </w:r>
          </w:p>
        </w:tc>
        <w:tc>
          <w:tcPr>
            <w:tcW w:w="1317"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127.93</w:t>
            </w:r>
          </w:p>
        </w:tc>
        <w:tc>
          <w:tcPr>
            <w:tcW w:w="1317"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32.95</w:t>
            </w:r>
          </w:p>
        </w:tc>
        <w:tc>
          <w:tcPr>
            <w:tcW w:w="1111"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25.93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242"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2019年</w:t>
            </w:r>
          </w:p>
        </w:tc>
        <w:tc>
          <w:tcPr>
            <w:tcW w:w="1271"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11.67</w:t>
            </w:r>
          </w:p>
        </w:tc>
        <w:tc>
          <w:tcPr>
            <w:tcW w:w="1401"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25.90</w:t>
            </w:r>
          </w:p>
        </w:tc>
        <w:tc>
          <w:tcPr>
            <w:tcW w:w="1401"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117.52</w:t>
            </w:r>
          </w:p>
        </w:tc>
        <w:tc>
          <w:tcPr>
            <w:tcW w:w="1317"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123.92</w:t>
            </w:r>
          </w:p>
        </w:tc>
        <w:tc>
          <w:tcPr>
            <w:tcW w:w="1317"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32.18</w:t>
            </w:r>
          </w:p>
        </w:tc>
        <w:tc>
          <w:tcPr>
            <w:tcW w:w="1111"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26.84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242"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2020年</w:t>
            </w:r>
          </w:p>
        </w:tc>
        <w:tc>
          <w:tcPr>
            <w:tcW w:w="1271"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12.38</w:t>
            </w:r>
          </w:p>
        </w:tc>
        <w:tc>
          <w:tcPr>
            <w:tcW w:w="1401"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31.80</w:t>
            </w:r>
          </w:p>
        </w:tc>
        <w:tc>
          <w:tcPr>
            <w:tcW w:w="1401"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121.92</w:t>
            </w:r>
          </w:p>
        </w:tc>
        <w:tc>
          <w:tcPr>
            <w:tcW w:w="1317"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125.80</w:t>
            </w:r>
          </w:p>
        </w:tc>
        <w:tc>
          <w:tcPr>
            <w:tcW w:w="1317"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28.97</w:t>
            </w:r>
          </w:p>
        </w:tc>
        <w:tc>
          <w:tcPr>
            <w:tcW w:w="1111"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28.29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242"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总  计</w:t>
            </w:r>
          </w:p>
        </w:tc>
        <w:tc>
          <w:tcPr>
            <w:tcW w:w="1271"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53.77</w:t>
            </w:r>
          </w:p>
        </w:tc>
        <w:tc>
          <w:tcPr>
            <w:tcW w:w="1401"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118.79</w:t>
            </w:r>
          </w:p>
        </w:tc>
        <w:tc>
          <w:tcPr>
            <w:tcW w:w="1401"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563.59</w:t>
            </w:r>
          </w:p>
        </w:tc>
        <w:tc>
          <w:tcPr>
            <w:tcW w:w="1317"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593.4</w:t>
            </w:r>
          </w:p>
        </w:tc>
        <w:tc>
          <w:tcPr>
            <w:tcW w:w="1317"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153.37</w:t>
            </w:r>
          </w:p>
        </w:tc>
        <w:tc>
          <w:tcPr>
            <w:tcW w:w="1111"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132.25</w:t>
            </w:r>
          </w:p>
        </w:tc>
      </w:tr>
    </w:tbl>
    <w:p>
      <w:pPr>
        <w:rPr>
          <w:rFonts w:ascii="Times New Roman" w:hAnsi="Times New Roman"/>
        </w:rPr>
      </w:pP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3. 外经合作稳步推进、层次提高。“十三五”时期，我市企业稳步“走出去”，共有249家企业在境外投资396个项目，累计中方协议投资额38.5亿美元，投资项目和投资额分别是“十二五”的1.4倍和1.6倍；全市在“一带一路”投资项目102个，中方协议投资额8.98亿美元；新签对外承包劳务合同额22.8亿美元，实现对外承包劳务营业额21.3亿美元。金昇乌兹别克斯坦江苏纺织产业园加快推进，天合光能累计投资近5亿美元，在泰国、越南等地设立生产基地，东奥服装、华利达、亚玛顿、常宝股份分别在柬埔寨、越南、阿联酋、阿曼布点。我市专门成立常州市“一带一路”战略研究院，编发《100国（地区）投资环境要素指南》和《常州市“一带一路”经贸投资白皮书》，努力为企业提供有效指导和服务，支持我市有能力、有条件的企业稳步开展境外投资活动，提高企业国际化运营能力。</w:t>
      </w:r>
    </w:p>
    <w:p>
      <w:pPr>
        <w:adjustRightInd w:val="0"/>
        <w:spacing w:before="120" w:after="120" w:line="520" w:lineRule="exact"/>
        <w:jc w:val="center"/>
        <w:rPr>
          <w:rFonts w:ascii="Times New Roman" w:hAnsi="Times New Roman" w:eastAsia="方正黑体_GBK"/>
          <w:sz w:val="32"/>
          <w:szCs w:val="32"/>
        </w:rPr>
      </w:pPr>
      <w:r>
        <w:rPr>
          <w:rFonts w:ascii="Times New Roman" w:hAnsi="Times New Roman" w:eastAsia="方正黑体_GBK"/>
          <w:sz w:val="32"/>
          <w:szCs w:val="32"/>
        </w:rPr>
        <w:t>2016</w:t>
      </w:r>
      <w:r>
        <w:rPr>
          <w:rFonts w:ascii="黑体" w:hAnsi="黑体" w:eastAsia="黑体"/>
          <w:sz w:val="32"/>
          <w:szCs w:val="32"/>
        </w:rPr>
        <w:t>—</w:t>
      </w:r>
      <w:r>
        <w:rPr>
          <w:rFonts w:ascii="Times New Roman" w:hAnsi="Times New Roman" w:eastAsia="方正黑体_GBK"/>
          <w:sz w:val="32"/>
          <w:szCs w:val="32"/>
        </w:rPr>
        <w:t>2020年常州市境外投资及外经合作情况表</w:t>
      </w:r>
    </w:p>
    <w:p>
      <w:pPr>
        <w:adjustRightInd w:val="0"/>
        <w:spacing w:line="440" w:lineRule="exact"/>
        <w:jc w:val="right"/>
        <w:rPr>
          <w:rFonts w:ascii="Times New Roman" w:hAnsi="Times New Roman"/>
          <w:sz w:val="24"/>
          <w:szCs w:val="24"/>
        </w:rPr>
      </w:pPr>
      <w:r>
        <w:rPr>
          <w:rFonts w:ascii="Times New Roman" w:hAnsi="Times New Roman"/>
          <w:sz w:val="24"/>
          <w:szCs w:val="24"/>
        </w:rPr>
        <w:t>单位：个、亿美元</w:t>
      </w:r>
    </w:p>
    <w:tbl>
      <w:tblPr>
        <w:tblStyle w:val="3"/>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510"/>
        <w:gridCol w:w="1854"/>
        <w:gridCol w:w="1855"/>
        <w:gridCol w:w="1854"/>
        <w:gridCol w:w="1855"/>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4" w:hRule="atLeast"/>
          <w:jc w:val="center"/>
        </w:trPr>
        <w:tc>
          <w:tcPr>
            <w:tcW w:w="1510" w:type="dxa"/>
            <w:tcBorders>
              <w:tl2br w:val="single" w:color="000000" w:sz="6" w:space="0"/>
            </w:tcBorders>
            <w:noWrap w:val="0"/>
            <w:vAlign w:val="center"/>
          </w:tcPr>
          <w:p>
            <w:pPr>
              <w:spacing w:line="320" w:lineRule="exact"/>
              <w:jc w:val="right"/>
              <w:rPr>
                <w:rFonts w:ascii="Times New Roman" w:hAnsi="Times New Roman" w:eastAsia="黑体"/>
                <w:sz w:val="24"/>
                <w:szCs w:val="24"/>
              </w:rPr>
            </w:pPr>
            <w:r>
              <w:rPr>
                <w:rFonts w:ascii="Times New Roman" w:hAnsi="Times New Roman" w:eastAsia="黑体"/>
                <w:sz w:val="24"/>
                <w:szCs w:val="24"/>
              </w:rPr>
              <w:t>项目</w:t>
            </w:r>
          </w:p>
          <w:p>
            <w:pPr>
              <w:spacing w:line="320" w:lineRule="exact"/>
              <w:rPr>
                <w:rFonts w:ascii="Times New Roman" w:hAnsi="Times New Roman" w:eastAsia="黑体"/>
                <w:sz w:val="24"/>
                <w:szCs w:val="24"/>
              </w:rPr>
            </w:pPr>
            <w:r>
              <w:rPr>
                <w:rFonts w:ascii="Times New Roman" w:hAnsi="Times New Roman" w:eastAsia="黑体"/>
                <w:sz w:val="24"/>
                <w:szCs w:val="24"/>
              </w:rPr>
              <w:t>年份</w:t>
            </w:r>
          </w:p>
        </w:tc>
        <w:tc>
          <w:tcPr>
            <w:tcW w:w="1854" w:type="dxa"/>
            <w:noWrap w:val="0"/>
            <w:vAlign w:val="center"/>
          </w:tcPr>
          <w:p>
            <w:pPr>
              <w:spacing w:line="320" w:lineRule="exact"/>
              <w:jc w:val="center"/>
              <w:rPr>
                <w:rFonts w:ascii="Times New Roman" w:hAnsi="Times New Roman" w:eastAsia="黑体"/>
                <w:sz w:val="24"/>
                <w:szCs w:val="24"/>
              </w:rPr>
            </w:pPr>
            <w:r>
              <w:rPr>
                <w:rFonts w:ascii="Times New Roman" w:hAnsi="Times New Roman" w:eastAsia="黑体"/>
                <w:sz w:val="24"/>
                <w:szCs w:val="24"/>
              </w:rPr>
              <w:t>新批境外</w:t>
            </w:r>
          </w:p>
          <w:p>
            <w:pPr>
              <w:spacing w:line="320" w:lineRule="exact"/>
              <w:jc w:val="center"/>
              <w:rPr>
                <w:rFonts w:ascii="Times New Roman" w:hAnsi="Times New Roman" w:eastAsia="黑体"/>
                <w:sz w:val="24"/>
                <w:szCs w:val="24"/>
              </w:rPr>
            </w:pPr>
            <w:r>
              <w:rPr>
                <w:rFonts w:ascii="Times New Roman" w:hAnsi="Times New Roman" w:eastAsia="黑体"/>
                <w:sz w:val="24"/>
                <w:szCs w:val="24"/>
              </w:rPr>
              <w:t>投资项目数</w:t>
            </w:r>
          </w:p>
        </w:tc>
        <w:tc>
          <w:tcPr>
            <w:tcW w:w="1855" w:type="dxa"/>
            <w:noWrap w:val="0"/>
            <w:vAlign w:val="center"/>
          </w:tcPr>
          <w:p>
            <w:pPr>
              <w:spacing w:line="320" w:lineRule="exact"/>
              <w:jc w:val="center"/>
              <w:rPr>
                <w:rFonts w:ascii="Times New Roman" w:hAnsi="Times New Roman" w:eastAsia="黑体"/>
                <w:sz w:val="24"/>
                <w:szCs w:val="24"/>
              </w:rPr>
            </w:pPr>
            <w:r>
              <w:rPr>
                <w:rFonts w:ascii="Times New Roman" w:hAnsi="Times New Roman" w:eastAsia="黑体"/>
                <w:sz w:val="24"/>
                <w:szCs w:val="24"/>
              </w:rPr>
              <w:t>中方协议</w:t>
            </w:r>
          </w:p>
          <w:p>
            <w:pPr>
              <w:spacing w:line="320" w:lineRule="exact"/>
              <w:jc w:val="center"/>
              <w:rPr>
                <w:rFonts w:ascii="Times New Roman" w:hAnsi="Times New Roman" w:eastAsia="黑体"/>
                <w:sz w:val="24"/>
                <w:szCs w:val="24"/>
              </w:rPr>
            </w:pPr>
            <w:r>
              <w:rPr>
                <w:rFonts w:ascii="Times New Roman" w:hAnsi="Times New Roman" w:eastAsia="黑体"/>
                <w:sz w:val="24"/>
                <w:szCs w:val="24"/>
              </w:rPr>
              <w:t>投资额</w:t>
            </w:r>
          </w:p>
        </w:tc>
        <w:tc>
          <w:tcPr>
            <w:tcW w:w="1854" w:type="dxa"/>
            <w:noWrap w:val="0"/>
            <w:vAlign w:val="center"/>
          </w:tcPr>
          <w:p>
            <w:pPr>
              <w:spacing w:line="320" w:lineRule="exact"/>
              <w:jc w:val="center"/>
              <w:rPr>
                <w:rFonts w:ascii="Times New Roman" w:hAnsi="Times New Roman" w:eastAsia="黑体"/>
                <w:sz w:val="24"/>
                <w:szCs w:val="24"/>
              </w:rPr>
            </w:pPr>
            <w:r>
              <w:rPr>
                <w:rFonts w:ascii="Times New Roman" w:hAnsi="Times New Roman" w:eastAsia="黑体"/>
                <w:sz w:val="24"/>
                <w:szCs w:val="24"/>
              </w:rPr>
              <w:t>新签对外承包</w:t>
            </w:r>
          </w:p>
          <w:p>
            <w:pPr>
              <w:spacing w:line="320" w:lineRule="exact"/>
              <w:jc w:val="center"/>
              <w:rPr>
                <w:rFonts w:ascii="Times New Roman" w:hAnsi="Times New Roman" w:eastAsia="黑体"/>
                <w:sz w:val="24"/>
                <w:szCs w:val="24"/>
              </w:rPr>
            </w:pPr>
            <w:r>
              <w:rPr>
                <w:rFonts w:ascii="Times New Roman" w:hAnsi="Times New Roman" w:eastAsia="黑体"/>
                <w:sz w:val="24"/>
                <w:szCs w:val="24"/>
              </w:rPr>
              <w:t>劳务合同额</w:t>
            </w:r>
          </w:p>
        </w:tc>
        <w:tc>
          <w:tcPr>
            <w:tcW w:w="1855" w:type="dxa"/>
            <w:noWrap w:val="0"/>
            <w:vAlign w:val="center"/>
          </w:tcPr>
          <w:p>
            <w:pPr>
              <w:spacing w:line="320" w:lineRule="exact"/>
              <w:jc w:val="center"/>
              <w:rPr>
                <w:rFonts w:ascii="Times New Roman" w:hAnsi="Times New Roman" w:eastAsia="黑体"/>
                <w:sz w:val="24"/>
                <w:szCs w:val="24"/>
              </w:rPr>
            </w:pPr>
            <w:r>
              <w:rPr>
                <w:rFonts w:ascii="Times New Roman" w:hAnsi="Times New Roman" w:eastAsia="黑体"/>
                <w:sz w:val="24"/>
                <w:szCs w:val="24"/>
              </w:rPr>
              <w:t>对外承包</w:t>
            </w:r>
          </w:p>
          <w:p>
            <w:pPr>
              <w:spacing w:line="320" w:lineRule="exact"/>
              <w:jc w:val="center"/>
              <w:rPr>
                <w:rFonts w:ascii="Times New Roman" w:hAnsi="Times New Roman" w:eastAsia="黑体"/>
                <w:sz w:val="24"/>
                <w:szCs w:val="24"/>
              </w:rPr>
            </w:pPr>
            <w:r>
              <w:rPr>
                <w:rFonts w:ascii="Times New Roman" w:hAnsi="Times New Roman" w:eastAsia="黑体"/>
                <w:sz w:val="24"/>
                <w:szCs w:val="24"/>
              </w:rPr>
              <w:t>劳务营业额</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4" w:hRule="atLeast"/>
          <w:jc w:val="center"/>
        </w:trPr>
        <w:tc>
          <w:tcPr>
            <w:tcW w:w="1510" w:type="dxa"/>
            <w:noWrap w:val="0"/>
            <w:vAlign w:val="center"/>
          </w:tcPr>
          <w:p>
            <w:pPr>
              <w:spacing w:line="320" w:lineRule="exact"/>
              <w:jc w:val="center"/>
              <w:rPr>
                <w:rFonts w:ascii="Times New Roman" w:hAnsi="Times New Roman"/>
                <w:sz w:val="24"/>
                <w:szCs w:val="24"/>
              </w:rPr>
            </w:pPr>
            <w:bookmarkStart w:id="6" w:name="OLE_LINK3" w:colFirst="0" w:colLast="4"/>
            <w:r>
              <w:rPr>
                <w:rFonts w:ascii="Times New Roman" w:hAnsi="Times New Roman"/>
                <w:sz w:val="24"/>
                <w:szCs w:val="24"/>
              </w:rPr>
              <w:t>2016年</w:t>
            </w:r>
          </w:p>
        </w:tc>
        <w:tc>
          <w:tcPr>
            <w:tcW w:w="1854"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91</w:t>
            </w:r>
          </w:p>
        </w:tc>
        <w:tc>
          <w:tcPr>
            <w:tcW w:w="1855"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9.66</w:t>
            </w:r>
          </w:p>
        </w:tc>
        <w:tc>
          <w:tcPr>
            <w:tcW w:w="1854"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5.36</w:t>
            </w:r>
          </w:p>
        </w:tc>
        <w:tc>
          <w:tcPr>
            <w:tcW w:w="1855"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4.75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4" w:hRule="atLeast"/>
          <w:jc w:val="center"/>
        </w:trPr>
        <w:tc>
          <w:tcPr>
            <w:tcW w:w="1510"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2017年</w:t>
            </w:r>
          </w:p>
        </w:tc>
        <w:tc>
          <w:tcPr>
            <w:tcW w:w="1854"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67</w:t>
            </w:r>
          </w:p>
        </w:tc>
        <w:tc>
          <w:tcPr>
            <w:tcW w:w="1855"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8.29</w:t>
            </w:r>
          </w:p>
        </w:tc>
        <w:tc>
          <w:tcPr>
            <w:tcW w:w="1854"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8.84</w:t>
            </w:r>
          </w:p>
        </w:tc>
        <w:tc>
          <w:tcPr>
            <w:tcW w:w="1855"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5.56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4" w:hRule="atLeast"/>
          <w:jc w:val="center"/>
        </w:trPr>
        <w:tc>
          <w:tcPr>
            <w:tcW w:w="1510"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2018年</w:t>
            </w:r>
          </w:p>
        </w:tc>
        <w:tc>
          <w:tcPr>
            <w:tcW w:w="1854"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84</w:t>
            </w:r>
          </w:p>
        </w:tc>
        <w:tc>
          <w:tcPr>
            <w:tcW w:w="1855"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8.42</w:t>
            </w:r>
          </w:p>
        </w:tc>
        <w:tc>
          <w:tcPr>
            <w:tcW w:w="1854"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4.01</w:t>
            </w:r>
          </w:p>
        </w:tc>
        <w:tc>
          <w:tcPr>
            <w:tcW w:w="1855"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4.53</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4" w:hRule="atLeast"/>
          <w:jc w:val="center"/>
        </w:trPr>
        <w:tc>
          <w:tcPr>
            <w:tcW w:w="1510"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2019年</w:t>
            </w:r>
          </w:p>
        </w:tc>
        <w:tc>
          <w:tcPr>
            <w:tcW w:w="1854"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85</w:t>
            </w:r>
          </w:p>
        </w:tc>
        <w:tc>
          <w:tcPr>
            <w:tcW w:w="1855"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8.52</w:t>
            </w:r>
          </w:p>
        </w:tc>
        <w:tc>
          <w:tcPr>
            <w:tcW w:w="1854"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3.32</w:t>
            </w:r>
          </w:p>
        </w:tc>
        <w:tc>
          <w:tcPr>
            <w:tcW w:w="1855"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3.87</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4" w:hRule="atLeast"/>
          <w:jc w:val="center"/>
        </w:trPr>
        <w:tc>
          <w:tcPr>
            <w:tcW w:w="1510"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2020年</w:t>
            </w:r>
          </w:p>
        </w:tc>
        <w:tc>
          <w:tcPr>
            <w:tcW w:w="1854"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69</w:t>
            </w:r>
          </w:p>
        </w:tc>
        <w:tc>
          <w:tcPr>
            <w:tcW w:w="1855"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3.58</w:t>
            </w:r>
          </w:p>
        </w:tc>
        <w:tc>
          <w:tcPr>
            <w:tcW w:w="1854"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1.28</w:t>
            </w:r>
          </w:p>
        </w:tc>
        <w:tc>
          <w:tcPr>
            <w:tcW w:w="1855"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2.62</w:t>
            </w:r>
          </w:p>
        </w:tc>
      </w:tr>
      <w:bookmarkEnd w:id="6"/>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4" w:hRule="atLeast"/>
          <w:jc w:val="center"/>
        </w:trPr>
        <w:tc>
          <w:tcPr>
            <w:tcW w:w="1510"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总  计</w:t>
            </w:r>
          </w:p>
        </w:tc>
        <w:tc>
          <w:tcPr>
            <w:tcW w:w="1854"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396</w:t>
            </w:r>
          </w:p>
        </w:tc>
        <w:tc>
          <w:tcPr>
            <w:tcW w:w="1855"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38.47</w:t>
            </w:r>
          </w:p>
        </w:tc>
        <w:tc>
          <w:tcPr>
            <w:tcW w:w="1854"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22.81</w:t>
            </w:r>
          </w:p>
        </w:tc>
        <w:tc>
          <w:tcPr>
            <w:tcW w:w="1855"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21.33</w:t>
            </w:r>
          </w:p>
        </w:tc>
      </w:tr>
    </w:tbl>
    <w:p>
      <w:pPr>
        <w:adjustRightInd w:val="0"/>
        <w:spacing w:before="120" w:after="120" w:line="520" w:lineRule="exact"/>
        <w:jc w:val="center"/>
        <w:rPr>
          <w:rFonts w:ascii="Times New Roman" w:hAnsi="Times New Roman" w:eastAsia="方正黑体_GBK"/>
          <w:sz w:val="32"/>
          <w:szCs w:val="32"/>
        </w:rPr>
      </w:pPr>
      <w:r>
        <w:rPr>
          <w:rFonts w:ascii="Times New Roman" w:hAnsi="Times New Roman" w:eastAsia="方正黑体_GBK"/>
          <w:sz w:val="32"/>
          <w:szCs w:val="32"/>
        </w:rPr>
        <w:br w:type="page"/>
      </w:r>
      <w:r>
        <w:rPr>
          <w:rFonts w:ascii="Times New Roman" w:hAnsi="Times New Roman" w:eastAsia="方正黑体_GBK"/>
          <w:sz w:val="32"/>
          <w:szCs w:val="32"/>
        </w:rPr>
        <w:t>2016</w:t>
      </w:r>
      <w:r>
        <w:rPr>
          <w:rFonts w:ascii="黑体" w:hAnsi="黑体" w:eastAsia="黑体"/>
          <w:sz w:val="32"/>
          <w:szCs w:val="32"/>
        </w:rPr>
        <w:t>—</w:t>
      </w:r>
      <w:r>
        <w:rPr>
          <w:rFonts w:ascii="Times New Roman" w:hAnsi="Times New Roman" w:eastAsia="方正黑体_GBK"/>
          <w:sz w:val="32"/>
          <w:szCs w:val="32"/>
        </w:rPr>
        <w:t>2020年常州市各辖市区中方协议投资情况表</w:t>
      </w:r>
    </w:p>
    <w:p>
      <w:pPr>
        <w:adjustRightInd w:val="0"/>
        <w:spacing w:line="440" w:lineRule="exact"/>
        <w:jc w:val="right"/>
        <w:rPr>
          <w:rFonts w:ascii="Times New Roman" w:hAnsi="Times New Roman"/>
          <w:sz w:val="24"/>
          <w:szCs w:val="24"/>
        </w:rPr>
      </w:pPr>
      <w:r>
        <w:rPr>
          <w:rFonts w:ascii="Times New Roman" w:hAnsi="Times New Roman"/>
          <w:sz w:val="24"/>
          <w:szCs w:val="24"/>
        </w:rPr>
        <w:t>单位：万美元</w:t>
      </w:r>
    </w:p>
    <w:tbl>
      <w:tblPr>
        <w:tblStyle w:val="3"/>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384"/>
        <w:gridCol w:w="1280"/>
        <w:gridCol w:w="1280"/>
        <w:gridCol w:w="1279"/>
        <w:gridCol w:w="1279"/>
        <w:gridCol w:w="1279"/>
        <w:gridCol w:w="127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77" w:hRule="atLeast"/>
          <w:jc w:val="center"/>
        </w:trPr>
        <w:tc>
          <w:tcPr>
            <w:tcW w:w="1384" w:type="dxa"/>
            <w:tcBorders>
              <w:tl2br w:val="single" w:color="auto" w:sz="6" w:space="0"/>
            </w:tcBorders>
            <w:noWrap/>
            <w:vAlign w:val="center"/>
          </w:tcPr>
          <w:p>
            <w:pPr>
              <w:spacing w:line="320" w:lineRule="exact"/>
              <w:jc w:val="right"/>
              <w:rPr>
                <w:rFonts w:ascii="Times New Roman" w:hAnsi="Times New Roman" w:eastAsia="黑体"/>
                <w:sz w:val="24"/>
                <w:szCs w:val="24"/>
              </w:rPr>
            </w:pPr>
            <w:r>
              <w:rPr>
                <w:rFonts w:ascii="Times New Roman" w:hAnsi="Times New Roman" w:eastAsia="黑体"/>
                <w:sz w:val="24"/>
                <w:szCs w:val="24"/>
              </w:rPr>
              <w:t>辖市区</w:t>
            </w:r>
          </w:p>
          <w:p>
            <w:pPr>
              <w:widowControl/>
              <w:rPr>
                <w:rFonts w:ascii="Times New Roman" w:hAnsi="Times New Roman" w:eastAsia="黑体"/>
                <w:sz w:val="24"/>
                <w:szCs w:val="24"/>
              </w:rPr>
            </w:pPr>
          </w:p>
          <w:p>
            <w:pPr>
              <w:widowControl/>
              <w:jc w:val="left"/>
              <w:rPr>
                <w:rFonts w:ascii="Times New Roman" w:hAnsi="Times New Roman"/>
                <w:sz w:val="24"/>
                <w:szCs w:val="24"/>
              </w:rPr>
            </w:pPr>
            <w:r>
              <w:rPr>
                <w:rFonts w:ascii="Times New Roman" w:hAnsi="Times New Roman" w:eastAsia="黑体"/>
                <w:sz w:val="24"/>
                <w:szCs w:val="24"/>
              </w:rPr>
              <w:t>年份</w:t>
            </w:r>
          </w:p>
        </w:tc>
        <w:tc>
          <w:tcPr>
            <w:tcW w:w="1280" w:type="dxa"/>
            <w:noWrap w:val="0"/>
            <w:vAlign w:val="center"/>
          </w:tcPr>
          <w:p>
            <w:pPr>
              <w:spacing w:line="320" w:lineRule="exact"/>
              <w:jc w:val="center"/>
              <w:rPr>
                <w:rFonts w:ascii="Times New Roman" w:hAnsi="Times New Roman" w:eastAsia="黑体"/>
                <w:sz w:val="24"/>
                <w:szCs w:val="24"/>
              </w:rPr>
            </w:pPr>
            <w:r>
              <w:rPr>
                <w:rFonts w:ascii="Times New Roman" w:hAnsi="Times New Roman" w:eastAsia="黑体"/>
                <w:sz w:val="24"/>
                <w:szCs w:val="24"/>
              </w:rPr>
              <w:t>溧阳市</w:t>
            </w:r>
          </w:p>
        </w:tc>
        <w:tc>
          <w:tcPr>
            <w:tcW w:w="1280" w:type="dxa"/>
            <w:noWrap w:val="0"/>
            <w:vAlign w:val="center"/>
          </w:tcPr>
          <w:p>
            <w:pPr>
              <w:spacing w:line="320" w:lineRule="exact"/>
              <w:jc w:val="center"/>
              <w:rPr>
                <w:rFonts w:ascii="Times New Roman" w:hAnsi="Times New Roman" w:eastAsia="黑体"/>
                <w:sz w:val="24"/>
                <w:szCs w:val="24"/>
              </w:rPr>
            </w:pPr>
            <w:r>
              <w:rPr>
                <w:rFonts w:ascii="Times New Roman" w:hAnsi="Times New Roman" w:eastAsia="黑体"/>
                <w:sz w:val="24"/>
                <w:szCs w:val="24"/>
              </w:rPr>
              <w:t>金坛区</w:t>
            </w:r>
          </w:p>
        </w:tc>
        <w:tc>
          <w:tcPr>
            <w:tcW w:w="1279" w:type="dxa"/>
            <w:noWrap w:val="0"/>
            <w:vAlign w:val="center"/>
          </w:tcPr>
          <w:p>
            <w:pPr>
              <w:spacing w:line="320" w:lineRule="exact"/>
              <w:jc w:val="center"/>
              <w:rPr>
                <w:rFonts w:ascii="Times New Roman" w:hAnsi="Times New Roman" w:eastAsia="黑体"/>
                <w:sz w:val="24"/>
                <w:szCs w:val="24"/>
              </w:rPr>
            </w:pPr>
            <w:r>
              <w:rPr>
                <w:rFonts w:ascii="Times New Roman" w:hAnsi="Times New Roman" w:eastAsia="黑体"/>
                <w:sz w:val="24"/>
                <w:szCs w:val="24"/>
              </w:rPr>
              <w:t>武进区</w:t>
            </w:r>
          </w:p>
          <w:p>
            <w:pPr>
              <w:spacing w:line="320" w:lineRule="exact"/>
              <w:jc w:val="center"/>
              <w:rPr>
                <w:rFonts w:ascii="Times New Roman" w:hAnsi="Times New Roman" w:eastAsia="黑体"/>
                <w:sz w:val="18"/>
                <w:szCs w:val="18"/>
              </w:rPr>
            </w:pPr>
            <w:r>
              <w:rPr>
                <w:rFonts w:ascii="Times New Roman" w:hAnsi="Times New Roman" w:eastAsia="黑体"/>
                <w:sz w:val="18"/>
                <w:szCs w:val="18"/>
              </w:rPr>
              <w:t>（含常经开）</w:t>
            </w:r>
          </w:p>
        </w:tc>
        <w:tc>
          <w:tcPr>
            <w:tcW w:w="1279" w:type="dxa"/>
            <w:noWrap w:val="0"/>
            <w:vAlign w:val="center"/>
          </w:tcPr>
          <w:p>
            <w:pPr>
              <w:spacing w:line="320" w:lineRule="exact"/>
              <w:jc w:val="center"/>
              <w:rPr>
                <w:rFonts w:ascii="Times New Roman" w:hAnsi="Times New Roman" w:eastAsia="黑体"/>
                <w:sz w:val="24"/>
                <w:szCs w:val="24"/>
              </w:rPr>
            </w:pPr>
            <w:r>
              <w:rPr>
                <w:rFonts w:ascii="Times New Roman" w:hAnsi="Times New Roman" w:eastAsia="黑体"/>
                <w:sz w:val="24"/>
                <w:szCs w:val="24"/>
              </w:rPr>
              <w:t>新北区</w:t>
            </w:r>
          </w:p>
        </w:tc>
        <w:tc>
          <w:tcPr>
            <w:tcW w:w="1279" w:type="dxa"/>
            <w:noWrap w:val="0"/>
            <w:vAlign w:val="center"/>
          </w:tcPr>
          <w:p>
            <w:pPr>
              <w:spacing w:line="320" w:lineRule="exact"/>
              <w:jc w:val="center"/>
              <w:rPr>
                <w:rFonts w:ascii="Times New Roman" w:hAnsi="Times New Roman" w:eastAsia="黑体"/>
                <w:sz w:val="24"/>
                <w:szCs w:val="24"/>
              </w:rPr>
            </w:pPr>
            <w:r>
              <w:rPr>
                <w:rFonts w:ascii="Times New Roman" w:hAnsi="Times New Roman" w:eastAsia="黑体"/>
                <w:sz w:val="24"/>
                <w:szCs w:val="24"/>
              </w:rPr>
              <w:t>天宁区</w:t>
            </w:r>
          </w:p>
        </w:tc>
        <w:tc>
          <w:tcPr>
            <w:tcW w:w="1279" w:type="dxa"/>
            <w:noWrap w:val="0"/>
            <w:vAlign w:val="center"/>
          </w:tcPr>
          <w:p>
            <w:pPr>
              <w:spacing w:line="320" w:lineRule="exact"/>
              <w:jc w:val="center"/>
              <w:rPr>
                <w:rFonts w:ascii="Times New Roman" w:hAnsi="Times New Roman" w:eastAsia="黑体"/>
                <w:sz w:val="24"/>
                <w:szCs w:val="24"/>
              </w:rPr>
            </w:pPr>
            <w:r>
              <w:rPr>
                <w:rFonts w:ascii="Times New Roman" w:hAnsi="Times New Roman" w:eastAsia="黑体"/>
                <w:sz w:val="24"/>
                <w:szCs w:val="24"/>
              </w:rPr>
              <w:t>钟楼区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384"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2016年</w:t>
            </w:r>
          </w:p>
        </w:tc>
        <w:tc>
          <w:tcPr>
            <w:tcW w:w="1280"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1440.3</w:t>
            </w:r>
          </w:p>
        </w:tc>
        <w:tc>
          <w:tcPr>
            <w:tcW w:w="1280"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10464.0</w:t>
            </w:r>
          </w:p>
        </w:tc>
        <w:tc>
          <w:tcPr>
            <w:tcW w:w="1279"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18996.6</w:t>
            </w:r>
          </w:p>
        </w:tc>
        <w:tc>
          <w:tcPr>
            <w:tcW w:w="1279"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44172.4</w:t>
            </w:r>
          </w:p>
        </w:tc>
        <w:tc>
          <w:tcPr>
            <w:tcW w:w="1279"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19577.0</w:t>
            </w:r>
          </w:p>
        </w:tc>
        <w:tc>
          <w:tcPr>
            <w:tcW w:w="1279"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1980.8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384"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2017年</w:t>
            </w:r>
          </w:p>
        </w:tc>
        <w:tc>
          <w:tcPr>
            <w:tcW w:w="1280"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23.8</w:t>
            </w:r>
          </w:p>
        </w:tc>
        <w:tc>
          <w:tcPr>
            <w:tcW w:w="1280"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13854.3</w:t>
            </w:r>
          </w:p>
        </w:tc>
        <w:tc>
          <w:tcPr>
            <w:tcW w:w="1279"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25326.2</w:t>
            </w:r>
          </w:p>
        </w:tc>
        <w:tc>
          <w:tcPr>
            <w:tcW w:w="1279"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16397.9</w:t>
            </w:r>
          </w:p>
        </w:tc>
        <w:tc>
          <w:tcPr>
            <w:tcW w:w="1279"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17786.6</w:t>
            </w:r>
          </w:p>
        </w:tc>
        <w:tc>
          <w:tcPr>
            <w:tcW w:w="1279"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9500.0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384"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2018年</w:t>
            </w:r>
          </w:p>
        </w:tc>
        <w:tc>
          <w:tcPr>
            <w:tcW w:w="1280"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231.4</w:t>
            </w:r>
          </w:p>
        </w:tc>
        <w:tc>
          <w:tcPr>
            <w:tcW w:w="1280"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36825.6</w:t>
            </w:r>
          </w:p>
        </w:tc>
        <w:tc>
          <w:tcPr>
            <w:tcW w:w="1279"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37738.9</w:t>
            </w:r>
          </w:p>
        </w:tc>
        <w:tc>
          <w:tcPr>
            <w:tcW w:w="1279"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5549.9</w:t>
            </w:r>
          </w:p>
        </w:tc>
        <w:tc>
          <w:tcPr>
            <w:tcW w:w="1279"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1100.0</w:t>
            </w:r>
          </w:p>
        </w:tc>
        <w:tc>
          <w:tcPr>
            <w:tcW w:w="1279"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2706.1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384"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2019年</w:t>
            </w:r>
          </w:p>
        </w:tc>
        <w:tc>
          <w:tcPr>
            <w:tcW w:w="1280"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5897.0</w:t>
            </w:r>
          </w:p>
        </w:tc>
        <w:tc>
          <w:tcPr>
            <w:tcW w:w="1280"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37722.4</w:t>
            </w:r>
          </w:p>
        </w:tc>
        <w:tc>
          <w:tcPr>
            <w:tcW w:w="1279"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18834.3</w:t>
            </w:r>
          </w:p>
        </w:tc>
        <w:tc>
          <w:tcPr>
            <w:tcW w:w="1279"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17656.7</w:t>
            </w:r>
          </w:p>
        </w:tc>
        <w:tc>
          <w:tcPr>
            <w:tcW w:w="1279"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2209.0</w:t>
            </w:r>
          </w:p>
        </w:tc>
        <w:tc>
          <w:tcPr>
            <w:tcW w:w="1279"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2921.1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384"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2020年</w:t>
            </w:r>
          </w:p>
        </w:tc>
        <w:tc>
          <w:tcPr>
            <w:tcW w:w="1280"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2370.7</w:t>
            </w:r>
          </w:p>
        </w:tc>
        <w:tc>
          <w:tcPr>
            <w:tcW w:w="1280"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1286.7</w:t>
            </w:r>
          </w:p>
        </w:tc>
        <w:tc>
          <w:tcPr>
            <w:tcW w:w="1279"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17350.9</w:t>
            </w:r>
          </w:p>
        </w:tc>
        <w:tc>
          <w:tcPr>
            <w:tcW w:w="1279"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13891.3</w:t>
            </w:r>
          </w:p>
        </w:tc>
        <w:tc>
          <w:tcPr>
            <w:tcW w:w="1279"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175.1</w:t>
            </w:r>
          </w:p>
        </w:tc>
        <w:tc>
          <w:tcPr>
            <w:tcW w:w="1279"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718.9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384"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总计</w:t>
            </w:r>
          </w:p>
        </w:tc>
        <w:tc>
          <w:tcPr>
            <w:tcW w:w="1280"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9963.2</w:t>
            </w:r>
          </w:p>
        </w:tc>
        <w:tc>
          <w:tcPr>
            <w:tcW w:w="1280"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100153</w:t>
            </w:r>
          </w:p>
        </w:tc>
        <w:tc>
          <w:tcPr>
            <w:tcW w:w="1279"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118246.9</w:t>
            </w:r>
          </w:p>
        </w:tc>
        <w:tc>
          <w:tcPr>
            <w:tcW w:w="1279"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97668.2</w:t>
            </w:r>
          </w:p>
        </w:tc>
        <w:tc>
          <w:tcPr>
            <w:tcW w:w="1279"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40847.7</w:t>
            </w:r>
          </w:p>
        </w:tc>
        <w:tc>
          <w:tcPr>
            <w:tcW w:w="1279" w:type="dxa"/>
            <w:noWrap/>
            <w:vAlign w:val="center"/>
          </w:tcPr>
          <w:p>
            <w:pPr>
              <w:spacing w:line="320" w:lineRule="exact"/>
              <w:jc w:val="center"/>
              <w:rPr>
                <w:rFonts w:ascii="Times New Roman" w:hAnsi="Times New Roman"/>
                <w:sz w:val="24"/>
                <w:szCs w:val="24"/>
              </w:rPr>
            </w:pPr>
            <w:r>
              <w:rPr>
                <w:rFonts w:ascii="Times New Roman" w:hAnsi="Times New Roman"/>
                <w:sz w:val="24"/>
                <w:szCs w:val="24"/>
              </w:rPr>
              <w:t>17826.9</w:t>
            </w:r>
          </w:p>
        </w:tc>
      </w:tr>
    </w:tbl>
    <w:p>
      <w:pPr>
        <w:rPr>
          <w:rFonts w:ascii="Times New Roman" w:hAnsi="Times New Roman"/>
        </w:rPr>
      </w:pPr>
    </w:p>
    <w:p>
      <w:pPr>
        <w:overflowPunct w:val="0"/>
        <w:autoSpaceDE w:val="0"/>
        <w:autoSpaceDN w:val="0"/>
        <w:adjustRightInd w:val="0"/>
        <w:snapToGrid w:val="0"/>
        <w:spacing w:line="55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4. 开发园区转型创新、提档升级。“十三五”时期，我市着力完善各类开发区产业规划、功能配套及平台建设，推动开发园区成为开放型经济高质量发展的主阵地。“十三五”末，全市共有2个国家级高新区和8个省级开发区，常州高新区、武进高新区在全省国家级高新区中分列第4位和第9位，溧阳高新区位列省级高新区综合排名第1位，常州经开区、金坛开发区在省级经开区中跻身前十强，排名分别跃升至第4位和第10位；全市开发区利用外资贡献份额占全市的84%，工业开票销售、进出口贡献份额超过70%，公共财政预算收入贡献份额超过54%。国际合作园区加快发展，中以（常州）创新园实施新一轮发展规划，中德（常州）产业创新园全面推进；中以、中德、中欧、中瑞4家园区被认定为省级国际合作园区，获评数居全省第一；新获批省级特色创新示范园区8家，覆盖率居全省前列。</w:t>
      </w:r>
    </w:p>
    <w:p>
      <w:pPr>
        <w:overflowPunct w:val="0"/>
        <w:autoSpaceDE w:val="0"/>
        <w:autoSpaceDN w:val="0"/>
        <w:adjustRightInd w:val="0"/>
        <w:snapToGrid w:val="0"/>
        <w:spacing w:line="550" w:lineRule="exact"/>
        <w:ind w:firstLine="641"/>
        <w:rPr>
          <w:rFonts w:ascii="Times New Roman" w:hAnsi="Times New Roman" w:eastAsia="方正仿宋_GBK"/>
          <w:snapToGrid w:val="0"/>
          <w:kern w:val="0"/>
          <w:sz w:val="32"/>
          <w:szCs w:val="32"/>
        </w:rPr>
        <w:sectPr>
          <w:pgSz w:w="11906" w:h="16838"/>
          <w:pgMar w:top="1814" w:right="1531" w:bottom="1985" w:left="1531" w:header="720" w:footer="1474" w:gutter="0"/>
          <w:cols w:space="720" w:num="1"/>
          <w:docGrid w:linePitch="312" w:charSpace="0"/>
        </w:sectPr>
      </w:pPr>
    </w:p>
    <w:p>
      <w:pPr>
        <w:overflowPunct w:val="0"/>
        <w:autoSpaceDE w:val="0"/>
        <w:autoSpaceDN w:val="0"/>
        <w:adjustRightInd w:val="0"/>
        <w:snapToGrid w:val="0"/>
        <w:spacing w:before="240" w:after="240" w:line="560" w:lineRule="exact"/>
        <w:jc w:val="center"/>
        <w:rPr>
          <w:rFonts w:hint="eastAsia" w:ascii="方正小标宋_GBK" w:hAnsi="Times New Roman" w:eastAsia="方正小标宋_GBK"/>
          <w:sz w:val="44"/>
          <w:szCs w:val="44"/>
        </w:rPr>
      </w:pPr>
      <w:r>
        <w:rPr>
          <w:rFonts w:hint="eastAsia" w:ascii="方正小标宋_GBK" w:hAnsi="Times New Roman" w:eastAsia="方正小标宋_GBK"/>
          <w:sz w:val="44"/>
          <w:szCs w:val="44"/>
        </w:rPr>
        <w:t>江苏省开发区科学发展综合评价常州开发区排名情况</w:t>
      </w:r>
    </w:p>
    <w:tbl>
      <w:tblPr>
        <w:tblStyle w:val="3"/>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665"/>
        <w:gridCol w:w="706"/>
        <w:gridCol w:w="989"/>
        <w:gridCol w:w="717"/>
        <w:gridCol w:w="848"/>
        <w:gridCol w:w="989"/>
        <w:gridCol w:w="706"/>
        <w:gridCol w:w="848"/>
        <w:gridCol w:w="989"/>
        <w:gridCol w:w="703"/>
        <w:gridCol w:w="848"/>
        <w:gridCol w:w="984"/>
        <w:gridCol w:w="706"/>
        <w:gridCol w:w="706"/>
        <w:gridCol w:w="989"/>
        <w:gridCol w:w="78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96" w:hRule="atLeast"/>
          <w:jc w:val="center"/>
        </w:trPr>
        <w:tc>
          <w:tcPr>
            <w:tcW w:w="1665" w:type="dxa"/>
            <w:vMerge w:val="restart"/>
            <w:noWrap w:val="0"/>
            <w:vAlign w:val="center"/>
          </w:tcPr>
          <w:p>
            <w:pPr>
              <w:widowControl/>
              <w:spacing w:line="300" w:lineRule="exact"/>
              <w:jc w:val="center"/>
              <w:rPr>
                <w:rFonts w:ascii="Times New Roman" w:hAnsi="Times New Roman" w:eastAsia="黑体"/>
                <w:bCs/>
                <w:sz w:val="24"/>
              </w:rPr>
            </w:pPr>
            <w:r>
              <w:rPr>
                <w:rFonts w:ascii="Times New Roman" w:eastAsia="黑体"/>
                <w:bCs/>
                <w:sz w:val="24"/>
              </w:rPr>
              <w:t>开发区名称</w:t>
            </w:r>
          </w:p>
        </w:tc>
        <w:tc>
          <w:tcPr>
            <w:tcW w:w="2412" w:type="dxa"/>
            <w:gridSpan w:val="3"/>
            <w:noWrap w:val="0"/>
            <w:vAlign w:val="center"/>
          </w:tcPr>
          <w:p>
            <w:pPr>
              <w:widowControl/>
              <w:spacing w:line="300" w:lineRule="exact"/>
              <w:jc w:val="center"/>
              <w:rPr>
                <w:rFonts w:ascii="Times New Roman" w:hAnsi="Times New Roman" w:eastAsia="黑体"/>
                <w:bCs/>
                <w:sz w:val="24"/>
              </w:rPr>
            </w:pPr>
            <w:r>
              <w:rPr>
                <w:rFonts w:ascii="Times New Roman" w:hAnsi="Times New Roman" w:eastAsia="黑体"/>
                <w:bCs/>
                <w:sz w:val="24"/>
              </w:rPr>
              <w:t>2016</w:t>
            </w:r>
            <w:r>
              <w:rPr>
                <w:rFonts w:ascii="Times New Roman" w:eastAsia="黑体"/>
                <w:bCs/>
                <w:sz w:val="24"/>
              </w:rPr>
              <w:t>年</w:t>
            </w:r>
          </w:p>
        </w:tc>
        <w:tc>
          <w:tcPr>
            <w:tcW w:w="2543" w:type="dxa"/>
            <w:gridSpan w:val="3"/>
            <w:noWrap w:val="0"/>
            <w:vAlign w:val="center"/>
          </w:tcPr>
          <w:p>
            <w:pPr>
              <w:widowControl/>
              <w:spacing w:line="300" w:lineRule="exact"/>
              <w:jc w:val="center"/>
              <w:rPr>
                <w:rFonts w:ascii="Times New Roman" w:hAnsi="Times New Roman" w:eastAsia="黑体"/>
                <w:bCs/>
                <w:sz w:val="24"/>
              </w:rPr>
            </w:pPr>
            <w:r>
              <w:rPr>
                <w:rFonts w:ascii="Times New Roman" w:hAnsi="Times New Roman" w:eastAsia="黑体"/>
                <w:bCs/>
                <w:sz w:val="24"/>
              </w:rPr>
              <w:t>2017</w:t>
            </w:r>
            <w:r>
              <w:rPr>
                <w:rFonts w:ascii="Times New Roman" w:eastAsia="黑体"/>
                <w:bCs/>
                <w:sz w:val="24"/>
              </w:rPr>
              <w:t>年</w:t>
            </w:r>
          </w:p>
        </w:tc>
        <w:tc>
          <w:tcPr>
            <w:tcW w:w="2540" w:type="dxa"/>
            <w:gridSpan w:val="3"/>
            <w:noWrap w:val="0"/>
            <w:vAlign w:val="center"/>
          </w:tcPr>
          <w:p>
            <w:pPr>
              <w:widowControl/>
              <w:spacing w:line="300" w:lineRule="exact"/>
              <w:jc w:val="center"/>
              <w:rPr>
                <w:rFonts w:ascii="Times New Roman" w:hAnsi="Times New Roman" w:eastAsia="黑体"/>
                <w:bCs/>
                <w:sz w:val="24"/>
              </w:rPr>
            </w:pPr>
            <w:r>
              <w:rPr>
                <w:rFonts w:ascii="Times New Roman" w:hAnsi="Times New Roman" w:eastAsia="黑体"/>
                <w:bCs/>
                <w:sz w:val="24"/>
              </w:rPr>
              <w:t>2018</w:t>
            </w:r>
            <w:r>
              <w:rPr>
                <w:rFonts w:ascii="Times New Roman" w:eastAsia="黑体"/>
                <w:bCs/>
                <w:sz w:val="24"/>
              </w:rPr>
              <w:t>年</w:t>
            </w:r>
          </w:p>
        </w:tc>
        <w:tc>
          <w:tcPr>
            <w:tcW w:w="2538" w:type="dxa"/>
            <w:gridSpan w:val="3"/>
            <w:noWrap w:val="0"/>
            <w:vAlign w:val="center"/>
          </w:tcPr>
          <w:p>
            <w:pPr>
              <w:widowControl/>
              <w:spacing w:line="300" w:lineRule="exact"/>
              <w:jc w:val="center"/>
              <w:rPr>
                <w:rFonts w:ascii="Times New Roman" w:hAnsi="Times New Roman" w:eastAsia="黑体"/>
                <w:bCs/>
                <w:sz w:val="24"/>
              </w:rPr>
            </w:pPr>
            <w:r>
              <w:rPr>
                <w:rFonts w:ascii="Times New Roman" w:hAnsi="Times New Roman" w:eastAsia="黑体"/>
                <w:bCs/>
                <w:sz w:val="24"/>
              </w:rPr>
              <w:t>2019</w:t>
            </w:r>
            <w:r>
              <w:rPr>
                <w:rFonts w:ascii="Times New Roman" w:eastAsia="黑体"/>
                <w:bCs/>
                <w:sz w:val="24"/>
              </w:rPr>
              <w:t>年</w:t>
            </w:r>
          </w:p>
        </w:tc>
        <w:tc>
          <w:tcPr>
            <w:tcW w:w="2477" w:type="dxa"/>
            <w:gridSpan w:val="3"/>
            <w:noWrap w:val="0"/>
            <w:vAlign w:val="center"/>
          </w:tcPr>
          <w:p>
            <w:pPr>
              <w:widowControl/>
              <w:spacing w:line="300" w:lineRule="exact"/>
              <w:jc w:val="center"/>
              <w:rPr>
                <w:rFonts w:ascii="Times New Roman" w:hAnsi="Times New Roman" w:eastAsia="黑体"/>
                <w:bCs/>
                <w:sz w:val="24"/>
              </w:rPr>
            </w:pPr>
            <w:r>
              <w:rPr>
                <w:rFonts w:ascii="Times New Roman" w:hAnsi="Times New Roman" w:eastAsia="黑体"/>
                <w:bCs/>
                <w:sz w:val="24"/>
              </w:rPr>
              <w:t>2020</w:t>
            </w:r>
            <w:r>
              <w:rPr>
                <w:rFonts w:ascii="Times New Roman" w:eastAsia="黑体"/>
                <w:bCs/>
                <w:sz w:val="24"/>
              </w:rPr>
              <w:t>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70" w:hRule="atLeast"/>
          <w:jc w:val="center"/>
        </w:trPr>
        <w:tc>
          <w:tcPr>
            <w:tcW w:w="1665" w:type="dxa"/>
            <w:vMerge w:val="continue"/>
            <w:noWrap w:val="0"/>
            <w:vAlign w:val="center"/>
          </w:tcPr>
          <w:p>
            <w:pPr>
              <w:widowControl/>
              <w:spacing w:line="300" w:lineRule="exact"/>
              <w:jc w:val="center"/>
              <w:rPr>
                <w:rFonts w:ascii="Times New Roman" w:hAnsi="Times New Roman" w:eastAsia="黑体"/>
                <w:bCs/>
                <w:sz w:val="24"/>
              </w:rPr>
            </w:pPr>
          </w:p>
        </w:tc>
        <w:tc>
          <w:tcPr>
            <w:tcW w:w="706" w:type="dxa"/>
            <w:noWrap w:val="0"/>
            <w:vAlign w:val="center"/>
          </w:tcPr>
          <w:p>
            <w:pPr>
              <w:widowControl/>
              <w:spacing w:line="300" w:lineRule="exact"/>
              <w:jc w:val="center"/>
              <w:rPr>
                <w:rFonts w:ascii="Times New Roman" w:hAnsi="Times New Roman" w:eastAsia="黑体"/>
                <w:bCs/>
                <w:sz w:val="24"/>
              </w:rPr>
            </w:pPr>
            <w:r>
              <w:rPr>
                <w:rFonts w:ascii="Times New Roman" w:eastAsia="黑体"/>
                <w:bCs/>
                <w:sz w:val="24"/>
              </w:rPr>
              <w:t>全省</w:t>
            </w:r>
          </w:p>
          <w:p>
            <w:pPr>
              <w:widowControl/>
              <w:spacing w:line="300" w:lineRule="exact"/>
              <w:jc w:val="center"/>
              <w:rPr>
                <w:rFonts w:ascii="Times New Roman" w:hAnsi="Times New Roman" w:eastAsia="黑体"/>
                <w:bCs/>
                <w:sz w:val="24"/>
              </w:rPr>
            </w:pPr>
            <w:r>
              <w:rPr>
                <w:rFonts w:ascii="Times New Roman" w:eastAsia="黑体"/>
                <w:bCs/>
                <w:sz w:val="24"/>
              </w:rPr>
              <w:t>排名</w:t>
            </w:r>
          </w:p>
        </w:tc>
        <w:tc>
          <w:tcPr>
            <w:tcW w:w="989" w:type="dxa"/>
            <w:noWrap w:val="0"/>
            <w:vAlign w:val="center"/>
          </w:tcPr>
          <w:p>
            <w:pPr>
              <w:widowControl/>
              <w:spacing w:line="300" w:lineRule="exact"/>
              <w:jc w:val="center"/>
              <w:rPr>
                <w:rFonts w:ascii="Times New Roman" w:hAnsi="Times New Roman" w:eastAsia="黑体"/>
                <w:bCs/>
                <w:sz w:val="24"/>
              </w:rPr>
            </w:pPr>
            <w:r>
              <w:rPr>
                <w:rFonts w:ascii="Times New Roman" w:eastAsia="黑体"/>
                <w:bCs/>
                <w:sz w:val="24"/>
              </w:rPr>
              <w:t>国家级排名</w:t>
            </w:r>
          </w:p>
        </w:tc>
        <w:tc>
          <w:tcPr>
            <w:tcW w:w="717" w:type="dxa"/>
            <w:noWrap w:val="0"/>
            <w:vAlign w:val="center"/>
          </w:tcPr>
          <w:p>
            <w:pPr>
              <w:widowControl/>
              <w:spacing w:line="300" w:lineRule="exact"/>
              <w:jc w:val="center"/>
              <w:rPr>
                <w:rFonts w:ascii="Times New Roman" w:hAnsi="Times New Roman" w:eastAsia="黑体"/>
                <w:bCs/>
                <w:sz w:val="24"/>
              </w:rPr>
            </w:pPr>
            <w:r>
              <w:rPr>
                <w:rFonts w:ascii="Times New Roman" w:eastAsia="黑体"/>
                <w:bCs/>
                <w:sz w:val="24"/>
              </w:rPr>
              <w:t>省级排名</w:t>
            </w:r>
          </w:p>
        </w:tc>
        <w:tc>
          <w:tcPr>
            <w:tcW w:w="848" w:type="dxa"/>
            <w:noWrap w:val="0"/>
            <w:vAlign w:val="center"/>
          </w:tcPr>
          <w:p>
            <w:pPr>
              <w:widowControl/>
              <w:spacing w:line="300" w:lineRule="exact"/>
              <w:jc w:val="center"/>
              <w:rPr>
                <w:rFonts w:ascii="Times New Roman" w:hAnsi="Times New Roman" w:eastAsia="黑体"/>
                <w:bCs/>
                <w:sz w:val="24"/>
              </w:rPr>
            </w:pPr>
            <w:r>
              <w:rPr>
                <w:rFonts w:ascii="Times New Roman" w:eastAsia="黑体"/>
                <w:bCs/>
                <w:sz w:val="24"/>
              </w:rPr>
              <w:t>全省</w:t>
            </w:r>
          </w:p>
          <w:p>
            <w:pPr>
              <w:widowControl/>
              <w:spacing w:line="300" w:lineRule="exact"/>
              <w:jc w:val="center"/>
              <w:rPr>
                <w:rFonts w:ascii="Times New Roman" w:hAnsi="Times New Roman" w:eastAsia="黑体"/>
                <w:bCs/>
                <w:sz w:val="24"/>
              </w:rPr>
            </w:pPr>
            <w:r>
              <w:rPr>
                <w:rFonts w:ascii="Times New Roman" w:eastAsia="黑体"/>
                <w:bCs/>
                <w:sz w:val="24"/>
              </w:rPr>
              <w:t>排名</w:t>
            </w:r>
          </w:p>
        </w:tc>
        <w:tc>
          <w:tcPr>
            <w:tcW w:w="989" w:type="dxa"/>
            <w:noWrap w:val="0"/>
            <w:vAlign w:val="center"/>
          </w:tcPr>
          <w:p>
            <w:pPr>
              <w:widowControl/>
              <w:spacing w:line="300" w:lineRule="exact"/>
              <w:jc w:val="center"/>
              <w:rPr>
                <w:rFonts w:ascii="Times New Roman" w:hAnsi="Times New Roman" w:eastAsia="黑体"/>
                <w:bCs/>
                <w:sz w:val="24"/>
              </w:rPr>
            </w:pPr>
            <w:r>
              <w:rPr>
                <w:rFonts w:ascii="Times New Roman" w:eastAsia="黑体"/>
                <w:bCs/>
                <w:sz w:val="24"/>
              </w:rPr>
              <w:t>国家级排名</w:t>
            </w:r>
          </w:p>
        </w:tc>
        <w:tc>
          <w:tcPr>
            <w:tcW w:w="706" w:type="dxa"/>
            <w:noWrap w:val="0"/>
            <w:vAlign w:val="center"/>
          </w:tcPr>
          <w:p>
            <w:pPr>
              <w:widowControl/>
              <w:spacing w:line="300" w:lineRule="exact"/>
              <w:jc w:val="center"/>
              <w:rPr>
                <w:rFonts w:ascii="Times New Roman" w:hAnsi="Times New Roman" w:eastAsia="黑体"/>
                <w:bCs/>
                <w:sz w:val="24"/>
              </w:rPr>
            </w:pPr>
            <w:r>
              <w:rPr>
                <w:rFonts w:ascii="Times New Roman" w:eastAsia="黑体"/>
                <w:bCs/>
                <w:sz w:val="24"/>
              </w:rPr>
              <w:t>省级</w:t>
            </w:r>
          </w:p>
          <w:p>
            <w:pPr>
              <w:widowControl/>
              <w:spacing w:line="300" w:lineRule="exact"/>
              <w:jc w:val="center"/>
              <w:rPr>
                <w:rFonts w:ascii="Times New Roman" w:hAnsi="Times New Roman" w:eastAsia="黑体"/>
                <w:bCs/>
                <w:sz w:val="24"/>
              </w:rPr>
            </w:pPr>
            <w:r>
              <w:rPr>
                <w:rFonts w:ascii="Times New Roman" w:eastAsia="黑体"/>
                <w:bCs/>
                <w:sz w:val="24"/>
              </w:rPr>
              <w:t>排名</w:t>
            </w:r>
          </w:p>
        </w:tc>
        <w:tc>
          <w:tcPr>
            <w:tcW w:w="848" w:type="dxa"/>
            <w:noWrap w:val="0"/>
            <w:vAlign w:val="center"/>
          </w:tcPr>
          <w:p>
            <w:pPr>
              <w:widowControl/>
              <w:spacing w:line="300" w:lineRule="exact"/>
              <w:jc w:val="center"/>
              <w:rPr>
                <w:rFonts w:ascii="Times New Roman" w:hAnsi="Times New Roman" w:eastAsia="黑体"/>
                <w:bCs/>
                <w:sz w:val="24"/>
              </w:rPr>
            </w:pPr>
            <w:r>
              <w:rPr>
                <w:rFonts w:ascii="Times New Roman" w:eastAsia="黑体"/>
                <w:bCs/>
                <w:sz w:val="24"/>
              </w:rPr>
              <w:t>全省</w:t>
            </w:r>
          </w:p>
          <w:p>
            <w:pPr>
              <w:widowControl/>
              <w:spacing w:line="300" w:lineRule="exact"/>
              <w:jc w:val="center"/>
              <w:rPr>
                <w:rFonts w:ascii="Times New Roman" w:hAnsi="Times New Roman" w:eastAsia="黑体"/>
                <w:bCs/>
                <w:sz w:val="24"/>
              </w:rPr>
            </w:pPr>
            <w:r>
              <w:rPr>
                <w:rFonts w:ascii="Times New Roman" w:eastAsia="黑体"/>
                <w:bCs/>
                <w:sz w:val="24"/>
              </w:rPr>
              <w:t>排名</w:t>
            </w:r>
          </w:p>
        </w:tc>
        <w:tc>
          <w:tcPr>
            <w:tcW w:w="989" w:type="dxa"/>
            <w:noWrap w:val="0"/>
            <w:vAlign w:val="center"/>
          </w:tcPr>
          <w:p>
            <w:pPr>
              <w:widowControl/>
              <w:spacing w:line="300" w:lineRule="exact"/>
              <w:jc w:val="center"/>
              <w:rPr>
                <w:rFonts w:ascii="Times New Roman" w:hAnsi="Times New Roman" w:eastAsia="黑体"/>
                <w:bCs/>
                <w:sz w:val="24"/>
              </w:rPr>
            </w:pPr>
            <w:r>
              <w:rPr>
                <w:rFonts w:ascii="Times New Roman" w:eastAsia="黑体"/>
                <w:bCs/>
                <w:sz w:val="24"/>
              </w:rPr>
              <w:t>国家级</w:t>
            </w:r>
          </w:p>
          <w:p>
            <w:pPr>
              <w:widowControl/>
              <w:spacing w:line="300" w:lineRule="exact"/>
              <w:jc w:val="center"/>
              <w:rPr>
                <w:rFonts w:ascii="Times New Roman" w:hAnsi="Times New Roman" w:eastAsia="黑体"/>
                <w:bCs/>
                <w:sz w:val="24"/>
              </w:rPr>
            </w:pPr>
            <w:r>
              <w:rPr>
                <w:rFonts w:ascii="Times New Roman" w:eastAsia="黑体"/>
                <w:bCs/>
                <w:sz w:val="24"/>
              </w:rPr>
              <w:t>排名</w:t>
            </w:r>
          </w:p>
        </w:tc>
        <w:tc>
          <w:tcPr>
            <w:tcW w:w="703" w:type="dxa"/>
            <w:noWrap w:val="0"/>
            <w:vAlign w:val="center"/>
          </w:tcPr>
          <w:p>
            <w:pPr>
              <w:widowControl/>
              <w:spacing w:line="300" w:lineRule="exact"/>
              <w:jc w:val="center"/>
              <w:rPr>
                <w:rFonts w:hint="eastAsia" w:ascii="Times New Roman" w:eastAsia="黑体"/>
                <w:bCs/>
                <w:sz w:val="24"/>
              </w:rPr>
            </w:pPr>
            <w:r>
              <w:rPr>
                <w:rFonts w:ascii="Times New Roman" w:eastAsia="黑体"/>
                <w:bCs/>
                <w:sz w:val="24"/>
              </w:rPr>
              <w:t>省级</w:t>
            </w:r>
          </w:p>
          <w:p>
            <w:pPr>
              <w:widowControl/>
              <w:spacing w:line="300" w:lineRule="exact"/>
              <w:jc w:val="center"/>
              <w:rPr>
                <w:rFonts w:ascii="Times New Roman" w:eastAsia="黑体"/>
                <w:bCs/>
                <w:sz w:val="24"/>
              </w:rPr>
            </w:pPr>
            <w:r>
              <w:rPr>
                <w:rFonts w:ascii="Times New Roman" w:eastAsia="黑体"/>
                <w:bCs/>
                <w:sz w:val="24"/>
              </w:rPr>
              <w:t>排名</w:t>
            </w:r>
          </w:p>
        </w:tc>
        <w:tc>
          <w:tcPr>
            <w:tcW w:w="848" w:type="dxa"/>
            <w:noWrap w:val="0"/>
            <w:vAlign w:val="center"/>
          </w:tcPr>
          <w:p>
            <w:pPr>
              <w:widowControl/>
              <w:spacing w:line="300" w:lineRule="exact"/>
              <w:jc w:val="center"/>
              <w:rPr>
                <w:rFonts w:ascii="Times New Roman" w:hAnsi="Times New Roman" w:eastAsia="黑体"/>
                <w:bCs/>
                <w:sz w:val="24"/>
              </w:rPr>
            </w:pPr>
            <w:r>
              <w:rPr>
                <w:rFonts w:ascii="Times New Roman" w:eastAsia="黑体"/>
                <w:bCs/>
                <w:sz w:val="24"/>
              </w:rPr>
              <w:t>全省</w:t>
            </w:r>
          </w:p>
          <w:p>
            <w:pPr>
              <w:widowControl/>
              <w:spacing w:line="300" w:lineRule="exact"/>
              <w:jc w:val="center"/>
              <w:rPr>
                <w:rFonts w:ascii="Times New Roman" w:hAnsi="Times New Roman" w:eastAsia="黑体"/>
                <w:bCs/>
                <w:sz w:val="24"/>
              </w:rPr>
            </w:pPr>
            <w:r>
              <w:rPr>
                <w:rFonts w:ascii="Times New Roman" w:eastAsia="黑体"/>
                <w:bCs/>
                <w:sz w:val="24"/>
              </w:rPr>
              <w:t>排名</w:t>
            </w:r>
          </w:p>
        </w:tc>
        <w:tc>
          <w:tcPr>
            <w:tcW w:w="984" w:type="dxa"/>
            <w:noWrap w:val="0"/>
            <w:vAlign w:val="center"/>
          </w:tcPr>
          <w:p>
            <w:pPr>
              <w:widowControl/>
              <w:spacing w:line="300" w:lineRule="exact"/>
              <w:jc w:val="center"/>
              <w:rPr>
                <w:rFonts w:ascii="Times New Roman" w:hAnsi="Times New Roman" w:eastAsia="黑体"/>
                <w:bCs/>
                <w:sz w:val="24"/>
              </w:rPr>
            </w:pPr>
            <w:r>
              <w:rPr>
                <w:rFonts w:ascii="Times New Roman" w:eastAsia="黑体"/>
                <w:bCs/>
                <w:sz w:val="24"/>
              </w:rPr>
              <w:t>国家级</w:t>
            </w:r>
          </w:p>
          <w:p>
            <w:pPr>
              <w:widowControl/>
              <w:spacing w:line="300" w:lineRule="exact"/>
              <w:jc w:val="center"/>
              <w:rPr>
                <w:rFonts w:ascii="Times New Roman" w:hAnsi="Times New Roman" w:eastAsia="黑体"/>
                <w:bCs/>
                <w:sz w:val="24"/>
              </w:rPr>
            </w:pPr>
            <w:r>
              <w:rPr>
                <w:rFonts w:ascii="Times New Roman" w:eastAsia="黑体"/>
                <w:bCs/>
                <w:sz w:val="24"/>
              </w:rPr>
              <w:t>排名</w:t>
            </w:r>
          </w:p>
        </w:tc>
        <w:tc>
          <w:tcPr>
            <w:tcW w:w="706" w:type="dxa"/>
            <w:noWrap w:val="0"/>
            <w:vAlign w:val="center"/>
          </w:tcPr>
          <w:p>
            <w:pPr>
              <w:widowControl/>
              <w:spacing w:line="300" w:lineRule="exact"/>
              <w:jc w:val="center"/>
              <w:rPr>
                <w:rFonts w:ascii="Times New Roman" w:hAnsi="Times New Roman" w:eastAsia="黑体"/>
                <w:bCs/>
                <w:sz w:val="24"/>
              </w:rPr>
            </w:pPr>
            <w:r>
              <w:rPr>
                <w:rFonts w:ascii="Times New Roman" w:eastAsia="黑体"/>
                <w:bCs/>
                <w:sz w:val="24"/>
              </w:rPr>
              <w:t>省级排名</w:t>
            </w:r>
          </w:p>
        </w:tc>
        <w:tc>
          <w:tcPr>
            <w:tcW w:w="706" w:type="dxa"/>
            <w:noWrap w:val="0"/>
            <w:vAlign w:val="center"/>
          </w:tcPr>
          <w:p>
            <w:pPr>
              <w:widowControl/>
              <w:spacing w:line="300" w:lineRule="exact"/>
              <w:jc w:val="center"/>
              <w:rPr>
                <w:rFonts w:ascii="Times New Roman" w:hAnsi="Times New Roman" w:eastAsia="黑体"/>
                <w:bCs/>
                <w:sz w:val="24"/>
              </w:rPr>
            </w:pPr>
            <w:r>
              <w:rPr>
                <w:rFonts w:ascii="Times New Roman" w:eastAsia="黑体"/>
                <w:bCs/>
                <w:sz w:val="24"/>
              </w:rPr>
              <w:t>全省</w:t>
            </w:r>
          </w:p>
          <w:p>
            <w:pPr>
              <w:widowControl/>
              <w:spacing w:line="300" w:lineRule="exact"/>
              <w:jc w:val="center"/>
              <w:rPr>
                <w:rFonts w:ascii="Times New Roman" w:hAnsi="Times New Roman" w:eastAsia="黑体"/>
                <w:bCs/>
                <w:sz w:val="24"/>
              </w:rPr>
            </w:pPr>
            <w:r>
              <w:rPr>
                <w:rFonts w:ascii="Times New Roman" w:eastAsia="黑体"/>
                <w:bCs/>
                <w:sz w:val="24"/>
              </w:rPr>
              <w:t>排名</w:t>
            </w:r>
          </w:p>
        </w:tc>
        <w:tc>
          <w:tcPr>
            <w:tcW w:w="989" w:type="dxa"/>
            <w:noWrap w:val="0"/>
            <w:vAlign w:val="center"/>
          </w:tcPr>
          <w:p>
            <w:pPr>
              <w:widowControl/>
              <w:spacing w:line="300" w:lineRule="exact"/>
              <w:jc w:val="center"/>
              <w:rPr>
                <w:rFonts w:ascii="Times New Roman" w:hAnsi="Times New Roman" w:eastAsia="黑体"/>
                <w:bCs/>
                <w:sz w:val="24"/>
              </w:rPr>
            </w:pPr>
            <w:r>
              <w:rPr>
                <w:rFonts w:ascii="Times New Roman" w:eastAsia="黑体"/>
                <w:bCs/>
                <w:sz w:val="24"/>
              </w:rPr>
              <w:t>国家级</w:t>
            </w:r>
          </w:p>
          <w:p>
            <w:pPr>
              <w:widowControl/>
              <w:spacing w:line="300" w:lineRule="exact"/>
              <w:jc w:val="center"/>
              <w:rPr>
                <w:rFonts w:ascii="Times New Roman" w:hAnsi="Times New Roman" w:eastAsia="黑体"/>
                <w:bCs/>
                <w:sz w:val="24"/>
              </w:rPr>
            </w:pPr>
            <w:r>
              <w:rPr>
                <w:rFonts w:ascii="Times New Roman" w:eastAsia="黑体"/>
                <w:bCs/>
                <w:sz w:val="24"/>
              </w:rPr>
              <w:t>排名</w:t>
            </w:r>
          </w:p>
        </w:tc>
        <w:tc>
          <w:tcPr>
            <w:tcW w:w="782" w:type="dxa"/>
            <w:noWrap w:val="0"/>
            <w:vAlign w:val="center"/>
          </w:tcPr>
          <w:p>
            <w:pPr>
              <w:widowControl/>
              <w:spacing w:line="300" w:lineRule="exact"/>
              <w:jc w:val="center"/>
              <w:rPr>
                <w:rFonts w:ascii="Times New Roman" w:hAnsi="Times New Roman" w:eastAsia="黑体"/>
                <w:bCs/>
                <w:sz w:val="24"/>
              </w:rPr>
            </w:pPr>
            <w:r>
              <w:rPr>
                <w:rFonts w:ascii="Times New Roman" w:eastAsia="黑体"/>
                <w:bCs/>
                <w:sz w:val="24"/>
              </w:rPr>
              <w:t>省级排名</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665" w:type="dxa"/>
            <w:noWrap w:val="0"/>
            <w:vAlign w:val="center"/>
          </w:tcPr>
          <w:p>
            <w:pPr>
              <w:widowControl/>
              <w:jc w:val="center"/>
              <w:rPr>
                <w:rFonts w:ascii="Times New Roman" w:hAnsi="Times New Roman"/>
                <w:bCs/>
                <w:sz w:val="24"/>
              </w:rPr>
            </w:pPr>
            <w:r>
              <w:rPr>
                <w:rFonts w:ascii="Times New Roman"/>
                <w:bCs/>
                <w:sz w:val="24"/>
              </w:rPr>
              <w:t>常州高新区</w:t>
            </w:r>
          </w:p>
        </w:tc>
        <w:tc>
          <w:tcPr>
            <w:tcW w:w="706" w:type="dxa"/>
            <w:noWrap w:val="0"/>
            <w:vAlign w:val="center"/>
          </w:tcPr>
          <w:p>
            <w:pPr>
              <w:jc w:val="center"/>
              <w:rPr>
                <w:rFonts w:ascii="Times New Roman" w:hAnsi="Times New Roman"/>
                <w:sz w:val="22"/>
              </w:rPr>
            </w:pPr>
            <w:r>
              <w:rPr>
                <w:rFonts w:ascii="Times New Roman" w:hAnsi="Times New Roman"/>
                <w:sz w:val="22"/>
              </w:rPr>
              <w:t>4</w:t>
            </w:r>
          </w:p>
        </w:tc>
        <w:tc>
          <w:tcPr>
            <w:tcW w:w="989" w:type="dxa"/>
            <w:noWrap w:val="0"/>
            <w:vAlign w:val="center"/>
          </w:tcPr>
          <w:p>
            <w:pPr>
              <w:jc w:val="center"/>
              <w:rPr>
                <w:rFonts w:ascii="Times New Roman" w:hAnsi="Times New Roman"/>
                <w:sz w:val="22"/>
              </w:rPr>
            </w:pPr>
            <w:r>
              <w:rPr>
                <w:rFonts w:ascii="Times New Roman" w:hAnsi="Times New Roman"/>
                <w:sz w:val="22"/>
              </w:rPr>
              <w:t>25</w:t>
            </w:r>
          </w:p>
        </w:tc>
        <w:tc>
          <w:tcPr>
            <w:tcW w:w="717" w:type="dxa"/>
            <w:noWrap w:val="0"/>
            <w:vAlign w:val="center"/>
          </w:tcPr>
          <w:p>
            <w:pPr>
              <w:jc w:val="center"/>
              <w:rPr>
                <w:rFonts w:ascii="Times New Roman" w:hAnsi="Times New Roman"/>
                <w:sz w:val="22"/>
              </w:rPr>
            </w:pPr>
            <w:r>
              <w:rPr>
                <w:rFonts w:ascii="Times New Roman" w:hAnsi="Times New Roman"/>
                <w:sz w:val="22"/>
              </w:rPr>
              <w:t>——</w:t>
            </w:r>
          </w:p>
        </w:tc>
        <w:tc>
          <w:tcPr>
            <w:tcW w:w="848" w:type="dxa"/>
            <w:noWrap w:val="0"/>
            <w:vAlign w:val="center"/>
          </w:tcPr>
          <w:p>
            <w:pPr>
              <w:jc w:val="center"/>
              <w:rPr>
                <w:rFonts w:ascii="Times New Roman" w:hAnsi="Times New Roman"/>
                <w:sz w:val="22"/>
              </w:rPr>
            </w:pPr>
            <w:r>
              <w:rPr>
                <w:rFonts w:ascii="Times New Roman" w:hAnsi="Times New Roman"/>
                <w:sz w:val="22"/>
              </w:rPr>
              <w:t>3</w:t>
            </w:r>
          </w:p>
        </w:tc>
        <w:tc>
          <w:tcPr>
            <w:tcW w:w="989" w:type="dxa"/>
            <w:noWrap w:val="0"/>
            <w:vAlign w:val="center"/>
          </w:tcPr>
          <w:p>
            <w:pPr>
              <w:jc w:val="center"/>
              <w:rPr>
                <w:rFonts w:ascii="Times New Roman" w:hAnsi="Times New Roman"/>
                <w:sz w:val="22"/>
              </w:rPr>
            </w:pPr>
            <w:r>
              <w:rPr>
                <w:rFonts w:ascii="Times New Roman" w:hAnsi="Times New Roman"/>
                <w:sz w:val="22"/>
              </w:rPr>
              <w:t>28</w:t>
            </w:r>
          </w:p>
        </w:tc>
        <w:tc>
          <w:tcPr>
            <w:tcW w:w="706" w:type="dxa"/>
            <w:noWrap w:val="0"/>
            <w:vAlign w:val="center"/>
          </w:tcPr>
          <w:p>
            <w:pPr>
              <w:jc w:val="center"/>
              <w:rPr>
                <w:rFonts w:ascii="Times New Roman" w:hAnsi="Times New Roman"/>
                <w:sz w:val="22"/>
              </w:rPr>
            </w:pPr>
            <w:r>
              <w:rPr>
                <w:rFonts w:ascii="Times New Roman" w:hAnsi="Times New Roman"/>
                <w:sz w:val="22"/>
              </w:rPr>
              <w:t>——</w:t>
            </w:r>
          </w:p>
        </w:tc>
        <w:tc>
          <w:tcPr>
            <w:tcW w:w="848" w:type="dxa"/>
            <w:noWrap w:val="0"/>
            <w:vAlign w:val="center"/>
          </w:tcPr>
          <w:p>
            <w:pPr>
              <w:jc w:val="center"/>
              <w:rPr>
                <w:rFonts w:ascii="Times New Roman" w:hAnsi="Times New Roman"/>
                <w:sz w:val="22"/>
              </w:rPr>
            </w:pPr>
            <w:r>
              <w:rPr>
                <w:rFonts w:ascii="Times New Roman" w:hAnsi="Times New Roman"/>
                <w:sz w:val="22"/>
              </w:rPr>
              <w:t>5</w:t>
            </w:r>
          </w:p>
        </w:tc>
        <w:tc>
          <w:tcPr>
            <w:tcW w:w="989" w:type="dxa"/>
            <w:noWrap w:val="0"/>
            <w:vAlign w:val="center"/>
          </w:tcPr>
          <w:p>
            <w:pPr>
              <w:jc w:val="center"/>
              <w:rPr>
                <w:rFonts w:ascii="Times New Roman" w:hAnsi="Times New Roman"/>
                <w:sz w:val="22"/>
              </w:rPr>
            </w:pPr>
            <w:r>
              <w:rPr>
                <w:rFonts w:ascii="Times New Roman" w:hAnsi="Times New Roman"/>
                <w:sz w:val="22"/>
              </w:rPr>
              <w:t>24</w:t>
            </w:r>
          </w:p>
        </w:tc>
        <w:tc>
          <w:tcPr>
            <w:tcW w:w="703" w:type="dxa"/>
            <w:noWrap w:val="0"/>
            <w:vAlign w:val="center"/>
          </w:tcPr>
          <w:p>
            <w:pPr>
              <w:jc w:val="center"/>
              <w:rPr>
                <w:rFonts w:ascii="Times New Roman" w:hAnsi="Times New Roman"/>
                <w:sz w:val="22"/>
              </w:rPr>
            </w:pPr>
            <w:r>
              <w:rPr>
                <w:rFonts w:ascii="Times New Roman" w:hAnsi="Times New Roman"/>
                <w:sz w:val="22"/>
              </w:rPr>
              <w:t>——</w:t>
            </w:r>
          </w:p>
        </w:tc>
        <w:tc>
          <w:tcPr>
            <w:tcW w:w="848" w:type="dxa"/>
            <w:noWrap w:val="0"/>
            <w:vAlign w:val="center"/>
          </w:tcPr>
          <w:p>
            <w:pPr>
              <w:jc w:val="center"/>
              <w:rPr>
                <w:rFonts w:ascii="Times New Roman" w:hAnsi="Times New Roman"/>
                <w:sz w:val="22"/>
              </w:rPr>
            </w:pPr>
            <w:r>
              <w:rPr>
                <w:rFonts w:ascii="Times New Roman" w:hAnsi="Times New Roman"/>
                <w:sz w:val="22"/>
              </w:rPr>
              <w:t>3</w:t>
            </w:r>
          </w:p>
        </w:tc>
        <w:tc>
          <w:tcPr>
            <w:tcW w:w="984" w:type="dxa"/>
            <w:noWrap w:val="0"/>
            <w:vAlign w:val="center"/>
          </w:tcPr>
          <w:p>
            <w:pPr>
              <w:jc w:val="center"/>
              <w:rPr>
                <w:rFonts w:ascii="Times New Roman" w:hAnsi="Times New Roman"/>
                <w:sz w:val="22"/>
              </w:rPr>
            </w:pPr>
            <w:r>
              <w:rPr>
                <w:rFonts w:ascii="Times New Roman" w:hAnsi="Times New Roman"/>
                <w:sz w:val="22"/>
              </w:rPr>
              <w:t>23</w:t>
            </w:r>
          </w:p>
        </w:tc>
        <w:tc>
          <w:tcPr>
            <w:tcW w:w="706" w:type="dxa"/>
            <w:noWrap w:val="0"/>
            <w:vAlign w:val="center"/>
          </w:tcPr>
          <w:p>
            <w:pPr>
              <w:jc w:val="center"/>
              <w:rPr>
                <w:rFonts w:ascii="Times New Roman" w:hAnsi="Times New Roman"/>
                <w:sz w:val="22"/>
              </w:rPr>
            </w:pPr>
            <w:r>
              <w:rPr>
                <w:rFonts w:ascii="Times New Roman" w:hAnsi="Times New Roman"/>
                <w:sz w:val="22"/>
              </w:rPr>
              <w:t>——</w:t>
            </w:r>
          </w:p>
        </w:tc>
        <w:tc>
          <w:tcPr>
            <w:tcW w:w="706" w:type="dxa"/>
            <w:noWrap w:val="0"/>
            <w:vAlign w:val="center"/>
          </w:tcPr>
          <w:p>
            <w:pPr>
              <w:jc w:val="center"/>
              <w:rPr>
                <w:rFonts w:ascii="Times New Roman" w:hAnsi="Times New Roman"/>
                <w:sz w:val="22"/>
              </w:rPr>
            </w:pPr>
            <w:r>
              <w:rPr>
                <w:rFonts w:ascii="Times New Roman" w:hAnsi="Times New Roman"/>
                <w:sz w:val="22"/>
              </w:rPr>
              <w:t>4</w:t>
            </w:r>
          </w:p>
        </w:tc>
        <w:tc>
          <w:tcPr>
            <w:tcW w:w="989" w:type="dxa"/>
            <w:noWrap w:val="0"/>
            <w:vAlign w:val="center"/>
          </w:tcPr>
          <w:p>
            <w:pPr>
              <w:jc w:val="center"/>
              <w:rPr>
                <w:rFonts w:ascii="Times New Roman" w:hAnsi="Times New Roman"/>
                <w:sz w:val="22"/>
              </w:rPr>
            </w:pPr>
          </w:p>
        </w:tc>
        <w:tc>
          <w:tcPr>
            <w:tcW w:w="782" w:type="dxa"/>
            <w:noWrap w:val="0"/>
            <w:vAlign w:val="center"/>
          </w:tcPr>
          <w:p>
            <w:pPr>
              <w:jc w:val="center"/>
              <w:rPr>
                <w:rFonts w:ascii="Times New Roman" w:hAnsi="Times New Roman"/>
                <w:sz w:val="22"/>
              </w:rPr>
            </w:pPr>
            <w:r>
              <w:rPr>
                <w:rFonts w:ascii="Times New Roman" w:hAnsi="Times New Roman"/>
                <w:sz w:val="22"/>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665" w:type="dxa"/>
            <w:noWrap w:val="0"/>
            <w:vAlign w:val="center"/>
          </w:tcPr>
          <w:p>
            <w:pPr>
              <w:widowControl/>
              <w:jc w:val="center"/>
              <w:rPr>
                <w:rFonts w:ascii="Times New Roman" w:hAnsi="Times New Roman"/>
                <w:bCs/>
                <w:sz w:val="24"/>
              </w:rPr>
            </w:pPr>
            <w:r>
              <w:rPr>
                <w:rFonts w:ascii="Times New Roman"/>
                <w:bCs/>
                <w:sz w:val="24"/>
              </w:rPr>
              <w:t>武进高新区</w:t>
            </w:r>
          </w:p>
        </w:tc>
        <w:tc>
          <w:tcPr>
            <w:tcW w:w="706" w:type="dxa"/>
            <w:noWrap w:val="0"/>
            <w:vAlign w:val="center"/>
          </w:tcPr>
          <w:p>
            <w:pPr>
              <w:jc w:val="center"/>
              <w:rPr>
                <w:rFonts w:ascii="Times New Roman" w:hAnsi="Times New Roman"/>
                <w:sz w:val="22"/>
              </w:rPr>
            </w:pPr>
            <w:r>
              <w:rPr>
                <w:rFonts w:ascii="Times New Roman" w:hAnsi="Times New Roman"/>
                <w:sz w:val="22"/>
              </w:rPr>
              <w:t>6</w:t>
            </w:r>
          </w:p>
        </w:tc>
        <w:tc>
          <w:tcPr>
            <w:tcW w:w="989" w:type="dxa"/>
            <w:noWrap w:val="0"/>
            <w:vAlign w:val="center"/>
          </w:tcPr>
          <w:p>
            <w:pPr>
              <w:jc w:val="center"/>
              <w:rPr>
                <w:rFonts w:ascii="Times New Roman" w:hAnsi="Times New Roman"/>
                <w:sz w:val="22"/>
              </w:rPr>
            </w:pPr>
            <w:r>
              <w:rPr>
                <w:rFonts w:ascii="Times New Roman" w:hAnsi="Times New Roman"/>
                <w:sz w:val="22"/>
              </w:rPr>
              <w:t>51</w:t>
            </w:r>
          </w:p>
        </w:tc>
        <w:tc>
          <w:tcPr>
            <w:tcW w:w="717" w:type="dxa"/>
            <w:noWrap w:val="0"/>
            <w:vAlign w:val="center"/>
          </w:tcPr>
          <w:p>
            <w:pPr>
              <w:jc w:val="center"/>
              <w:rPr>
                <w:rFonts w:ascii="Times New Roman" w:hAnsi="Times New Roman"/>
                <w:sz w:val="22"/>
              </w:rPr>
            </w:pPr>
            <w:r>
              <w:rPr>
                <w:rFonts w:ascii="Times New Roman" w:hAnsi="Times New Roman"/>
                <w:sz w:val="22"/>
              </w:rPr>
              <w:t>——</w:t>
            </w:r>
          </w:p>
        </w:tc>
        <w:tc>
          <w:tcPr>
            <w:tcW w:w="848" w:type="dxa"/>
            <w:noWrap w:val="0"/>
            <w:vAlign w:val="center"/>
          </w:tcPr>
          <w:p>
            <w:pPr>
              <w:jc w:val="center"/>
              <w:rPr>
                <w:rFonts w:ascii="Times New Roman" w:hAnsi="Times New Roman"/>
                <w:sz w:val="22"/>
              </w:rPr>
            </w:pPr>
            <w:r>
              <w:rPr>
                <w:rFonts w:ascii="Times New Roman" w:hAnsi="Times New Roman"/>
                <w:sz w:val="22"/>
              </w:rPr>
              <w:t>7</w:t>
            </w:r>
          </w:p>
        </w:tc>
        <w:tc>
          <w:tcPr>
            <w:tcW w:w="989" w:type="dxa"/>
            <w:noWrap w:val="0"/>
            <w:vAlign w:val="center"/>
          </w:tcPr>
          <w:p>
            <w:pPr>
              <w:jc w:val="center"/>
              <w:rPr>
                <w:rFonts w:ascii="Times New Roman" w:hAnsi="Times New Roman"/>
                <w:sz w:val="22"/>
              </w:rPr>
            </w:pPr>
            <w:r>
              <w:rPr>
                <w:rFonts w:ascii="Times New Roman" w:hAnsi="Times New Roman"/>
                <w:sz w:val="22"/>
              </w:rPr>
              <w:t>45</w:t>
            </w:r>
          </w:p>
        </w:tc>
        <w:tc>
          <w:tcPr>
            <w:tcW w:w="706" w:type="dxa"/>
            <w:noWrap w:val="0"/>
            <w:vAlign w:val="center"/>
          </w:tcPr>
          <w:p>
            <w:pPr>
              <w:jc w:val="center"/>
              <w:rPr>
                <w:rFonts w:ascii="Times New Roman" w:hAnsi="Times New Roman"/>
                <w:sz w:val="22"/>
              </w:rPr>
            </w:pPr>
            <w:r>
              <w:rPr>
                <w:rFonts w:ascii="Times New Roman" w:hAnsi="Times New Roman"/>
                <w:sz w:val="22"/>
              </w:rPr>
              <w:t>——</w:t>
            </w:r>
          </w:p>
        </w:tc>
        <w:tc>
          <w:tcPr>
            <w:tcW w:w="848" w:type="dxa"/>
            <w:noWrap w:val="0"/>
            <w:vAlign w:val="center"/>
          </w:tcPr>
          <w:p>
            <w:pPr>
              <w:jc w:val="center"/>
              <w:rPr>
                <w:rFonts w:ascii="Times New Roman" w:hAnsi="Times New Roman"/>
                <w:sz w:val="22"/>
              </w:rPr>
            </w:pPr>
            <w:r>
              <w:rPr>
                <w:rFonts w:ascii="Times New Roman" w:hAnsi="Times New Roman"/>
                <w:sz w:val="22"/>
              </w:rPr>
              <w:t>8</w:t>
            </w:r>
          </w:p>
        </w:tc>
        <w:tc>
          <w:tcPr>
            <w:tcW w:w="989" w:type="dxa"/>
            <w:noWrap w:val="0"/>
            <w:vAlign w:val="center"/>
          </w:tcPr>
          <w:p>
            <w:pPr>
              <w:jc w:val="center"/>
              <w:rPr>
                <w:rFonts w:ascii="Times New Roman" w:hAnsi="Times New Roman"/>
                <w:sz w:val="22"/>
              </w:rPr>
            </w:pPr>
            <w:r>
              <w:rPr>
                <w:rFonts w:ascii="Times New Roman" w:hAnsi="Times New Roman"/>
                <w:sz w:val="22"/>
              </w:rPr>
              <w:t>39</w:t>
            </w:r>
          </w:p>
        </w:tc>
        <w:tc>
          <w:tcPr>
            <w:tcW w:w="703" w:type="dxa"/>
            <w:noWrap w:val="0"/>
            <w:vAlign w:val="center"/>
          </w:tcPr>
          <w:p>
            <w:pPr>
              <w:jc w:val="center"/>
              <w:rPr>
                <w:rFonts w:ascii="Times New Roman" w:hAnsi="Times New Roman"/>
                <w:sz w:val="22"/>
              </w:rPr>
            </w:pPr>
            <w:r>
              <w:rPr>
                <w:rFonts w:ascii="Times New Roman" w:hAnsi="Times New Roman"/>
                <w:sz w:val="22"/>
              </w:rPr>
              <w:t>——</w:t>
            </w:r>
          </w:p>
        </w:tc>
        <w:tc>
          <w:tcPr>
            <w:tcW w:w="848" w:type="dxa"/>
            <w:noWrap w:val="0"/>
            <w:vAlign w:val="center"/>
          </w:tcPr>
          <w:p>
            <w:pPr>
              <w:jc w:val="center"/>
              <w:rPr>
                <w:rFonts w:ascii="Times New Roman" w:hAnsi="Times New Roman"/>
                <w:sz w:val="22"/>
              </w:rPr>
            </w:pPr>
            <w:r>
              <w:rPr>
                <w:rFonts w:ascii="Times New Roman" w:hAnsi="Times New Roman"/>
                <w:sz w:val="22"/>
              </w:rPr>
              <w:t>11</w:t>
            </w:r>
          </w:p>
        </w:tc>
        <w:tc>
          <w:tcPr>
            <w:tcW w:w="984" w:type="dxa"/>
            <w:noWrap w:val="0"/>
            <w:vAlign w:val="center"/>
          </w:tcPr>
          <w:p>
            <w:pPr>
              <w:jc w:val="center"/>
              <w:rPr>
                <w:rFonts w:ascii="Times New Roman" w:hAnsi="Times New Roman"/>
                <w:sz w:val="22"/>
              </w:rPr>
            </w:pPr>
            <w:r>
              <w:rPr>
                <w:rFonts w:ascii="Times New Roman" w:hAnsi="Times New Roman"/>
                <w:sz w:val="22"/>
              </w:rPr>
              <w:t>38</w:t>
            </w:r>
          </w:p>
        </w:tc>
        <w:tc>
          <w:tcPr>
            <w:tcW w:w="706" w:type="dxa"/>
            <w:noWrap w:val="0"/>
            <w:vAlign w:val="center"/>
          </w:tcPr>
          <w:p>
            <w:pPr>
              <w:jc w:val="center"/>
              <w:rPr>
                <w:rFonts w:ascii="Times New Roman" w:hAnsi="Times New Roman"/>
                <w:sz w:val="22"/>
              </w:rPr>
            </w:pPr>
            <w:r>
              <w:rPr>
                <w:rFonts w:ascii="Times New Roman" w:hAnsi="Times New Roman"/>
                <w:sz w:val="22"/>
              </w:rPr>
              <w:t>——</w:t>
            </w:r>
          </w:p>
        </w:tc>
        <w:tc>
          <w:tcPr>
            <w:tcW w:w="706" w:type="dxa"/>
            <w:noWrap w:val="0"/>
            <w:vAlign w:val="center"/>
          </w:tcPr>
          <w:p>
            <w:pPr>
              <w:jc w:val="center"/>
              <w:rPr>
                <w:rFonts w:ascii="Times New Roman" w:hAnsi="Times New Roman"/>
                <w:sz w:val="22"/>
              </w:rPr>
            </w:pPr>
            <w:r>
              <w:rPr>
                <w:rFonts w:ascii="Times New Roman" w:hAnsi="Times New Roman"/>
                <w:sz w:val="22"/>
              </w:rPr>
              <w:t>9</w:t>
            </w:r>
          </w:p>
        </w:tc>
        <w:tc>
          <w:tcPr>
            <w:tcW w:w="989" w:type="dxa"/>
            <w:noWrap w:val="0"/>
            <w:vAlign w:val="center"/>
          </w:tcPr>
          <w:p>
            <w:pPr>
              <w:jc w:val="center"/>
              <w:rPr>
                <w:rFonts w:ascii="Times New Roman" w:hAnsi="Times New Roman"/>
                <w:sz w:val="22"/>
              </w:rPr>
            </w:pPr>
          </w:p>
        </w:tc>
        <w:tc>
          <w:tcPr>
            <w:tcW w:w="782" w:type="dxa"/>
            <w:noWrap w:val="0"/>
            <w:vAlign w:val="center"/>
          </w:tcPr>
          <w:p>
            <w:pPr>
              <w:jc w:val="center"/>
              <w:rPr>
                <w:rFonts w:ascii="Times New Roman" w:hAnsi="Times New Roman"/>
                <w:sz w:val="22"/>
              </w:rPr>
            </w:pPr>
            <w:r>
              <w:rPr>
                <w:rFonts w:ascii="Times New Roman" w:hAnsi="Times New Roman"/>
                <w:sz w:val="22"/>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665" w:type="dxa"/>
            <w:noWrap w:val="0"/>
            <w:vAlign w:val="center"/>
          </w:tcPr>
          <w:p>
            <w:pPr>
              <w:widowControl/>
              <w:jc w:val="center"/>
              <w:rPr>
                <w:rFonts w:ascii="Times New Roman" w:hAnsi="Times New Roman"/>
                <w:bCs/>
                <w:sz w:val="24"/>
              </w:rPr>
            </w:pPr>
            <w:r>
              <w:rPr>
                <w:rFonts w:ascii="Times New Roman"/>
                <w:bCs/>
                <w:sz w:val="24"/>
              </w:rPr>
              <w:t>常州经开区</w:t>
            </w:r>
          </w:p>
        </w:tc>
        <w:tc>
          <w:tcPr>
            <w:tcW w:w="706" w:type="dxa"/>
            <w:noWrap w:val="0"/>
            <w:vAlign w:val="center"/>
          </w:tcPr>
          <w:p>
            <w:pPr>
              <w:jc w:val="center"/>
              <w:rPr>
                <w:rFonts w:ascii="Times New Roman" w:hAnsi="Times New Roman"/>
                <w:sz w:val="22"/>
              </w:rPr>
            </w:pPr>
            <w:r>
              <w:rPr>
                <w:rFonts w:ascii="Times New Roman" w:hAnsi="Times New Roman"/>
                <w:sz w:val="22"/>
              </w:rPr>
              <w:t>51</w:t>
            </w:r>
          </w:p>
        </w:tc>
        <w:tc>
          <w:tcPr>
            <w:tcW w:w="989" w:type="dxa"/>
            <w:noWrap w:val="0"/>
            <w:vAlign w:val="center"/>
          </w:tcPr>
          <w:p>
            <w:pPr>
              <w:jc w:val="center"/>
              <w:rPr>
                <w:rFonts w:ascii="Times New Roman" w:hAnsi="Times New Roman"/>
                <w:sz w:val="22"/>
              </w:rPr>
            </w:pPr>
            <w:r>
              <w:rPr>
                <w:rFonts w:ascii="Times New Roman" w:hAnsi="Times New Roman"/>
                <w:sz w:val="22"/>
              </w:rPr>
              <w:t>——</w:t>
            </w:r>
          </w:p>
        </w:tc>
        <w:tc>
          <w:tcPr>
            <w:tcW w:w="717" w:type="dxa"/>
            <w:noWrap w:val="0"/>
            <w:vAlign w:val="center"/>
          </w:tcPr>
          <w:p>
            <w:pPr>
              <w:jc w:val="center"/>
              <w:rPr>
                <w:rFonts w:ascii="Times New Roman" w:hAnsi="Times New Roman"/>
                <w:sz w:val="22"/>
              </w:rPr>
            </w:pPr>
            <w:r>
              <w:rPr>
                <w:rFonts w:ascii="Times New Roman" w:hAnsi="Times New Roman"/>
                <w:sz w:val="22"/>
              </w:rPr>
              <w:t>26</w:t>
            </w:r>
          </w:p>
        </w:tc>
        <w:tc>
          <w:tcPr>
            <w:tcW w:w="848" w:type="dxa"/>
            <w:noWrap w:val="0"/>
            <w:vAlign w:val="center"/>
          </w:tcPr>
          <w:p>
            <w:pPr>
              <w:jc w:val="center"/>
              <w:rPr>
                <w:rFonts w:ascii="Times New Roman" w:hAnsi="Times New Roman"/>
                <w:sz w:val="22"/>
              </w:rPr>
            </w:pPr>
            <w:r>
              <w:rPr>
                <w:rFonts w:ascii="Times New Roman" w:hAnsi="Times New Roman"/>
                <w:sz w:val="22"/>
              </w:rPr>
              <w:t>36</w:t>
            </w:r>
          </w:p>
        </w:tc>
        <w:tc>
          <w:tcPr>
            <w:tcW w:w="989" w:type="dxa"/>
            <w:noWrap w:val="0"/>
            <w:vAlign w:val="center"/>
          </w:tcPr>
          <w:p>
            <w:pPr>
              <w:jc w:val="center"/>
              <w:rPr>
                <w:rFonts w:ascii="Times New Roman" w:hAnsi="Times New Roman"/>
                <w:sz w:val="22"/>
              </w:rPr>
            </w:pPr>
            <w:r>
              <w:rPr>
                <w:rFonts w:ascii="Times New Roman" w:hAnsi="Times New Roman"/>
                <w:sz w:val="22"/>
              </w:rPr>
              <w:t>——</w:t>
            </w:r>
          </w:p>
        </w:tc>
        <w:tc>
          <w:tcPr>
            <w:tcW w:w="706" w:type="dxa"/>
            <w:noWrap w:val="0"/>
            <w:vAlign w:val="center"/>
          </w:tcPr>
          <w:p>
            <w:pPr>
              <w:jc w:val="center"/>
              <w:rPr>
                <w:rFonts w:ascii="Times New Roman" w:hAnsi="Times New Roman"/>
                <w:sz w:val="22"/>
              </w:rPr>
            </w:pPr>
            <w:r>
              <w:rPr>
                <w:rFonts w:ascii="Times New Roman" w:hAnsi="Times New Roman"/>
                <w:sz w:val="22"/>
              </w:rPr>
              <w:t>13</w:t>
            </w:r>
          </w:p>
        </w:tc>
        <w:tc>
          <w:tcPr>
            <w:tcW w:w="848" w:type="dxa"/>
            <w:noWrap w:val="0"/>
            <w:vAlign w:val="center"/>
          </w:tcPr>
          <w:p>
            <w:pPr>
              <w:jc w:val="center"/>
              <w:rPr>
                <w:rFonts w:ascii="Times New Roman" w:hAnsi="Times New Roman"/>
                <w:sz w:val="22"/>
              </w:rPr>
            </w:pPr>
            <w:r>
              <w:rPr>
                <w:rFonts w:ascii="Times New Roman" w:hAnsi="Times New Roman"/>
                <w:sz w:val="22"/>
              </w:rPr>
              <w:t>31</w:t>
            </w:r>
          </w:p>
        </w:tc>
        <w:tc>
          <w:tcPr>
            <w:tcW w:w="989" w:type="dxa"/>
            <w:noWrap w:val="0"/>
            <w:vAlign w:val="center"/>
          </w:tcPr>
          <w:p>
            <w:pPr>
              <w:jc w:val="center"/>
              <w:rPr>
                <w:rFonts w:ascii="Times New Roman" w:hAnsi="Times New Roman"/>
                <w:sz w:val="22"/>
              </w:rPr>
            </w:pPr>
            <w:r>
              <w:rPr>
                <w:rFonts w:ascii="Times New Roman" w:hAnsi="Times New Roman"/>
                <w:sz w:val="22"/>
              </w:rPr>
              <w:t>——</w:t>
            </w:r>
          </w:p>
        </w:tc>
        <w:tc>
          <w:tcPr>
            <w:tcW w:w="703" w:type="dxa"/>
            <w:noWrap w:val="0"/>
            <w:vAlign w:val="center"/>
          </w:tcPr>
          <w:p>
            <w:pPr>
              <w:jc w:val="center"/>
              <w:rPr>
                <w:rFonts w:ascii="Times New Roman" w:hAnsi="Times New Roman"/>
                <w:sz w:val="22"/>
              </w:rPr>
            </w:pPr>
            <w:r>
              <w:rPr>
                <w:rFonts w:ascii="Times New Roman" w:hAnsi="Times New Roman"/>
                <w:sz w:val="22"/>
              </w:rPr>
              <w:t>9</w:t>
            </w:r>
          </w:p>
        </w:tc>
        <w:tc>
          <w:tcPr>
            <w:tcW w:w="848" w:type="dxa"/>
            <w:noWrap w:val="0"/>
            <w:vAlign w:val="center"/>
          </w:tcPr>
          <w:p>
            <w:pPr>
              <w:jc w:val="center"/>
              <w:rPr>
                <w:rFonts w:ascii="Times New Roman" w:hAnsi="Times New Roman"/>
                <w:sz w:val="22"/>
              </w:rPr>
            </w:pPr>
            <w:r>
              <w:rPr>
                <w:rFonts w:ascii="Times New Roman" w:hAnsi="Times New Roman"/>
                <w:sz w:val="22"/>
              </w:rPr>
              <w:t>29</w:t>
            </w:r>
          </w:p>
        </w:tc>
        <w:tc>
          <w:tcPr>
            <w:tcW w:w="984" w:type="dxa"/>
            <w:noWrap w:val="0"/>
            <w:vAlign w:val="center"/>
          </w:tcPr>
          <w:p>
            <w:pPr>
              <w:jc w:val="center"/>
              <w:rPr>
                <w:rFonts w:ascii="Times New Roman" w:hAnsi="Times New Roman"/>
                <w:sz w:val="22"/>
              </w:rPr>
            </w:pPr>
            <w:r>
              <w:rPr>
                <w:rFonts w:ascii="Times New Roman" w:hAnsi="Times New Roman"/>
                <w:sz w:val="22"/>
              </w:rPr>
              <w:t>——</w:t>
            </w:r>
          </w:p>
        </w:tc>
        <w:tc>
          <w:tcPr>
            <w:tcW w:w="706" w:type="dxa"/>
            <w:noWrap w:val="0"/>
            <w:vAlign w:val="center"/>
          </w:tcPr>
          <w:p>
            <w:pPr>
              <w:jc w:val="center"/>
              <w:rPr>
                <w:rFonts w:ascii="Times New Roman" w:hAnsi="Times New Roman"/>
                <w:sz w:val="22"/>
              </w:rPr>
            </w:pPr>
            <w:r>
              <w:rPr>
                <w:rFonts w:ascii="Times New Roman" w:hAnsi="Times New Roman"/>
                <w:sz w:val="22"/>
              </w:rPr>
              <w:t>6</w:t>
            </w:r>
          </w:p>
        </w:tc>
        <w:tc>
          <w:tcPr>
            <w:tcW w:w="706" w:type="dxa"/>
            <w:noWrap w:val="0"/>
            <w:vAlign w:val="center"/>
          </w:tcPr>
          <w:p>
            <w:pPr>
              <w:jc w:val="center"/>
              <w:rPr>
                <w:rFonts w:ascii="Times New Roman" w:hAnsi="Times New Roman"/>
                <w:sz w:val="22"/>
              </w:rPr>
            </w:pPr>
            <w:r>
              <w:rPr>
                <w:rFonts w:ascii="Times New Roman" w:hAnsi="Times New Roman"/>
                <w:sz w:val="22"/>
              </w:rPr>
              <w:t>24</w:t>
            </w:r>
          </w:p>
        </w:tc>
        <w:tc>
          <w:tcPr>
            <w:tcW w:w="989" w:type="dxa"/>
            <w:noWrap w:val="0"/>
            <w:vAlign w:val="center"/>
          </w:tcPr>
          <w:p>
            <w:pPr>
              <w:jc w:val="center"/>
              <w:rPr>
                <w:rFonts w:ascii="Times New Roman" w:hAnsi="Times New Roman"/>
                <w:sz w:val="22"/>
              </w:rPr>
            </w:pPr>
            <w:r>
              <w:rPr>
                <w:rFonts w:ascii="Times New Roman" w:hAnsi="Times New Roman"/>
                <w:sz w:val="22"/>
              </w:rPr>
              <w:t>——</w:t>
            </w:r>
          </w:p>
        </w:tc>
        <w:tc>
          <w:tcPr>
            <w:tcW w:w="782" w:type="dxa"/>
            <w:noWrap w:val="0"/>
            <w:vAlign w:val="center"/>
          </w:tcPr>
          <w:p>
            <w:pPr>
              <w:jc w:val="center"/>
              <w:rPr>
                <w:rFonts w:ascii="Times New Roman" w:hAnsi="Times New Roman"/>
                <w:sz w:val="22"/>
              </w:rPr>
            </w:pPr>
            <w:r>
              <w:rPr>
                <w:rFonts w:ascii="Times New Roman" w:hAnsi="Times New Roman"/>
                <w:sz w:val="22"/>
              </w:rPr>
              <w:t>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665" w:type="dxa"/>
            <w:noWrap w:val="0"/>
            <w:vAlign w:val="center"/>
          </w:tcPr>
          <w:p>
            <w:pPr>
              <w:widowControl/>
              <w:jc w:val="center"/>
              <w:rPr>
                <w:rFonts w:ascii="Times New Roman" w:hAnsi="Times New Roman"/>
                <w:bCs/>
                <w:sz w:val="24"/>
              </w:rPr>
            </w:pPr>
            <w:r>
              <w:rPr>
                <w:rFonts w:ascii="Times New Roman"/>
                <w:bCs/>
                <w:sz w:val="24"/>
              </w:rPr>
              <w:t>金坛经开区</w:t>
            </w:r>
          </w:p>
        </w:tc>
        <w:tc>
          <w:tcPr>
            <w:tcW w:w="706" w:type="dxa"/>
            <w:noWrap w:val="0"/>
            <w:vAlign w:val="center"/>
          </w:tcPr>
          <w:p>
            <w:pPr>
              <w:jc w:val="center"/>
              <w:rPr>
                <w:rFonts w:ascii="Times New Roman" w:hAnsi="Times New Roman"/>
                <w:sz w:val="22"/>
              </w:rPr>
            </w:pPr>
            <w:r>
              <w:rPr>
                <w:rFonts w:ascii="Times New Roman" w:hAnsi="Times New Roman"/>
                <w:sz w:val="22"/>
              </w:rPr>
              <w:t>45</w:t>
            </w:r>
          </w:p>
        </w:tc>
        <w:tc>
          <w:tcPr>
            <w:tcW w:w="989" w:type="dxa"/>
            <w:noWrap w:val="0"/>
            <w:vAlign w:val="center"/>
          </w:tcPr>
          <w:p>
            <w:pPr>
              <w:jc w:val="center"/>
              <w:rPr>
                <w:rFonts w:ascii="Times New Roman" w:hAnsi="Times New Roman"/>
                <w:sz w:val="22"/>
              </w:rPr>
            </w:pPr>
            <w:r>
              <w:rPr>
                <w:rFonts w:ascii="Times New Roman" w:hAnsi="Times New Roman"/>
                <w:sz w:val="22"/>
              </w:rPr>
              <w:t>——</w:t>
            </w:r>
          </w:p>
        </w:tc>
        <w:tc>
          <w:tcPr>
            <w:tcW w:w="717" w:type="dxa"/>
            <w:noWrap w:val="0"/>
            <w:vAlign w:val="center"/>
          </w:tcPr>
          <w:p>
            <w:pPr>
              <w:jc w:val="center"/>
              <w:rPr>
                <w:rFonts w:ascii="Times New Roman" w:hAnsi="Times New Roman"/>
                <w:sz w:val="22"/>
              </w:rPr>
            </w:pPr>
            <w:r>
              <w:rPr>
                <w:rFonts w:ascii="Times New Roman" w:hAnsi="Times New Roman"/>
                <w:sz w:val="22"/>
              </w:rPr>
              <w:t>20</w:t>
            </w:r>
          </w:p>
        </w:tc>
        <w:tc>
          <w:tcPr>
            <w:tcW w:w="848" w:type="dxa"/>
            <w:noWrap w:val="0"/>
            <w:vAlign w:val="center"/>
          </w:tcPr>
          <w:p>
            <w:pPr>
              <w:jc w:val="center"/>
              <w:rPr>
                <w:rFonts w:ascii="Times New Roman" w:hAnsi="Times New Roman"/>
                <w:sz w:val="22"/>
              </w:rPr>
            </w:pPr>
            <w:r>
              <w:rPr>
                <w:rFonts w:ascii="Times New Roman" w:hAnsi="Times New Roman"/>
                <w:sz w:val="22"/>
              </w:rPr>
              <w:t>68</w:t>
            </w:r>
          </w:p>
        </w:tc>
        <w:tc>
          <w:tcPr>
            <w:tcW w:w="989" w:type="dxa"/>
            <w:noWrap w:val="0"/>
            <w:vAlign w:val="center"/>
          </w:tcPr>
          <w:p>
            <w:pPr>
              <w:jc w:val="center"/>
              <w:rPr>
                <w:rFonts w:ascii="Times New Roman" w:hAnsi="Times New Roman"/>
                <w:sz w:val="22"/>
              </w:rPr>
            </w:pPr>
            <w:r>
              <w:rPr>
                <w:rFonts w:ascii="Times New Roman" w:hAnsi="Times New Roman"/>
                <w:sz w:val="22"/>
              </w:rPr>
              <w:t>——</w:t>
            </w:r>
          </w:p>
        </w:tc>
        <w:tc>
          <w:tcPr>
            <w:tcW w:w="706" w:type="dxa"/>
            <w:noWrap w:val="0"/>
            <w:vAlign w:val="center"/>
          </w:tcPr>
          <w:p>
            <w:pPr>
              <w:jc w:val="center"/>
              <w:rPr>
                <w:rFonts w:ascii="Times New Roman" w:hAnsi="Times New Roman"/>
                <w:sz w:val="22"/>
              </w:rPr>
            </w:pPr>
            <w:r>
              <w:rPr>
                <w:rFonts w:ascii="Times New Roman" w:hAnsi="Times New Roman"/>
                <w:sz w:val="22"/>
              </w:rPr>
              <w:t>41</w:t>
            </w:r>
          </w:p>
        </w:tc>
        <w:tc>
          <w:tcPr>
            <w:tcW w:w="848" w:type="dxa"/>
            <w:noWrap w:val="0"/>
            <w:vAlign w:val="center"/>
          </w:tcPr>
          <w:p>
            <w:pPr>
              <w:jc w:val="center"/>
              <w:rPr>
                <w:rFonts w:ascii="Times New Roman" w:hAnsi="Times New Roman"/>
                <w:sz w:val="22"/>
              </w:rPr>
            </w:pPr>
            <w:r>
              <w:rPr>
                <w:rFonts w:ascii="Times New Roman" w:hAnsi="Times New Roman"/>
                <w:sz w:val="22"/>
              </w:rPr>
              <w:t>41</w:t>
            </w:r>
          </w:p>
        </w:tc>
        <w:tc>
          <w:tcPr>
            <w:tcW w:w="989" w:type="dxa"/>
            <w:noWrap w:val="0"/>
            <w:vAlign w:val="center"/>
          </w:tcPr>
          <w:p>
            <w:pPr>
              <w:jc w:val="center"/>
              <w:rPr>
                <w:rFonts w:ascii="Times New Roman" w:hAnsi="Times New Roman"/>
                <w:sz w:val="22"/>
              </w:rPr>
            </w:pPr>
            <w:r>
              <w:rPr>
                <w:rFonts w:ascii="Times New Roman" w:hAnsi="Times New Roman"/>
                <w:sz w:val="22"/>
              </w:rPr>
              <w:t>——</w:t>
            </w:r>
          </w:p>
        </w:tc>
        <w:tc>
          <w:tcPr>
            <w:tcW w:w="703" w:type="dxa"/>
            <w:noWrap w:val="0"/>
            <w:vAlign w:val="center"/>
          </w:tcPr>
          <w:p>
            <w:pPr>
              <w:jc w:val="center"/>
              <w:rPr>
                <w:rFonts w:ascii="Times New Roman" w:hAnsi="Times New Roman"/>
                <w:sz w:val="22"/>
              </w:rPr>
            </w:pPr>
            <w:r>
              <w:rPr>
                <w:rFonts w:ascii="Times New Roman" w:hAnsi="Times New Roman"/>
                <w:sz w:val="22"/>
              </w:rPr>
              <w:t>16</w:t>
            </w:r>
          </w:p>
        </w:tc>
        <w:tc>
          <w:tcPr>
            <w:tcW w:w="848" w:type="dxa"/>
            <w:noWrap w:val="0"/>
            <w:vAlign w:val="center"/>
          </w:tcPr>
          <w:p>
            <w:pPr>
              <w:jc w:val="center"/>
              <w:rPr>
                <w:rFonts w:ascii="Times New Roman" w:hAnsi="Times New Roman"/>
                <w:sz w:val="22"/>
              </w:rPr>
            </w:pPr>
            <w:r>
              <w:rPr>
                <w:rFonts w:ascii="Times New Roman" w:hAnsi="Times New Roman"/>
                <w:sz w:val="22"/>
              </w:rPr>
              <w:t>40</w:t>
            </w:r>
          </w:p>
        </w:tc>
        <w:tc>
          <w:tcPr>
            <w:tcW w:w="984" w:type="dxa"/>
            <w:noWrap w:val="0"/>
            <w:vAlign w:val="center"/>
          </w:tcPr>
          <w:p>
            <w:pPr>
              <w:jc w:val="center"/>
              <w:rPr>
                <w:rFonts w:ascii="Times New Roman" w:hAnsi="Times New Roman"/>
                <w:sz w:val="22"/>
              </w:rPr>
            </w:pPr>
            <w:r>
              <w:rPr>
                <w:rFonts w:ascii="Times New Roman" w:hAnsi="Times New Roman"/>
                <w:sz w:val="22"/>
              </w:rPr>
              <w:t>——</w:t>
            </w:r>
          </w:p>
        </w:tc>
        <w:tc>
          <w:tcPr>
            <w:tcW w:w="706" w:type="dxa"/>
            <w:noWrap w:val="0"/>
            <w:vAlign w:val="center"/>
          </w:tcPr>
          <w:p>
            <w:pPr>
              <w:jc w:val="center"/>
              <w:rPr>
                <w:rFonts w:ascii="Times New Roman" w:hAnsi="Times New Roman"/>
                <w:sz w:val="22"/>
              </w:rPr>
            </w:pPr>
            <w:r>
              <w:rPr>
                <w:rFonts w:ascii="Times New Roman" w:hAnsi="Times New Roman"/>
                <w:sz w:val="22"/>
              </w:rPr>
              <w:t>14</w:t>
            </w:r>
          </w:p>
        </w:tc>
        <w:tc>
          <w:tcPr>
            <w:tcW w:w="706" w:type="dxa"/>
            <w:noWrap w:val="0"/>
            <w:vAlign w:val="center"/>
          </w:tcPr>
          <w:p>
            <w:pPr>
              <w:jc w:val="center"/>
              <w:rPr>
                <w:rFonts w:ascii="Times New Roman" w:hAnsi="Times New Roman"/>
                <w:sz w:val="22"/>
              </w:rPr>
            </w:pPr>
            <w:r>
              <w:rPr>
                <w:rFonts w:ascii="Times New Roman" w:hAnsi="Times New Roman"/>
                <w:sz w:val="22"/>
              </w:rPr>
              <w:t>36</w:t>
            </w:r>
          </w:p>
        </w:tc>
        <w:tc>
          <w:tcPr>
            <w:tcW w:w="989" w:type="dxa"/>
            <w:noWrap w:val="0"/>
            <w:vAlign w:val="center"/>
          </w:tcPr>
          <w:p>
            <w:pPr>
              <w:jc w:val="center"/>
              <w:rPr>
                <w:rFonts w:ascii="Times New Roman" w:hAnsi="Times New Roman"/>
                <w:sz w:val="22"/>
              </w:rPr>
            </w:pPr>
            <w:r>
              <w:rPr>
                <w:rFonts w:ascii="Times New Roman" w:hAnsi="Times New Roman"/>
                <w:sz w:val="22"/>
              </w:rPr>
              <w:t>——</w:t>
            </w:r>
          </w:p>
        </w:tc>
        <w:tc>
          <w:tcPr>
            <w:tcW w:w="782" w:type="dxa"/>
            <w:noWrap w:val="0"/>
            <w:vAlign w:val="center"/>
          </w:tcPr>
          <w:p>
            <w:pPr>
              <w:jc w:val="center"/>
              <w:rPr>
                <w:rFonts w:ascii="Times New Roman" w:hAnsi="Times New Roman"/>
                <w:sz w:val="22"/>
              </w:rPr>
            </w:pPr>
            <w:r>
              <w:rPr>
                <w:rFonts w:ascii="Times New Roman" w:hAnsi="Times New Roman"/>
                <w:sz w:val="22"/>
              </w:rPr>
              <w:t>10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665" w:type="dxa"/>
            <w:noWrap w:val="0"/>
            <w:vAlign w:val="center"/>
          </w:tcPr>
          <w:p>
            <w:pPr>
              <w:widowControl/>
              <w:jc w:val="center"/>
              <w:rPr>
                <w:rFonts w:ascii="Times New Roman" w:hAnsi="Times New Roman"/>
                <w:bCs/>
                <w:sz w:val="24"/>
              </w:rPr>
            </w:pPr>
            <w:r>
              <w:rPr>
                <w:rFonts w:ascii="Times New Roman"/>
                <w:bCs/>
                <w:sz w:val="24"/>
              </w:rPr>
              <w:t>溧阳高新区</w:t>
            </w:r>
          </w:p>
        </w:tc>
        <w:tc>
          <w:tcPr>
            <w:tcW w:w="706" w:type="dxa"/>
            <w:noWrap w:val="0"/>
            <w:vAlign w:val="center"/>
          </w:tcPr>
          <w:p>
            <w:pPr>
              <w:jc w:val="center"/>
              <w:rPr>
                <w:rFonts w:ascii="Times New Roman" w:hAnsi="Times New Roman"/>
                <w:sz w:val="22"/>
              </w:rPr>
            </w:pPr>
            <w:r>
              <w:rPr>
                <w:rFonts w:ascii="Times New Roman" w:hAnsi="Times New Roman"/>
                <w:sz w:val="22"/>
              </w:rPr>
              <w:t>27</w:t>
            </w:r>
          </w:p>
        </w:tc>
        <w:tc>
          <w:tcPr>
            <w:tcW w:w="989" w:type="dxa"/>
            <w:noWrap w:val="0"/>
            <w:vAlign w:val="center"/>
          </w:tcPr>
          <w:p>
            <w:pPr>
              <w:jc w:val="center"/>
              <w:rPr>
                <w:rFonts w:ascii="Times New Roman" w:hAnsi="Times New Roman"/>
                <w:sz w:val="22"/>
              </w:rPr>
            </w:pPr>
            <w:r>
              <w:rPr>
                <w:rFonts w:ascii="Times New Roman" w:hAnsi="Times New Roman"/>
                <w:sz w:val="22"/>
              </w:rPr>
              <w:t>——</w:t>
            </w:r>
          </w:p>
        </w:tc>
        <w:tc>
          <w:tcPr>
            <w:tcW w:w="717" w:type="dxa"/>
            <w:noWrap w:val="0"/>
            <w:vAlign w:val="center"/>
          </w:tcPr>
          <w:p>
            <w:pPr>
              <w:jc w:val="center"/>
              <w:rPr>
                <w:rFonts w:ascii="Times New Roman" w:hAnsi="Times New Roman"/>
                <w:sz w:val="22"/>
              </w:rPr>
            </w:pPr>
            <w:r>
              <w:rPr>
                <w:rFonts w:ascii="Times New Roman" w:hAnsi="Times New Roman"/>
                <w:sz w:val="22"/>
              </w:rPr>
              <w:t>8</w:t>
            </w:r>
          </w:p>
        </w:tc>
        <w:tc>
          <w:tcPr>
            <w:tcW w:w="848" w:type="dxa"/>
            <w:noWrap w:val="0"/>
            <w:vAlign w:val="center"/>
          </w:tcPr>
          <w:p>
            <w:pPr>
              <w:jc w:val="center"/>
              <w:rPr>
                <w:rFonts w:ascii="Times New Roman" w:hAnsi="Times New Roman"/>
                <w:sz w:val="22"/>
              </w:rPr>
            </w:pPr>
            <w:r>
              <w:rPr>
                <w:rFonts w:ascii="Times New Roman" w:hAnsi="Times New Roman"/>
                <w:sz w:val="22"/>
              </w:rPr>
              <w:t>15</w:t>
            </w:r>
          </w:p>
        </w:tc>
        <w:tc>
          <w:tcPr>
            <w:tcW w:w="989" w:type="dxa"/>
            <w:noWrap w:val="0"/>
            <w:vAlign w:val="center"/>
          </w:tcPr>
          <w:p>
            <w:pPr>
              <w:jc w:val="center"/>
              <w:rPr>
                <w:rFonts w:ascii="Times New Roman" w:hAnsi="Times New Roman"/>
                <w:sz w:val="22"/>
              </w:rPr>
            </w:pPr>
            <w:r>
              <w:rPr>
                <w:rFonts w:ascii="Times New Roman" w:hAnsi="Times New Roman"/>
                <w:sz w:val="22"/>
              </w:rPr>
              <w:t>——</w:t>
            </w:r>
          </w:p>
        </w:tc>
        <w:tc>
          <w:tcPr>
            <w:tcW w:w="706" w:type="dxa"/>
            <w:noWrap w:val="0"/>
            <w:vAlign w:val="center"/>
          </w:tcPr>
          <w:p>
            <w:pPr>
              <w:jc w:val="center"/>
              <w:rPr>
                <w:rFonts w:ascii="Times New Roman" w:hAnsi="Times New Roman"/>
                <w:sz w:val="22"/>
              </w:rPr>
            </w:pPr>
            <w:r>
              <w:rPr>
                <w:rFonts w:ascii="Times New Roman" w:hAnsi="Times New Roman"/>
                <w:sz w:val="22"/>
              </w:rPr>
              <w:t>2</w:t>
            </w:r>
          </w:p>
        </w:tc>
        <w:tc>
          <w:tcPr>
            <w:tcW w:w="848" w:type="dxa"/>
            <w:noWrap w:val="0"/>
            <w:vAlign w:val="center"/>
          </w:tcPr>
          <w:p>
            <w:pPr>
              <w:jc w:val="center"/>
              <w:rPr>
                <w:rFonts w:ascii="Times New Roman" w:hAnsi="Times New Roman"/>
                <w:sz w:val="22"/>
              </w:rPr>
            </w:pPr>
            <w:r>
              <w:rPr>
                <w:rFonts w:ascii="Times New Roman" w:hAnsi="Times New Roman"/>
                <w:sz w:val="22"/>
              </w:rPr>
              <w:t>13</w:t>
            </w:r>
          </w:p>
        </w:tc>
        <w:tc>
          <w:tcPr>
            <w:tcW w:w="989" w:type="dxa"/>
            <w:noWrap w:val="0"/>
            <w:vAlign w:val="center"/>
          </w:tcPr>
          <w:p>
            <w:pPr>
              <w:jc w:val="center"/>
              <w:rPr>
                <w:rFonts w:ascii="Times New Roman" w:hAnsi="Times New Roman"/>
                <w:sz w:val="22"/>
              </w:rPr>
            </w:pPr>
            <w:r>
              <w:rPr>
                <w:rFonts w:ascii="Times New Roman" w:hAnsi="Times New Roman"/>
                <w:sz w:val="22"/>
              </w:rPr>
              <w:t>——</w:t>
            </w:r>
          </w:p>
        </w:tc>
        <w:tc>
          <w:tcPr>
            <w:tcW w:w="703" w:type="dxa"/>
            <w:noWrap w:val="0"/>
            <w:vAlign w:val="center"/>
          </w:tcPr>
          <w:p>
            <w:pPr>
              <w:jc w:val="center"/>
              <w:rPr>
                <w:rFonts w:ascii="Times New Roman" w:hAnsi="Times New Roman"/>
                <w:sz w:val="22"/>
              </w:rPr>
            </w:pPr>
            <w:r>
              <w:rPr>
                <w:rFonts w:ascii="Times New Roman" w:hAnsi="Times New Roman"/>
                <w:sz w:val="22"/>
              </w:rPr>
              <w:t>1</w:t>
            </w:r>
          </w:p>
        </w:tc>
        <w:tc>
          <w:tcPr>
            <w:tcW w:w="848" w:type="dxa"/>
            <w:noWrap w:val="0"/>
            <w:vAlign w:val="center"/>
          </w:tcPr>
          <w:p>
            <w:pPr>
              <w:jc w:val="center"/>
              <w:rPr>
                <w:rFonts w:ascii="Times New Roman" w:hAnsi="Times New Roman"/>
                <w:sz w:val="22"/>
              </w:rPr>
            </w:pPr>
            <w:r>
              <w:rPr>
                <w:rFonts w:ascii="Times New Roman" w:hAnsi="Times New Roman"/>
                <w:sz w:val="22"/>
              </w:rPr>
              <w:t>14</w:t>
            </w:r>
          </w:p>
        </w:tc>
        <w:tc>
          <w:tcPr>
            <w:tcW w:w="984" w:type="dxa"/>
            <w:noWrap w:val="0"/>
            <w:vAlign w:val="center"/>
          </w:tcPr>
          <w:p>
            <w:pPr>
              <w:jc w:val="center"/>
              <w:rPr>
                <w:rFonts w:ascii="Times New Roman" w:hAnsi="Times New Roman"/>
                <w:sz w:val="22"/>
              </w:rPr>
            </w:pPr>
            <w:r>
              <w:rPr>
                <w:rFonts w:ascii="Times New Roman" w:hAnsi="Times New Roman"/>
                <w:sz w:val="22"/>
              </w:rPr>
              <w:t>——</w:t>
            </w:r>
          </w:p>
        </w:tc>
        <w:tc>
          <w:tcPr>
            <w:tcW w:w="706" w:type="dxa"/>
            <w:noWrap w:val="0"/>
            <w:vAlign w:val="center"/>
          </w:tcPr>
          <w:p>
            <w:pPr>
              <w:jc w:val="center"/>
              <w:rPr>
                <w:rFonts w:ascii="Times New Roman" w:hAnsi="Times New Roman"/>
                <w:sz w:val="22"/>
              </w:rPr>
            </w:pPr>
            <w:r>
              <w:rPr>
                <w:rFonts w:ascii="Times New Roman" w:hAnsi="Times New Roman"/>
                <w:sz w:val="22"/>
              </w:rPr>
              <w:t>1</w:t>
            </w:r>
          </w:p>
        </w:tc>
        <w:tc>
          <w:tcPr>
            <w:tcW w:w="706" w:type="dxa"/>
            <w:noWrap w:val="0"/>
            <w:vAlign w:val="center"/>
          </w:tcPr>
          <w:p>
            <w:pPr>
              <w:jc w:val="center"/>
              <w:rPr>
                <w:rFonts w:ascii="Times New Roman" w:hAnsi="Times New Roman"/>
                <w:sz w:val="22"/>
              </w:rPr>
            </w:pPr>
            <w:r>
              <w:rPr>
                <w:rFonts w:ascii="Times New Roman" w:hAnsi="Times New Roman"/>
                <w:sz w:val="22"/>
              </w:rPr>
              <w:t>14</w:t>
            </w:r>
          </w:p>
        </w:tc>
        <w:tc>
          <w:tcPr>
            <w:tcW w:w="989" w:type="dxa"/>
            <w:noWrap w:val="0"/>
            <w:vAlign w:val="center"/>
          </w:tcPr>
          <w:p>
            <w:pPr>
              <w:jc w:val="center"/>
              <w:rPr>
                <w:rFonts w:ascii="Times New Roman" w:hAnsi="Times New Roman"/>
                <w:sz w:val="22"/>
              </w:rPr>
            </w:pPr>
            <w:r>
              <w:rPr>
                <w:rFonts w:ascii="Times New Roman" w:hAnsi="Times New Roman"/>
                <w:sz w:val="22"/>
              </w:rPr>
              <w:t>——</w:t>
            </w:r>
          </w:p>
        </w:tc>
        <w:tc>
          <w:tcPr>
            <w:tcW w:w="782" w:type="dxa"/>
            <w:noWrap w:val="0"/>
            <w:vAlign w:val="center"/>
          </w:tcPr>
          <w:p>
            <w:pPr>
              <w:jc w:val="center"/>
              <w:rPr>
                <w:rFonts w:ascii="Times New Roman" w:hAnsi="Times New Roman"/>
                <w:sz w:val="22"/>
              </w:rPr>
            </w:pPr>
            <w:r>
              <w:rPr>
                <w:rFonts w:ascii="Times New Roman" w:hAnsi="Times New Roman"/>
                <w:sz w:val="22"/>
              </w:rPr>
              <w:t>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665" w:type="dxa"/>
            <w:noWrap w:val="0"/>
            <w:vAlign w:val="center"/>
          </w:tcPr>
          <w:p>
            <w:pPr>
              <w:widowControl/>
              <w:jc w:val="center"/>
              <w:rPr>
                <w:rFonts w:ascii="Times New Roman" w:hAnsi="Times New Roman"/>
                <w:bCs/>
                <w:sz w:val="24"/>
              </w:rPr>
            </w:pPr>
            <w:r>
              <w:rPr>
                <w:rFonts w:ascii="Times New Roman"/>
                <w:bCs/>
                <w:sz w:val="24"/>
              </w:rPr>
              <w:t>溧阳经开区</w:t>
            </w:r>
          </w:p>
        </w:tc>
        <w:tc>
          <w:tcPr>
            <w:tcW w:w="706" w:type="dxa"/>
            <w:noWrap w:val="0"/>
            <w:vAlign w:val="center"/>
          </w:tcPr>
          <w:p>
            <w:pPr>
              <w:jc w:val="center"/>
              <w:rPr>
                <w:rFonts w:ascii="Times New Roman" w:hAnsi="Times New Roman"/>
                <w:sz w:val="22"/>
              </w:rPr>
            </w:pPr>
            <w:r>
              <w:rPr>
                <w:rFonts w:ascii="Times New Roman" w:hAnsi="Times New Roman"/>
                <w:sz w:val="22"/>
              </w:rPr>
              <w:t>22</w:t>
            </w:r>
          </w:p>
        </w:tc>
        <w:tc>
          <w:tcPr>
            <w:tcW w:w="989" w:type="dxa"/>
            <w:noWrap w:val="0"/>
            <w:vAlign w:val="center"/>
          </w:tcPr>
          <w:p>
            <w:pPr>
              <w:jc w:val="center"/>
              <w:rPr>
                <w:rFonts w:ascii="Times New Roman" w:hAnsi="Times New Roman"/>
                <w:sz w:val="22"/>
              </w:rPr>
            </w:pPr>
            <w:r>
              <w:rPr>
                <w:rFonts w:ascii="Times New Roman" w:hAnsi="Times New Roman"/>
                <w:sz w:val="22"/>
              </w:rPr>
              <w:t>——</w:t>
            </w:r>
          </w:p>
        </w:tc>
        <w:tc>
          <w:tcPr>
            <w:tcW w:w="717" w:type="dxa"/>
            <w:noWrap w:val="0"/>
            <w:vAlign w:val="center"/>
          </w:tcPr>
          <w:p>
            <w:pPr>
              <w:jc w:val="center"/>
              <w:rPr>
                <w:rFonts w:ascii="Times New Roman" w:hAnsi="Times New Roman"/>
                <w:sz w:val="22"/>
              </w:rPr>
            </w:pPr>
            <w:r>
              <w:rPr>
                <w:rFonts w:ascii="Times New Roman" w:hAnsi="Times New Roman"/>
                <w:sz w:val="22"/>
              </w:rPr>
              <w:t>4</w:t>
            </w:r>
          </w:p>
        </w:tc>
        <w:tc>
          <w:tcPr>
            <w:tcW w:w="848" w:type="dxa"/>
            <w:noWrap w:val="0"/>
            <w:vAlign w:val="center"/>
          </w:tcPr>
          <w:p>
            <w:pPr>
              <w:jc w:val="center"/>
              <w:rPr>
                <w:rFonts w:ascii="Times New Roman" w:hAnsi="Times New Roman"/>
                <w:sz w:val="22"/>
              </w:rPr>
            </w:pPr>
            <w:r>
              <w:rPr>
                <w:rFonts w:ascii="Times New Roman" w:hAnsi="Times New Roman"/>
                <w:sz w:val="22"/>
              </w:rPr>
              <w:t>21</w:t>
            </w:r>
          </w:p>
        </w:tc>
        <w:tc>
          <w:tcPr>
            <w:tcW w:w="989" w:type="dxa"/>
            <w:noWrap w:val="0"/>
            <w:vAlign w:val="center"/>
          </w:tcPr>
          <w:p>
            <w:pPr>
              <w:jc w:val="center"/>
              <w:rPr>
                <w:rFonts w:ascii="Times New Roman" w:hAnsi="Times New Roman"/>
                <w:sz w:val="22"/>
              </w:rPr>
            </w:pPr>
            <w:r>
              <w:rPr>
                <w:rFonts w:ascii="Times New Roman" w:hAnsi="Times New Roman"/>
                <w:sz w:val="22"/>
              </w:rPr>
              <w:t>——</w:t>
            </w:r>
          </w:p>
        </w:tc>
        <w:tc>
          <w:tcPr>
            <w:tcW w:w="706" w:type="dxa"/>
            <w:noWrap w:val="0"/>
            <w:vAlign w:val="center"/>
          </w:tcPr>
          <w:p>
            <w:pPr>
              <w:jc w:val="center"/>
              <w:rPr>
                <w:rFonts w:ascii="Times New Roman" w:hAnsi="Times New Roman"/>
                <w:sz w:val="22"/>
              </w:rPr>
            </w:pPr>
            <w:r>
              <w:rPr>
                <w:rFonts w:ascii="Times New Roman" w:hAnsi="Times New Roman"/>
                <w:sz w:val="22"/>
              </w:rPr>
              <w:t>4</w:t>
            </w:r>
          </w:p>
        </w:tc>
        <w:tc>
          <w:tcPr>
            <w:tcW w:w="848" w:type="dxa"/>
            <w:noWrap w:val="0"/>
            <w:vAlign w:val="center"/>
          </w:tcPr>
          <w:p>
            <w:pPr>
              <w:jc w:val="center"/>
              <w:rPr>
                <w:rFonts w:ascii="Times New Roman" w:hAnsi="Times New Roman"/>
                <w:sz w:val="22"/>
              </w:rPr>
            </w:pPr>
            <w:r>
              <w:rPr>
                <w:rFonts w:ascii="Times New Roman" w:hAnsi="Times New Roman"/>
                <w:sz w:val="22"/>
              </w:rPr>
              <w:t>42</w:t>
            </w:r>
          </w:p>
        </w:tc>
        <w:tc>
          <w:tcPr>
            <w:tcW w:w="989" w:type="dxa"/>
            <w:noWrap w:val="0"/>
            <w:vAlign w:val="center"/>
          </w:tcPr>
          <w:p>
            <w:pPr>
              <w:jc w:val="center"/>
              <w:rPr>
                <w:rFonts w:ascii="Times New Roman" w:hAnsi="Times New Roman"/>
                <w:sz w:val="22"/>
              </w:rPr>
            </w:pPr>
            <w:r>
              <w:rPr>
                <w:rFonts w:ascii="Times New Roman" w:hAnsi="Times New Roman"/>
                <w:sz w:val="22"/>
              </w:rPr>
              <w:t>——</w:t>
            </w:r>
          </w:p>
        </w:tc>
        <w:tc>
          <w:tcPr>
            <w:tcW w:w="703" w:type="dxa"/>
            <w:noWrap w:val="0"/>
            <w:vAlign w:val="center"/>
          </w:tcPr>
          <w:p>
            <w:pPr>
              <w:jc w:val="center"/>
              <w:rPr>
                <w:rFonts w:ascii="Times New Roman" w:hAnsi="Times New Roman"/>
                <w:sz w:val="22"/>
              </w:rPr>
            </w:pPr>
            <w:r>
              <w:rPr>
                <w:rFonts w:ascii="Times New Roman" w:hAnsi="Times New Roman"/>
                <w:sz w:val="22"/>
              </w:rPr>
              <w:t>17</w:t>
            </w:r>
          </w:p>
        </w:tc>
        <w:tc>
          <w:tcPr>
            <w:tcW w:w="848" w:type="dxa"/>
            <w:noWrap w:val="0"/>
            <w:vAlign w:val="center"/>
          </w:tcPr>
          <w:p>
            <w:pPr>
              <w:jc w:val="center"/>
              <w:rPr>
                <w:rFonts w:ascii="Times New Roman" w:hAnsi="Times New Roman"/>
                <w:sz w:val="22"/>
              </w:rPr>
            </w:pPr>
            <w:r>
              <w:rPr>
                <w:rFonts w:ascii="Times New Roman" w:hAnsi="Times New Roman"/>
                <w:sz w:val="22"/>
              </w:rPr>
              <w:t>72</w:t>
            </w:r>
          </w:p>
        </w:tc>
        <w:tc>
          <w:tcPr>
            <w:tcW w:w="984" w:type="dxa"/>
            <w:noWrap w:val="0"/>
            <w:vAlign w:val="center"/>
          </w:tcPr>
          <w:p>
            <w:pPr>
              <w:jc w:val="center"/>
              <w:rPr>
                <w:rFonts w:ascii="Times New Roman" w:hAnsi="Times New Roman"/>
                <w:sz w:val="22"/>
              </w:rPr>
            </w:pPr>
            <w:r>
              <w:rPr>
                <w:rFonts w:ascii="Times New Roman" w:hAnsi="Times New Roman"/>
                <w:sz w:val="22"/>
              </w:rPr>
              <w:t>——</w:t>
            </w:r>
          </w:p>
        </w:tc>
        <w:tc>
          <w:tcPr>
            <w:tcW w:w="706" w:type="dxa"/>
            <w:noWrap w:val="0"/>
            <w:vAlign w:val="center"/>
          </w:tcPr>
          <w:p>
            <w:pPr>
              <w:jc w:val="center"/>
              <w:rPr>
                <w:rFonts w:ascii="Times New Roman" w:hAnsi="Times New Roman"/>
                <w:sz w:val="22"/>
              </w:rPr>
            </w:pPr>
            <w:r>
              <w:rPr>
                <w:rFonts w:ascii="Times New Roman" w:hAnsi="Times New Roman"/>
                <w:sz w:val="22"/>
              </w:rPr>
              <w:t>45</w:t>
            </w:r>
          </w:p>
        </w:tc>
        <w:tc>
          <w:tcPr>
            <w:tcW w:w="706" w:type="dxa"/>
            <w:noWrap w:val="0"/>
            <w:vAlign w:val="center"/>
          </w:tcPr>
          <w:p>
            <w:pPr>
              <w:jc w:val="center"/>
              <w:rPr>
                <w:rFonts w:ascii="Times New Roman" w:hAnsi="Times New Roman"/>
                <w:sz w:val="22"/>
              </w:rPr>
            </w:pPr>
            <w:r>
              <w:rPr>
                <w:rFonts w:ascii="Times New Roman" w:hAnsi="Times New Roman"/>
                <w:sz w:val="22"/>
              </w:rPr>
              <w:t>61</w:t>
            </w:r>
          </w:p>
        </w:tc>
        <w:tc>
          <w:tcPr>
            <w:tcW w:w="989" w:type="dxa"/>
            <w:noWrap w:val="0"/>
            <w:vAlign w:val="center"/>
          </w:tcPr>
          <w:p>
            <w:pPr>
              <w:jc w:val="center"/>
              <w:rPr>
                <w:rFonts w:ascii="Times New Roman" w:hAnsi="Times New Roman"/>
                <w:sz w:val="22"/>
              </w:rPr>
            </w:pPr>
            <w:r>
              <w:rPr>
                <w:rFonts w:ascii="Times New Roman" w:hAnsi="Times New Roman"/>
                <w:sz w:val="22"/>
              </w:rPr>
              <w:t>——</w:t>
            </w:r>
          </w:p>
        </w:tc>
        <w:tc>
          <w:tcPr>
            <w:tcW w:w="782" w:type="dxa"/>
            <w:noWrap w:val="0"/>
            <w:vAlign w:val="center"/>
          </w:tcPr>
          <w:p>
            <w:pPr>
              <w:jc w:val="center"/>
              <w:rPr>
                <w:rFonts w:ascii="Times New Roman" w:hAnsi="Times New Roman"/>
                <w:sz w:val="22"/>
              </w:rPr>
            </w:pPr>
            <w:r>
              <w:rPr>
                <w:rFonts w:ascii="Times New Roman" w:hAnsi="Times New Roman"/>
                <w:sz w:val="22"/>
              </w:rPr>
              <w:t>34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665" w:type="dxa"/>
            <w:noWrap w:val="0"/>
            <w:vAlign w:val="center"/>
          </w:tcPr>
          <w:p>
            <w:pPr>
              <w:widowControl/>
              <w:jc w:val="center"/>
              <w:rPr>
                <w:rFonts w:ascii="Times New Roman" w:hAnsi="Times New Roman"/>
                <w:bCs/>
                <w:sz w:val="24"/>
              </w:rPr>
            </w:pPr>
            <w:r>
              <w:rPr>
                <w:rFonts w:ascii="Times New Roman"/>
                <w:bCs/>
                <w:sz w:val="24"/>
              </w:rPr>
              <w:t>滨江经开区</w:t>
            </w:r>
          </w:p>
        </w:tc>
        <w:tc>
          <w:tcPr>
            <w:tcW w:w="706" w:type="dxa"/>
            <w:noWrap w:val="0"/>
            <w:vAlign w:val="center"/>
          </w:tcPr>
          <w:p>
            <w:pPr>
              <w:jc w:val="center"/>
              <w:rPr>
                <w:rFonts w:ascii="Times New Roman" w:hAnsi="Times New Roman"/>
                <w:sz w:val="22"/>
              </w:rPr>
            </w:pPr>
            <w:r>
              <w:rPr>
                <w:rFonts w:ascii="Times New Roman" w:hAnsi="Times New Roman"/>
                <w:sz w:val="22"/>
              </w:rPr>
              <w:t>79</w:t>
            </w:r>
          </w:p>
        </w:tc>
        <w:tc>
          <w:tcPr>
            <w:tcW w:w="989" w:type="dxa"/>
            <w:noWrap w:val="0"/>
            <w:vAlign w:val="center"/>
          </w:tcPr>
          <w:p>
            <w:pPr>
              <w:jc w:val="center"/>
              <w:rPr>
                <w:rFonts w:ascii="Times New Roman" w:hAnsi="Times New Roman"/>
                <w:sz w:val="22"/>
              </w:rPr>
            </w:pPr>
            <w:r>
              <w:rPr>
                <w:rFonts w:ascii="Times New Roman" w:hAnsi="Times New Roman"/>
                <w:sz w:val="22"/>
              </w:rPr>
              <w:t>——</w:t>
            </w:r>
          </w:p>
        </w:tc>
        <w:tc>
          <w:tcPr>
            <w:tcW w:w="717" w:type="dxa"/>
            <w:noWrap w:val="0"/>
            <w:vAlign w:val="center"/>
          </w:tcPr>
          <w:p>
            <w:pPr>
              <w:jc w:val="center"/>
              <w:rPr>
                <w:rFonts w:ascii="Times New Roman" w:hAnsi="Times New Roman"/>
                <w:sz w:val="22"/>
              </w:rPr>
            </w:pPr>
            <w:r>
              <w:rPr>
                <w:rFonts w:ascii="Times New Roman" w:hAnsi="Times New Roman"/>
                <w:sz w:val="22"/>
              </w:rPr>
              <w:t>52</w:t>
            </w:r>
          </w:p>
        </w:tc>
        <w:tc>
          <w:tcPr>
            <w:tcW w:w="848" w:type="dxa"/>
            <w:noWrap w:val="0"/>
            <w:vAlign w:val="center"/>
          </w:tcPr>
          <w:p>
            <w:pPr>
              <w:jc w:val="center"/>
              <w:rPr>
                <w:rFonts w:ascii="Times New Roman" w:hAnsi="Times New Roman"/>
                <w:sz w:val="22"/>
              </w:rPr>
            </w:pPr>
            <w:r>
              <w:rPr>
                <w:rFonts w:ascii="Times New Roman" w:hAnsi="Times New Roman"/>
                <w:sz w:val="22"/>
              </w:rPr>
              <w:t>78</w:t>
            </w:r>
          </w:p>
        </w:tc>
        <w:tc>
          <w:tcPr>
            <w:tcW w:w="989" w:type="dxa"/>
            <w:noWrap w:val="0"/>
            <w:vAlign w:val="center"/>
          </w:tcPr>
          <w:p>
            <w:pPr>
              <w:jc w:val="center"/>
              <w:rPr>
                <w:rFonts w:ascii="Times New Roman" w:hAnsi="Times New Roman"/>
                <w:sz w:val="22"/>
              </w:rPr>
            </w:pPr>
            <w:r>
              <w:rPr>
                <w:rFonts w:ascii="Times New Roman" w:hAnsi="Times New Roman"/>
                <w:sz w:val="22"/>
              </w:rPr>
              <w:t>——</w:t>
            </w:r>
          </w:p>
        </w:tc>
        <w:tc>
          <w:tcPr>
            <w:tcW w:w="706" w:type="dxa"/>
            <w:noWrap w:val="0"/>
            <w:vAlign w:val="center"/>
          </w:tcPr>
          <w:p>
            <w:pPr>
              <w:jc w:val="center"/>
              <w:rPr>
                <w:rFonts w:ascii="Times New Roman" w:hAnsi="Times New Roman"/>
                <w:sz w:val="22"/>
              </w:rPr>
            </w:pPr>
            <w:r>
              <w:rPr>
                <w:rFonts w:ascii="Times New Roman" w:hAnsi="Times New Roman"/>
                <w:sz w:val="22"/>
              </w:rPr>
              <w:t>51</w:t>
            </w:r>
          </w:p>
        </w:tc>
        <w:tc>
          <w:tcPr>
            <w:tcW w:w="848" w:type="dxa"/>
            <w:noWrap w:val="0"/>
            <w:vAlign w:val="center"/>
          </w:tcPr>
          <w:p>
            <w:pPr>
              <w:jc w:val="center"/>
              <w:rPr>
                <w:rFonts w:ascii="Times New Roman" w:hAnsi="Times New Roman"/>
                <w:sz w:val="22"/>
              </w:rPr>
            </w:pPr>
            <w:r>
              <w:rPr>
                <w:rFonts w:ascii="Times New Roman" w:hAnsi="Times New Roman"/>
                <w:sz w:val="22"/>
              </w:rPr>
              <w:t>72</w:t>
            </w:r>
          </w:p>
        </w:tc>
        <w:tc>
          <w:tcPr>
            <w:tcW w:w="989" w:type="dxa"/>
            <w:noWrap w:val="0"/>
            <w:vAlign w:val="center"/>
          </w:tcPr>
          <w:p>
            <w:pPr>
              <w:jc w:val="center"/>
              <w:rPr>
                <w:rFonts w:ascii="Times New Roman" w:hAnsi="Times New Roman"/>
                <w:sz w:val="22"/>
              </w:rPr>
            </w:pPr>
            <w:r>
              <w:rPr>
                <w:rFonts w:ascii="Times New Roman" w:hAnsi="Times New Roman"/>
                <w:sz w:val="22"/>
              </w:rPr>
              <w:t>——</w:t>
            </w:r>
          </w:p>
        </w:tc>
        <w:tc>
          <w:tcPr>
            <w:tcW w:w="703" w:type="dxa"/>
            <w:noWrap w:val="0"/>
            <w:vAlign w:val="center"/>
          </w:tcPr>
          <w:p>
            <w:pPr>
              <w:jc w:val="center"/>
              <w:rPr>
                <w:rFonts w:ascii="Times New Roman" w:hAnsi="Times New Roman"/>
                <w:sz w:val="22"/>
              </w:rPr>
            </w:pPr>
            <w:r>
              <w:rPr>
                <w:rFonts w:ascii="Times New Roman" w:hAnsi="Times New Roman"/>
                <w:sz w:val="22"/>
              </w:rPr>
              <w:t>45</w:t>
            </w:r>
          </w:p>
        </w:tc>
        <w:tc>
          <w:tcPr>
            <w:tcW w:w="848" w:type="dxa"/>
            <w:noWrap w:val="0"/>
            <w:vAlign w:val="center"/>
          </w:tcPr>
          <w:p>
            <w:pPr>
              <w:jc w:val="center"/>
              <w:rPr>
                <w:rFonts w:ascii="Times New Roman" w:hAnsi="Times New Roman"/>
                <w:sz w:val="22"/>
              </w:rPr>
            </w:pPr>
            <w:r>
              <w:rPr>
                <w:rFonts w:ascii="Times New Roman" w:hAnsi="Times New Roman"/>
                <w:sz w:val="22"/>
              </w:rPr>
              <w:t>81</w:t>
            </w:r>
          </w:p>
        </w:tc>
        <w:tc>
          <w:tcPr>
            <w:tcW w:w="984" w:type="dxa"/>
            <w:noWrap w:val="0"/>
            <w:vAlign w:val="center"/>
          </w:tcPr>
          <w:p>
            <w:pPr>
              <w:jc w:val="center"/>
              <w:rPr>
                <w:rFonts w:ascii="Times New Roman" w:hAnsi="Times New Roman"/>
                <w:sz w:val="22"/>
              </w:rPr>
            </w:pPr>
            <w:r>
              <w:rPr>
                <w:rFonts w:ascii="Times New Roman" w:hAnsi="Times New Roman"/>
                <w:sz w:val="22"/>
              </w:rPr>
              <w:t>——</w:t>
            </w:r>
          </w:p>
        </w:tc>
        <w:tc>
          <w:tcPr>
            <w:tcW w:w="706" w:type="dxa"/>
            <w:noWrap w:val="0"/>
            <w:vAlign w:val="center"/>
          </w:tcPr>
          <w:p>
            <w:pPr>
              <w:jc w:val="center"/>
              <w:rPr>
                <w:rFonts w:ascii="Times New Roman" w:hAnsi="Times New Roman"/>
                <w:sz w:val="22"/>
              </w:rPr>
            </w:pPr>
            <w:r>
              <w:rPr>
                <w:rFonts w:ascii="Times New Roman" w:hAnsi="Times New Roman"/>
                <w:sz w:val="22"/>
              </w:rPr>
              <w:t>54</w:t>
            </w:r>
          </w:p>
        </w:tc>
        <w:tc>
          <w:tcPr>
            <w:tcW w:w="706" w:type="dxa"/>
            <w:noWrap w:val="0"/>
            <w:vAlign w:val="center"/>
          </w:tcPr>
          <w:p>
            <w:pPr>
              <w:jc w:val="center"/>
              <w:rPr>
                <w:rFonts w:ascii="Times New Roman" w:hAnsi="Times New Roman"/>
                <w:sz w:val="22"/>
              </w:rPr>
            </w:pPr>
            <w:r>
              <w:rPr>
                <w:rFonts w:ascii="Times New Roman" w:hAnsi="Times New Roman"/>
                <w:sz w:val="22"/>
              </w:rPr>
              <w:t>76</w:t>
            </w:r>
          </w:p>
        </w:tc>
        <w:tc>
          <w:tcPr>
            <w:tcW w:w="989" w:type="dxa"/>
            <w:noWrap w:val="0"/>
            <w:vAlign w:val="center"/>
          </w:tcPr>
          <w:p>
            <w:pPr>
              <w:jc w:val="center"/>
              <w:rPr>
                <w:rFonts w:ascii="Times New Roman" w:hAnsi="Times New Roman"/>
                <w:sz w:val="22"/>
              </w:rPr>
            </w:pPr>
            <w:r>
              <w:rPr>
                <w:rFonts w:ascii="Times New Roman" w:hAnsi="Times New Roman"/>
                <w:sz w:val="22"/>
              </w:rPr>
              <w:t>——</w:t>
            </w:r>
          </w:p>
        </w:tc>
        <w:tc>
          <w:tcPr>
            <w:tcW w:w="782" w:type="dxa"/>
            <w:noWrap w:val="0"/>
            <w:vAlign w:val="center"/>
          </w:tcPr>
          <w:p>
            <w:pPr>
              <w:jc w:val="center"/>
              <w:rPr>
                <w:rFonts w:ascii="Times New Roman" w:hAnsi="Times New Roman"/>
                <w:sz w:val="22"/>
              </w:rPr>
            </w:pPr>
            <w:r>
              <w:rPr>
                <w:rFonts w:ascii="Times New Roman" w:hAnsi="Times New Roman"/>
                <w:sz w:val="22"/>
              </w:rPr>
              <w:t>49</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665" w:type="dxa"/>
            <w:noWrap w:val="0"/>
            <w:vAlign w:val="center"/>
          </w:tcPr>
          <w:p>
            <w:pPr>
              <w:widowControl/>
              <w:jc w:val="center"/>
              <w:rPr>
                <w:rFonts w:ascii="Times New Roman" w:hAnsi="Times New Roman"/>
                <w:bCs/>
                <w:sz w:val="24"/>
              </w:rPr>
            </w:pPr>
            <w:r>
              <w:rPr>
                <w:rFonts w:ascii="Times New Roman"/>
                <w:bCs/>
                <w:sz w:val="24"/>
              </w:rPr>
              <w:t>武进经开区</w:t>
            </w:r>
          </w:p>
        </w:tc>
        <w:tc>
          <w:tcPr>
            <w:tcW w:w="706" w:type="dxa"/>
            <w:noWrap w:val="0"/>
            <w:vAlign w:val="center"/>
          </w:tcPr>
          <w:p>
            <w:pPr>
              <w:jc w:val="center"/>
              <w:rPr>
                <w:rFonts w:ascii="Times New Roman" w:hAnsi="Times New Roman"/>
                <w:sz w:val="22"/>
              </w:rPr>
            </w:pPr>
            <w:r>
              <w:rPr>
                <w:rFonts w:ascii="Times New Roman" w:hAnsi="Times New Roman"/>
                <w:sz w:val="22"/>
              </w:rPr>
              <w:t>64</w:t>
            </w:r>
          </w:p>
        </w:tc>
        <w:tc>
          <w:tcPr>
            <w:tcW w:w="989" w:type="dxa"/>
            <w:noWrap w:val="0"/>
            <w:vAlign w:val="center"/>
          </w:tcPr>
          <w:p>
            <w:pPr>
              <w:jc w:val="center"/>
              <w:rPr>
                <w:rFonts w:ascii="Times New Roman" w:hAnsi="Times New Roman"/>
                <w:sz w:val="22"/>
              </w:rPr>
            </w:pPr>
            <w:r>
              <w:rPr>
                <w:rFonts w:ascii="Times New Roman" w:hAnsi="Times New Roman"/>
                <w:sz w:val="22"/>
              </w:rPr>
              <w:t>——</w:t>
            </w:r>
          </w:p>
        </w:tc>
        <w:tc>
          <w:tcPr>
            <w:tcW w:w="717" w:type="dxa"/>
            <w:noWrap w:val="0"/>
            <w:vAlign w:val="center"/>
          </w:tcPr>
          <w:p>
            <w:pPr>
              <w:jc w:val="center"/>
              <w:rPr>
                <w:rFonts w:ascii="Times New Roman" w:hAnsi="Times New Roman"/>
                <w:sz w:val="22"/>
              </w:rPr>
            </w:pPr>
            <w:r>
              <w:rPr>
                <w:rFonts w:ascii="Times New Roman" w:hAnsi="Times New Roman"/>
                <w:sz w:val="22"/>
              </w:rPr>
              <w:t>38</w:t>
            </w:r>
          </w:p>
        </w:tc>
        <w:tc>
          <w:tcPr>
            <w:tcW w:w="848" w:type="dxa"/>
            <w:noWrap w:val="0"/>
            <w:vAlign w:val="center"/>
          </w:tcPr>
          <w:p>
            <w:pPr>
              <w:jc w:val="center"/>
              <w:rPr>
                <w:rFonts w:ascii="Times New Roman" w:hAnsi="Times New Roman"/>
                <w:sz w:val="22"/>
              </w:rPr>
            </w:pPr>
            <w:r>
              <w:rPr>
                <w:rFonts w:ascii="Times New Roman" w:hAnsi="Times New Roman"/>
                <w:sz w:val="22"/>
              </w:rPr>
              <w:t>63</w:t>
            </w:r>
          </w:p>
        </w:tc>
        <w:tc>
          <w:tcPr>
            <w:tcW w:w="989" w:type="dxa"/>
            <w:noWrap w:val="0"/>
            <w:vAlign w:val="center"/>
          </w:tcPr>
          <w:p>
            <w:pPr>
              <w:jc w:val="center"/>
              <w:rPr>
                <w:rFonts w:ascii="Times New Roman" w:hAnsi="Times New Roman"/>
                <w:sz w:val="22"/>
              </w:rPr>
            </w:pPr>
            <w:r>
              <w:rPr>
                <w:rFonts w:ascii="Times New Roman" w:hAnsi="Times New Roman"/>
                <w:sz w:val="22"/>
              </w:rPr>
              <w:t>——</w:t>
            </w:r>
          </w:p>
        </w:tc>
        <w:tc>
          <w:tcPr>
            <w:tcW w:w="706" w:type="dxa"/>
            <w:noWrap w:val="0"/>
            <w:vAlign w:val="center"/>
          </w:tcPr>
          <w:p>
            <w:pPr>
              <w:jc w:val="center"/>
              <w:rPr>
                <w:rFonts w:ascii="Times New Roman" w:hAnsi="Times New Roman"/>
                <w:sz w:val="22"/>
              </w:rPr>
            </w:pPr>
            <w:r>
              <w:rPr>
                <w:rFonts w:ascii="Times New Roman" w:hAnsi="Times New Roman"/>
                <w:sz w:val="22"/>
              </w:rPr>
              <w:t>36</w:t>
            </w:r>
          </w:p>
        </w:tc>
        <w:tc>
          <w:tcPr>
            <w:tcW w:w="848" w:type="dxa"/>
            <w:noWrap w:val="0"/>
            <w:vAlign w:val="center"/>
          </w:tcPr>
          <w:p>
            <w:pPr>
              <w:jc w:val="center"/>
              <w:rPr>
                <w:rFonts w:ascii="Times New Roman" w:hAnsi="Times New Roman"/>
                <w:sz w:val="22"/>
              </w:rPr>
            </w:pPr>
            <w:r>
              <w:rPr>
                <w:rFonts w:ascii="Times New Roman" w:hAnsi="Times New Roman"/>
                <w:sz w:val="22"/>
              </w:rPr>
              <w:t>58</w:t>
            </w:r>
          </w:p>
        </w:tc>
        <w:tc>
          <w:tcPr>
            <w:tcW w:w="989" w:type="dxa"/>
            <w:noWrap w:val="0"/>
            <w:vAlign w:val="center"/>
          </w:tcPr>
          <w:p>
            <w:pPr>
              <w:jc w:val="center"/>
              <w:rPr>
                <w:rFonts w:ascii="Times New Roman" w:hAnsi="Times New Roman"/>
                <w:sz w:val="22"/>
              </w:rPr>
            </w:pPr>
            <w:r>
              <w:rPr>
                <w:rFonts w:ascii="Times New Roman" w:hAnsi="Times New Roman"/>
                <w:sz w:val="22"/>
              </w:rPr>
              <w:t>——</w:t>
            </w:r>
          </w:p>
        </w:tc>
        <w:tc>
          <w:tcPr>
            <w:tcW w:w="703" w:type="dxa"/>
            <w:noWrap w:val="0"/>
            <w:vAlign w:val="center"/>
          </w:tcPr>
          <w:p>
            <w:pPr>
              <w:jc w:val="center"/>
              <w:rPr>
                <w:rFonts w:ascii="Times New Roman" w:hAnsi="Times New Roman"/>
                <w:sz w:val="22"/>
              </w:rPr>
            </w:pPr>
            <w:r>
              <w:rPr>
                <w:rFonts w:ascii="Times New Roman" w:hAnsi="Times New Roman"/>
                <w:sz w:val="22"/>
              </w:rPr>
              <w:t>31</w:t>
            </w:r>
          </w:p>
        </w:tc>
        <w:tc>
          <w:tcPr>
            <w:tcW w:w="848" w:type="dxa"/>
            <w:noWrap w:val="0"/>
            <w:vAlign w:val="center"/>
          </w:tcPr>
          <w:p>
            <w:pPr>
              <w:jc w:val="center"/>
              <w:rPr>
                <w:rFonts w:ascii="Times New Roman" w:hAnsi="Times New Roman"/>
                <w:sz w:val="22"/>
              </w:rPr>
            </w:pPr>
            <w:r>
              <w:rPr>
                <w:rFonts w:ascii="Times New Roman" w:hAnsi="Times New Roman"/>
                <w:sz w:val="22"/>
              </w:rPr>
              <w:t>53</w:t>
            </w:r>
          </w:p>
        </w:tc>
        <w:tc>
          <w:tcPr>
            <w:tcW w:w="984" w:type="dxa"/>
            <w:noWrap w:val="0"/>
            <w:vAlign w:val="center"/>
          </w:tcPr>
          <w:p>
            <w:pPr>
              <w:jc w:val="center"/>
              <w:rPr>
                <w:rFonts w:ascii="Times New Roman" w:hAnsi="Times New Roman"/>
                <w:sz w:val="22"/>
              </w:rPr>
            </w:pPr>
            <w:r>
              <w:rPr>
                <w:rFonts w:ascii="Times New Roman" w:hAnsi="Times New Roman"/>
                <w:sz w:val="22"/>
              </w:rPr>
              <w:t>——</w:t>
            </w:r>
          </w:p>
        </w:tc>
        <w:tc>
          <w:tcPr>
            <w:tcW w:w="706" w:type="dxa"/>
            <w:noWrap w:val="0"/>
            <w:vAlign w:val="center"/>
          </w:tcPr>
          <w:p>
            <w:pPr>
              <w:jc w:val="center"/>
              <w:rPr>
                <w:rFonts w:ascii="Times New Roman" w:hAnsi="Times New Roman"/>
                <w:sz w:val="22"/>
              </w:rPr>
            </w:pPr>
            <w:r>
              <w:rPr>
                <w:rFonts w:ascii="Times New Roman" w:hAnsi="Times New Roman"/>
                <w:sz w:val="22"/>
              </w:rPr>
              <w:t>26</w:t>
            </w:r>
          </w:p>
        </w:tc>
        <w:tc>
          <w:tcPr>
            <w:tcW w:w="706" w:type="dxa"/>
            <w:noWrap w:val="0"/>
            <w:vAlign w:val="center"/>
          </w:tcPr>
          <w:p>
            <w:pPr>
              <w:jc w:val="center"/>
              <w:rPr>
                <w:rFonts w:ascii="Times New Roman" w:hAnsi="Times New Roman"/>
                <w:sz w:val="22"/>
              </w:rPr>
            </w:pPr>
            <w:r>
              <w:rPr>
                <w:rFonts w:ascii="Times New Roman" w:hAnsi="Times New Roman"/>
                <w:sz w:val="22"/>
              </w:rPr>
              <w:t>50</w:t>
            </w:r>
          </w:p>
        </w:tc>
        <w:tc>
          <w:tcPr>
            <w:tcW w:w="989" w:type="dxa"/>
            <w:noWrap w:val="0"/>
            <w:vAlign w:val="center"/>
          </w:tcPr>
          <w:p>
            <w:pPr>
              <w:jc w:val="center"/>
              <w:rPr>
                <w:rFonts w:ascii="Times New Roman" w:hAnsi="Times New Roman"/>
                <w:sz w:val="22"/>
              </w:rPr>
            </w:pPr>
            <w:r>
              <w:rPr>
                <w:rFonts w:ascii="Times New Roman" w:hAnsi="Times New Roman"/>
                <w:sz w:val="22"/>
              </w:rPr>
              <w:t>——</w:t>
            </w:r>
          </w:p>
        </w:tc>
        <w:tc>
          <w:tcPr>
            <w:tcW w:w="782" w:type="dxa"/>
            <w:noWrap w:val="0"/>
            <w:vAlign w:val="center"/>
          </w:tcPr>
          <w:p>
            <w:pPr>
              <w:jc w:val="center"/>
              <w:rPr>
                <w:rFonts w:ascii="Times New Roman" w:hAnsi="Times New Roman"/>
                <w:sz w:val="22"/>
              </w:rPr>
            </w:pPr>
            <w:r>
              <w:rPr>
                <w:rFonts w:ascii="Times New Roman" w:hAnsi="Times New Roman"/>
                <w:sz w:val="22"/>
              </w:rPr>
              <w:t>23</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665" w:type="dxa"/>
            <w:noWrap w:val="0"/>
            <w:vAlign w:val="center"/>
          </w:tcPr>
          <w:p>
            <w:pPr>
              <w:widowControl/>
              <w:jc w:val="center"/>
              <w:rPr>
                <w:rFonts w:ascii="Times New Roman" w:hAnsi="Times New Roman"/>
                <w:bCs/>
                <w:sz w:val="24"/>
              </w:rPr>
            </w:pPr>
            <w:r>
              <w:rPr>
                <w:rFonts w:ascii="Times New Roman"/>
                <w:bCs/>
                <w:sz w:val="24"/>
              </w:rPr>
              <w:t>天宁经开区</w:t>
            </w:r>
          </w:p>
        </w:tc>
        <w:tc>
          <w:tcPr>
            <w:tcW w:w="706" w:type="dxa"/>
            <w:noWrap w:val="0"/>
            <w:vAlign w:val="center"/>
          </w:tcPr>
          <w:p>
            <w:pPr>
              <w:jc w:val="center"/>
              <w:rPr>
                <w:rFonts w:ascii="Times New Roman" w:hAnsi="Times New Roman"/>
                <w:sz w:val="22"/>
              </w:rPr>
            </w:pPr>
            <w:r>
              <w:rPr>
                <w:rFonts w:ascii="Times New Roman" w:hAnsi="Times New Roman"/>
                <w:sz w:val="22"/>
              </w:rPr>
              <w:t>65</w:t>
            </w:r>
          </w:p>
        </w:tc>
        <w:tc>
          <w:tcPr>
            <w:tcW w:w="989" w:type="dxa"/>
            <w:noWrap w:val="0"/>
            <w:vAlign w:val="center"/>
          </w:tcPr>
          <w:p>
            <w:pPr>
              <w:jc w:val="center"/>
              <w:rPr>
                <w:rFonts w:ascii="Times New Roman" w:hAnsi="Times New Roman"/>
                <w:sz w:val="22"/>
              </w:rPr>
            </w:pPr>
            <w:r>
              <w:rPr>
                <w:rFonts w:ascii="Times New Roman" w:hAnsi="Times New Roman"/>
                <w:sz w:val="22"/>
              </w:rPr>
              <w:t>——</w:t>
            </w:r>
          </w:p>
        </w:tc>
        <w:tc>
          <w:tcPr>
            <w:tcW w:w="717" w:type="dxa"/>
            <w:noWrap w:val="0"/>
            <w:vAlign w:val="center"/>
          </w:tcPr>
          <w:p>
            <w:pPr>
              <w:jc w:val="center"/>
              <w:rPr>
                <w:rFonts w:ascii="Times New Roman" w:hAnsi="Times New Roman"/>
                <w:sz w:val="22"/>
              </w:rPr>
            </w:pPr>
            <w:r>
              <w:rPr>
                <w:rFonts w:ascii="Times New Roman" w:hAnsi="Times New Roman"/>
                <w:sz w:val="22"/>
              </w:rPr>
              <w:t>39</w:t>
            </w:r>
          </w:p>
        </w:tc>
        <w:tc>
          <w:tcPr>
            <w:tcW w:w="848" w:type="dxa"/>
            <w:noWrap w:val="0"/>
            <w:vAlign w:val="center"/>
          </w:tcPr>
          <w:p>
            <w:pPr>
              <w:jc w:val="center"/>
              <w:rPr>
                <w:rFonts w:ascii="Times New Roman" w:hAnsi="Times New Roman"/>
                <w:sz w:val="22"/>
              </w:rPr>
            </w:pPr>
            <w:r>
              <w:rPr>
                <w:rFonts w:ascii="Times New Roman" w:hAnsi="Times New Roman"/>
                <w:sz w:val="22"/>
              </w:rPr>
              <w:t>65</w:t>
            </w:r>
          </w:p>
        </w:tc>
        <w:tc>
          <w:tcPr>
            <w:tcW w:w="989" w:type="dxa"/>
            <w:noWrap w:val="0"/>
            <w:vAlign w:val="center"/>
          </w:tcPr>
          <w:p>
            <w:pPr>
              <w:jc w:val="center"/>
              <w:rPr>
                <w:rFonts w:ascii="Times New Roman" w:hAnsi="Times New Roman"/>
                <w:sz w:val="22"/>
              </w:rPr>
            </w:pPr>
            <w:r>
              <w:rPr>
                <w:rFonts w:ascii="Times New Roman" w:hAnsi="Times New Roman"/>
                <w:sz w:val="22"/>
              </w:rPr>
              <w:t>——</w:t>
            </w:r>
          </w:p>
        </w:tc>
        <w:tc>
          <w:tcPr>
            <w:tcW w:w="706" w:type="dxa"/>
            <w:noWrap w:val="0"/>
            <w:vAlign w:val="center"/>
          </w:tcPr>
          <w:p>
            <w:pPr>
              <w:jc w:val="center"/>
              <w:rPr>
                <w:rFonts w:ascii="Times New Roman" w:hAnsi="Times New Roman"/>
                <w:sz w:val="22"/>
              </w:rPr>
            </w:pPr>
            <w:r>
              <w:rPr>
                <w:rFonts w:ascii="Times New Roman" w:hAnsi="Times New Roman"/>
                <w:sz w:val="22"/>
              </w:rPr>
              <w:t>38</w:t>
            </w:r>
          </w:p>
        </w:tc>
        <w:tc>
          <w:tcPr>
            <w:tcW w:w="848" w:type="dxa"/>
            <w:noWrap w:val="0"/>
            <w:vAlign w:val="center"/>
          </w:tcPr>
          <w:p>
            <w:pPr>
              <w:jc w:val="center"/>
              <w:rPr>
                <w:rFonts w:ascii="Times New Roman" w:hAnsi="Times New Roman"/>
                <w:sz w:val="22"/>
              </w:rPr>
            </w:pPr>
            <w:r>
              <w:rPr>
                <w:rFonts w:ascii="Times New Roman" w:hAnsi="Times New Roman"/>
                <w:sz w:val="22"/>
              </w:rPr>
              <w:t>55</w:t>
            </w:r>
          </w:p>
        </w:tc>
        <w:tc>
          <w:tcPr>
            <w:tcW w:w="989" w:type="dxa"/>
            <w:noWrap w:val="0"/>
            <w:vAlign w:val="center"/>
          </w:tcPr>
          <w:p>
            <w:pPr>
              <w:jc w:val="center"/>
              <w:rPr>
                <w:rFonts w:ascii="Times New Roman" w:hAnsi="Times New Roman"/>
                <w:sz w:val="22"/>
              </w:rPr>
            </w:pPr>
            <w:r>
              <w:rPr>
                <w:rFonts w:ascii="Times New Roman" w:hAnsi="Times New Roman"/>
                <w:sz w:val="22"/>
              </w:rPr>
              <w:t>——</w:t>
            </w:r>
          </w:p>
        </w:tc>
        <w:tc>
          <w:tcPr>
            <w:tcW w:w="703" w:type="dxa"/>
            <w:noWrap w:val="0"/>
            <w:vAlign w:val="center"/>
          </w:tcPr>
          <w:p>
            <w:pPr>
              <w:jc w:val="center"/>
              <w:rPr>
                <w:rFonts w:ascii="Times New Roman" w:hAnsi="Times New Roman"/>
                <w:sz w:val="22"/>
              </w:rPr>
            </w:pPr>
            <w:r>
              <w:rPr>
                <w:rFonts w:ascii="Times New Roman" w:hAnsi="Times New Roman"/>
                <w:sz w:val="22"/>
              </w:rPr>
              <w:t>28</w:t>
            </w:r>
          </w:p>
        </w:tc>
        <w:tc>
          <w:tcPr>
            <w:tcW w:w="848" w:type="dxa"/>
            <w:noWrap w:val="0"/>
            <w:vAlign w:val="center"/>
          </w:tcPr>
          <w:p>
            <w:pPr>
              <w:jc w:val="center"/>
              <w:rPr>
                <w:rFonts w:ascii="Times New Roman" w:hAnsi="Times New Roman"/>
                <w:sz w:val="22"/>
              </w:rPr>
            </w:pPr>
            <w:r>
              <w:rPr>
                <w:rFonts w:ascii="Times New Roman" w:hAnsi="Times New Roman"/>
                <w:sz w:val="22"/>
              </w:rPr>
              <w:t>50</w:t>
            </w:r>
          </w:p>
        </w:tc>
        <w:tc>
          <w:tcPr>
            <w:tcW w:w="984" w:type="dxa"/>
            <w:noWrap w:val="0"/>
            <w:vAlign w:val="center"/>
          </w:tcPr>
          <w:p>
            <w:pPr>
              <w:jc w:val="center"/>
              <w:rPr>
                <w:rFonts w:ascii="Times New Roman" w:hAnsi="Times New Roman"/>
                <w:sz w:val="22"/>
              </w:rPr>
            </w:pPr>
            <w:r>
              <w:rPr>
                <w:rFonts w:ascii="Times New Roman" w:hAnsi="Times New Roman"/>
                <w:sz w:val="22"/>
              </w:rPr>
              <w:t>——</w:t>
            </w:r>
          </w:p>
        </w:tc>
        <w:tc>
          <w:tcPr>
            <w:tcW w:w="706" w:type="dxa"/>
            <w:noWrap w:val="0"/>
            <w:vAlign w:val="center"/>
          </w:tcPr>
          <w:p>
            <w:pPr>
              <w:jc w:val="center"/>
              <w:rPr>
                <w:rFonts w:ascii="Times New Roman" w:hAnsi="Times New Roman"/>
                <w:sz w:val="22"/>
              </w:rPr>
            </w:pPr>
            <w:r>
              <w:rPr>
                <w:rFonts w:ascii="Times New Roman" w:hAnsi="Times New Roman"/>
                <w:sz w:val="22"/>
              </w:rPr>
              <w:t>23</w:t>
            </w:r>
          </w:p>
        </w:tc>
        <w:tc>
          <w:tcPr>
            <w:tcW w:w="706" w:type="dxa"/>
            <w:noWrap w:val="0"/>
            <w:vAlign w:val="center"/>
          </w:tcPr>
          <w:p>
            <w:pPr>
              <w:jc w:val="center"/>
              <w:rPr>
                <w:rFonts w:ascii="Times New Roman" w:hAnsi="Times New Roman"/>
                <w:sz w:val="22"/>
              </w:rPr>
            </w:pPr>
            <w:r>
              <w:rPr>
                <w:rFonts w:ascii="Times New Roman" w:hAnsi="Times New Roman"/>
                <w:sz w:val="22"/>
              </w:rPr>
              <w:t>49</w:t>
            </w:r>
          </w:p>
        </w:tc>
        <w:tc>
          <w:tcPr>
            <w:tcW w:w="989" w:type="dxa"/>
            <w:noWrap w:val="0"/>
            <w:vAlign w:val="center"/>
          </w:tcPr>
          <w:p>
            <w:pPr>
              <w:jc w:val="center"/>
              <w:rPr>
                <w:rFonts w:ascii="Times New Roman" w:hAnsi="Times New Roman"/>
                <w:sz w:val="22"/>
              </w:rPr>
            </w:pPr>
            <w:r>
              <w:rPr>
                <w:rFonts w:ascii="Times New Roman" w:hAnsi="Times New Roman"/>
                <w:sz w:val="22"/>
              </w:rPr>
              <w:t>——</w:t>
            </w:r>
          </w:p>
        </w:tc>
        <w:tc>
          <w:tcPr>
            <w:tcW w:w="782" w:type="dxa"/>
            <w:noWrap w:val="0"/>
            <w:vAlign w:val="center"/>
          </w:tcPr>
          <w:p>
            <w:pPr>
              <w:jc w:val="center"/>
              <w:rPr>
                <w:rFonts w:ascii="Times New Roman" w:hAnsi="Times New Roman"/>
                <w:sz w:val="22"/>
              </w:rPr>
            </w:pPr>
            <w:r>
              <w:rPr>
                <w:rFonts w:ascii="Times New Roman" w:hAnsi="Times New Roman"/>
                <w:sz w:val="22"/>
              </w:rPr>
              <w:t>22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665" w:type="dxa"/>
            <w:noWrap w:val="0"/>
            <w:vAlign w:val="center"/>
          </w:tcPr>
          <w:p>
            <w:pPr>
              <w:widowControl/>
              <w:jc w:val="center"/>
              <w:rPr>
                <w:rFonts w:ascii="Times New Roman" w:hAnsi="Times New Roman"/>
                <w:bCs/>
                <w:sz w:val="24"/>
              </w:rPr>
            </w:pPr>
            <w:r>
              <w:rPr>
                <w:rFonts w:ascii="Times New Roman"/>
                <w:bCs/>
                <w:sz w:val="24"/>
              </w:rPr>
              <w:t>钟楼经开区</w:t>
            </w:r>
          </w:p>
        </w:tc>
        <w:tc>
          <w:tcPr>
            <w:tcW w:w="706" w:type="dxa"/>
            <w:noWrap w:val="0"/>
            <w:vAlign w:val="center"/>
          </w:tcPr>
          <w:p>
            <w:pPr>
              <w:jc w:val="center"/>
              <w:rPr>
                <w:rFonts w:ascii="Times New Roman" w:hAnsi="Times New Roman"/>
                <w:sz w:val="22"/>
              </w:rPr>
            </w:pPr>
            <w:r>
              <w:rPr>
                <w:rFonts w:ascii="Times New Roman" w:hAnsi="Times New Roman"/>
                <w:sz w:val="22"/>
              </w:rPr>
              <w:t>76</w:t>
            </w:r>
          </w:p>
        </w:tc>
        <w:tc>
          <w:tcPr>
            <w:tcW w:w="989" w:type="dxa"/>
            <w:noWrap w:val="0"/>
            <w:vAlign w:val="center"/>
          </w:tcPr>
          <w:p>
            <w:pPr>
              <w:jc w:val="center"/>
              <w:rPr>
                <w:rFonts w:ascii="Times New Roman" w:hAnsi="Times New Roman"/>
                <w:sz w:val="22"/>
              </w:rPr>
            </w:pPr>
            <w:r>
              <w:rPr>
                <w:rFonts w:ascii="Times New Roman" w:hAnsi="Times New Roman"/>
                <w:sz w:val="22"/>
              </w:rPr>
              <w:t>——</w:t>
            </w:r>
          </w:p>
        </w:tc>
        <w:tc>
          <w:tcPr>
            <w:tcW w:w="717" w:type="dxa"/>
            <w:noWrap w:val="0"/>
            <w:vAlign w:val="center"/>
          </w:tcPr>
          <w:p>
            <w:pPr>
              <w:jc w:val="center"/>
              <w:rPr>
                <w:rFonts w:ascii="Times New Roman" w:hAnsi="Times New Roman"/>
                <w:sz w:val="22"/>
              </w:rPr>
            </w:pPr>
            <w:r>
              <w:rPr>
                <w:rFonts w:ascii="Times New Roman" w:hAnsi="Times New Roman"/>
                <w:sz w:val="22"/>
              </w:rPr>
              <w:t>49</w:t>
            </w:r>
          </w:p>
        </w:tc>
        <w:tc>
          <w:tcPr>
            <w:tcW w:w="848" w:type="dxa"/>
            <w:noWrap w:val="0"/>
            <w:vAlign w:val="center"/>
          </w:tcPr>
          <w:p>
            <w:pPr>
              <w:jc w:val="center"/>
              <w:rPr>
                <w:rFonts w:ascii="Times New Roman" w:hAnsi="Times New Roman"/>
                <w:sz w:val="22"/>
              </w:rPr>
            </w:pPr>
            <w:r>
              <w:rPr>
                <w:rFonts w:ascii="Times New Roman" w:hAnsi="Times New Roman"/>
                <w:sz w:val="22"/>
              </w:rPr>
              <w:t>71</w:t>
            </w:r>
          </w:p>
        </w:tc>
        <w:tc>
          <w:tcPr>
            <w:tcW w:w="989" w:type="dxa"/>
            <w:noWrap w:val="0"/>
            <w:vAlign w:val="center"/>
          </w:tcPr>
          <w:p>
            <w:pPr>
              <w:jc w:val="center"/>
              <w:rPr>
                <w:rFonts w:ascii="Times New Roman" w:hAnsi="Times New Roman"/>
                <w:sz w:val="22"/>
              </w:rPr>
            </w:pPr>
            <w:r>
              <w:rPr>
                <w:rFonts w:ascii="Times New Roman" w:hAnsi="Times New Roman"/>
                <w:sz w:val="22"/>
              </w:rPr>
              <w:t>——</w:t>
            </w:r>
          </w:p>
        </w:tc>
        <w:tc>
          <w:tcPr>
            <w:tcW w:w="706" w:type="dxa"/>
            <w:noWrap w:val="0"/>
            <w:vAlign w:val="center"/>
          </w:tcPr>
          <w:p>
            <w:pPr>
              <w:jc w:val="center"/>
              <w:rPr>
                <w:rFonts w:ascii="Times New Roman" w:hAnsi="Times New Roman"/>
                <w:sz w:val="22"/>
              </w:rPr>
            </w:pPr>
            <w:r>
              <w:rPr>
                <w:rFonts w:ascii="Times New Roman" w:hAnsi="Times New Roman"/>
                <w:sz w:val="22"/>
              </w:rPr>
              <w:t>44</w:t>
            </w:r>
          </w:p>
        </w:tc>
        <w:tc>
          <w:tcPr>
            <w:tcW w:w="848" w:type="dxa"/>
            <w:noWrap w:val="0"/>
            <w:vAlign w:val="center"/>
          </w:tcPr>
          <w:p>
            <w:pPr>
              <w:jc w:val="center"/>
              <w:rPr>
                <w:rFonts w:ascii="Times New Roman" w:hAnsi="Times New Roman"/>
                <w:sz w:val="22"/>
              </w:rPr>
            </w:pPr>
            <w:r>
              <w:rPr>
                <w:rFonts w:ascii="Times New Roman" w:hAnsi="Times New Roman"/>
                <w:sz w:val="22"/>
              </w:rPr>
              <w:t>49</w:t>
            </w:r>
          </w:p>
        </w:tc>
        <w:tc>
          <w:tcPr>
            <w:tcW w:w="989" w:type="dxa"/>
            <w:noWrap w:val="0"/>
            <w:vAlign w:val="center"/>
          </w:tcPr>
          <w:p>
            <w:pPr>
              <w:jc w:val="center"/>
              <w:rPr>
                <w:rFonts w:ascii="Times New Roman" w:hAnsi="Times New Roman"/>
                <w:sz w:val="22"/>
              </w:rPr>
            </w:pPr>
            <w:r>
              <w:rPr>
                <w:rFonts w:ascii="Times New Roman" w:hAnsi="Times New Roman"/>
                <w:sz w:val="22"/>
              </w:rPr>
              <w:t>——</w:t>
            </w:r>
          </w:p>
        </w:tc>
        <w:tc>
          <w:tcPr>
            <w:tcW w:w="703" w:type="dxa"/>
            <w:noWrap w:val="0"/>
            <w:vAlign w:val="center"/>
          </w:tcPr>
          <w:p>
            <w:pPr>
              <w:jc w:val="center"/>
              <w:rPr>
                <w:rFonts w:ascii="Times New Roman" w:hAnsi="Times New Roman"/>
                <w:sz w:val="22"/>
              </w:rPr>
            </w:pPr>
            <w:r>
              <w:rPr>
                <w:rFonts w:ascii="Times New Roman" w:hAnsi="Times New Roman"/>
                <w:sz w:val="22"/>
              </w:rPr>
              <w:t>23</w:t>
            </w:r>
          </w:p>
        </w:tc>
        <w:tc>
          <w:tcPr>
            <w:tcW w:w="848" w:type="dxa"/>
            <w:noWrap w:val="0"/>
            <w:vAlign w:val="center"/>
          </w:tcPr>
          <w:p>
            <w:pPr>
              <w:jc w:val="center"/>
              <w:rPr>
                <w:rFonts w:ascii="Times New Roman" w:hAnsi="Times New Roman"/>
                <w:sz w:val="22"/>
              </w:rPr>
            </w:pPr>
            <w:r>
              <w:rPr>
                <w:rFonts w:ascii="Times New Roman" w:hAnsi="Times New Roman"/>
                <w:sz w:val="22"/>
              </w:rPr>
              <w:t>51</w:t>
            </w:r>
          </w:p>
        </w:tc>
        <w:tc>
          <w:tcPr>
            <w:tcW w:w="984" w:type="dxa"/>
            <w:noWrap w:val="0"/>
            <w:vAlign w:val="center"/>
          </w:tcPr>
          <w:p>
            <w:pPr>
              <w:jc w:val="center"/>
              <w:rPr>
                <w:rFonts w:ascii="Times New Roman" w:hAnsi="Times New Roman"/>
                <w:sz w:val="22"/>
              </w:rPr>
            </w:pPr>
            <w:r>
              <w:rPr>
                <w:rFonts w:ascii="Times New Roman" w:hAnsi="Times New Roman"/>
                <w:sz w:val="22"/>
              </w:rPr>
              <w:t>——</w:t>
            </w:r>
          </w:p>
        </w:tc>
        <w:tc>
          <w:tcPr>
            <w:tcW w:w="706" w:type="dxa"/>
            <w:noWrap w:val="0"/>
            <w:vAlign w:val="center"/>
          </w:tcPr>
          <w:p>
            <w:pPr>
              <w:jc w:val="center"/>
              <w:rPr>
                <w:rFonts w:ascii="Times New Roman" w:hAnsi="Times New Roman"/>
                <w:sz w:val="22"/>
              </w:rPr>
            </w:pPr>
            <w:r>
              <w:rPr>
                <w:rFonts w:ascii="Times New Roman" w:hAnsi="Times New Roman"/>
                <w:sz w:val="22"/>
              </w:rPr>
              <w:t>24</w:t>
            </w:r>
          </w:p>
        </w:tc>
        <w:tc>
          <w:tcPr>
            <w:tcW w:w="706" w:type="dxa"/>
            <w:noWrap w:val="0"/>
            <w:vAlign w:val="center"/>
          </w:tcPr>
          <w:p>
            <w:pPr>
              <w:jc w:val="center"/>
              <w:rPr>
                <w:rFonts w:ascii="Times New Roman" w:hAnsi="Times New Roman"/>
                <w:sz w:val="22"/>
              </w:rPr>
            </w:pPr>
            <w:r>
              <w:rPr>
                <w:rFonts w:ascii="Times New Roman" w:hAnsi="Times New Roman"/>
                <w:sz w:val="22"/>
              </w:rPr>
              <w:t>60</w:t>
            </w:r>
          </w:p>
        </w:tc>
        <w:tc>
          <w:tcPr>
            <w:tcW w:w="989" w:type="dxa"/>
            <w:noWrap w:val="0"/>
            <w:vAlign w:val="center"/>
          </w:tcPr>
          <w:p>
            <w:pPr>
              <w:jc w:val="center"/>
              <w:rPr>
                <w:rFonts w:ascii="Times New Roman" w:hAnsi="Times New Roman"/>
                <w:sz w:val="22"/>
              </w:rPr>
            </w:pPr>
            <w:r>
              <w:rPr>
                <w:rFonts w:ascii="Times New Roman" w:hAnsi="Times New Roman"/>
                <w:sz w:val="22"/>
              </w:rPr>
              <w:t>——</w:t>
            </w:r>
          </w:p>
        </w:tc>
        <w:tc>
          <w:tcPr>
            <w:tcW w:w="782" w:type="dxa"/>
            <w:noWrap w:val="0"/>
            <w:vAlign w:val="center"/>
          </w:tcPr>
          <w:p>
            <w:pPr>
              <w:jc w:val="center"/>
              <w:rPr>
                <w:rFonts w:ascii="Times New Roman" w:hAnsi="Times New Roman"/>
                <w:sz w:val="22"/>
              </w:rPr>
            </w:pPr>
            <w:r>
              <w:rPr>
                <w:rFonts w:ascii="Times New Roman" w:hAnsi="Times New Roman"/>
                <w:sz w:val="22"/>
              </w:rPr>
              <w:t>33</w:t>
            </w:r>
          </w:p>
        </w:tc>
      </w:tr>
    </w:tbl>
    <w:p>
      <w:pPr>
        <w:adjustRightInd w:val="0"/>
        <w:snapToGrid w:val="0"/>
        <w:spacing w:line="480" w:lineRule="exact"/>
        <w:rPr>
          <w:rFonts w:ascii="Times New Roman" w:hAnsi="Times New Roman" w:eastAsia="方正小标宋简体"/>
          <w:sz w:val="44"/>
          <w:szCs w:val="44"/>
        </w:rPr>
      </w:pPr>
      <w:r>
        <w:rPr>
          <w:rFonts w:ascii="Times New Roman" w:hAnsi="Times New Roman"/>
          <w:bCs/>
          <w:szCs w:val="21"/>
        </w:rPr>
        <w:t>注：高新区参加省科技厅创新驱动发展综合评价，经开区参加省商务厅科学发展综合评价。</w:t>
      </w:r>
    </w:p>
    <w:p>
      <w:pPr>
        <w:overflowPunct w:val="0"/>
        <w:autoSpaceDE w:val="0"/>
        <w:autoSpaceDN w:val="0"/>
        <w:adjustRightInd w:val="0"/>
        <w:snapToGrid w:val="0"/>
        <w:spacing w:before="240" w:after="240" w:line="560" w:lineRule="exact"/>
        <w:jc w:val="center"/>
        <w:rPr>
          <w:rFonts w:hint="eastAsia" w:ascii="方正小标宋_GBK" w:hAnsi="Times New Roman" w:eastAsia="方正小标宋_GBK"/>
          <w:sz w:val="44"/>
          <w:szCs w:val="44"/>
        </w:rPr>
      </w:pPr>
      <w:r>
        <w:rPr>
          <w:rFonts w:hint="eastAsia" w:ascii="方正小标宋_GBK" w:hAnsi="Times New Roman" w:eastAsia="方正小标宋_GBK"/>
          <w:sz w:val="44"/>
          <w:szCs w:val="44"/>
        </w:rPr>
        <w:t>2020年全市省级以上开发区主要经济指标发展动态表</w:t>
      </w:r>
    </w:p>
    <w:tbl>
      <w:tblPr>
        <w:tblStyle w:val="3"/>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871"/>
        <w:gridCol w:w="1327"/>
        <w:gridCol w:w="1320"/>
        <w:gridCol w:w="1460"/>
        <w:gridCol w:w="1328"/>
        <w:gridCol w:w="1228"/>
        <w:gridCol w:w="1150"/>
        <w:gridCol w:w="1401"/>
        <w:gridCol w:w="1316"/>
        <w:gridCol w:w="1774"/>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1871" w:type="dxa"/>
            <w:vMerge w:val="restart"/>
            <w:noWrap/>
            <w:vAlign w:val="center"/>
          </w:tcPr>
          <w:p>
            <w:pPr>
              <w:widowControl/>
              <w:jc w:val="center"/>
              <w:rPr>
                <w:rFonts w:ascii="Times New Roman" w:hAnsi="Times New Roman" w:eastAsia="黑体"/>
                <w:bCs/>
                <w:sz w:val="24"/>
                <w:szCs w:val="24"/>
              </w:rPr>
            </w:pPr>
            <w:r>
              <w:rPr>
                <w:rFonts w:ascii="Times New Roman" w:hAnsi="Times New Roman" w:eastAsia="黑体"/>
                <w:bCs/>
                <w:sz w:val="24"/>
                <w:szCs w:val="24"/>
              </w:rPr>
              <w:t>单  位</w:t>
            </w:r>
          </w:p>
        </w:tc>
        <w:tc>
          <w:tcPr>
            <w:tcW w:w="2647" w:type="dxa"/>
            <w:gridSpan w:val="2"/>
            <w:noWrap w:val="0"/>
            <w:vAlign w:val="center"/>
          </w:tcPr>
          <w:p>
            <w:pPr>
              <w:widowControl/>
              <w:ind w:left="-57" w:right="-57"/>
              <w:jc w:val="center"/>
              <w:rPr>
                <w:rFonts w:ascii="Times New Roman" w:hAnsi="Times New Roman" w:eastAsia="黑体"/>
                <w:bCs/>
                <w:sz w:val="24"/>
                <w:szCs w:val="24"/>
              </w:rPr>
            </w:pPr>
            <w:r>
              <w:rPr>
                <w:rFonts w:ascii="Times New Roman" w:hAnsi="Times New Roman" w:eastAsia="黑体"/>
                <w:bCs/>
                <w:sz w:val="24"/>
                <w:szCs w:val="24"/>
              </w:rPr>
              <w:t>公共财政预算收入</w:t>
            </w:r>
          </w:p>
          <w:p>
            <w:pPr>
              <w:widowControl/>
              <w:ind w:left="-57" w:right="-57"/>
              <w:jc w:val="center"/>
              <w:rPr>
                <w:rFonts w:ascii="Times New Roman" w:hAnsi="Times New Roman" w:eastAsia="黑体"/>
                <w:bCs/>
                <w:sz w:val="24"/>
                <w:szCs w:val="24"/>
              </w:rPr>
            </w:pPr>
            <w:r>
              <w:rPr>
                <w:rFonts w:ascii="Times New Roman" w:hAnsi="Times New Roman" w:eastAsia="黑体"/>
                <w:bCs/>
                <w:sz w:val="24"/>
                <w:szCs w:val="24"/>
              </w:rPr>
              <w:t>（亿元）</w:t>
            </w:r>
          </w:p>
        </w:tc>
        <w:tc>
          <w:tcPr>
            <w:tcW w:w="2788" w:type="dxa"/>
            <w:gridSpan w:val="2"/>
            <w:noWrap w:val="0"/>
            <w:vAlign w:val="center"/>
          </w:tcPr>
          <w:p>
            <w:pPr>
              <w:widowControl/>
              <w:ind w:left="-57" w:right="-57"/>
              <w:jc w:val="center"/>
              <w:rPr>
                <w:rFonts w:ascii="Times New Roman" w:hAnsi="Times New Roman" w:eastAsia="黑体"/>
                <w:bCs/>
                <w:sz w:val="24"/>
                <w:szCs w:val="24"/>
              </w:rPr>
            </w:pPr>
            <w:r>
              <w:rPr>
                <w:rFonts w:ascii="Times New Roman" w:hAnsi="Times New Roman" w:eastAsia="黑体"/>
                <w:bCs/>
                <w:sz w:val="24"/>
                <w:szCs w:val="24"/>
              </w:rPr>
              <w:t>规上工业产值</w:t>
            </w:r>
          </w:p>
          <w:p>
            <w:pPr>
              <w:widowControl/>
              <w:ind w:left="-57" w:right="-57"/>
              <w:jc w:val="center"/>
              <w:rPr>
                <w:rFonts w:ascii="Times New Roman" w:hAnsi="Times New Roman" w:eastAsia="黑体"/>
                <w:bCs/>
                <w:sz w:val="24"/>
                <w:szCs w:val="24"/>
              </w:rPr>
            </w:pPr>
            <w:r>
              <w:rPr>
                <w:rFonts w:ascii="Times New Roman" w:hAnsi="Times New Roman" w:eastAsia="黑体"/>
                <w:bCs/>
                <w:sz w:val="24"/>
                <w:szCs w:val="24"/>
              </w:rPr>
              <w:t>（亿元）</w:t>
            </w:r>
          </w:p>
        </w:tc>
        <w:tc>
          <w:tcPr>
            <w:tcW w:w="2378" w:type="dxa"/>
            <w:gridSpan w:val="2"/>
            <w:noWrap w:val="0"/>
            <w:vAlign w:val="center"/>
          </w:tcPr>
          <w:p>
            <w:pPr>
              <w:widowControl/>
              <w:ind w:left="-57" w:right="-57"/>
              <w:jc w:val="center"/>
              <w:rPr>
                <w:rFonts w:ascii="Times New Roman" w:hAnsi="Times New Roman" w:eastAsia="黑体"/>
                <w:bCs/>
                <w:sz w:val="24"/>
                <w:szCs w:val="24"/>
              </w:rPr>
            </w:pPr>
            <w:r>
              <w:rPr>
                <w:rFonts w:ascii="Times New Roman" w:hAnsi="Times New Roman" w:eastAsia="黑体"/>
                <w:bCs/>
                <w:sz w:val="24"/>
                <w:szCs w:val="24"/>
              </w:rPr>
              <w:t xml:space="preserve">实际到账注册外资（万美元）                                         </w:t>
            </w:r>
          </w:p>
        </w:tc>
        <w:tc>
          <w:tcPr>
            <w:tcW w:w="2717" w:type="dxa"/>
            <w:gridSpan w:val="2"/>
            <w:noWrap w:val="0"/>
            <w:vAlign w:val="center"/>
          </w:tcPr>
          <w:p>
            <w:pPr>
              <w:widowControl/>
              <w:ind w:left="-57" w:right="-57"/>
              <w:jc w:val="center"/>
              <w:rPr>
                <w:rFonts w:ascii="Times New Roman" w:hAnsi="Times New Roman" w:eastAsia="黑体"/>
                <w:bCs/>
                <w:sz w:val="24"/>
                <w:szCs w:val="24"/>
              </w:rPr>
            </w:pPr>
            <w:r>
              <w:rPr>
                <w:rFonts w:ascii="Times New Roman" w:hAnsi="Times New Roman" w:eastAsia="黑体"/>
                <w:bCs/>
                <w:sz w:val="24"/>
                <w:szCs w:val="24"/>
              </w:rPr>
              <w:t>高新技术产业产值</w:t>
            </w:r>
          </w:p>
          <w:p>
            <w:pPr>
              <w:widowControl/>
              <w:ind w:left="-57" w:right="-57"/>
              <w:jc w:val="center"/>
              <w:rPr>
                <w:rFonts w:ascii="Times New Roman" w:hAnsi="Times New Roman" w:eastAsia="黑体"/>
                <w:bCs/>
                <w:sz w:val="24"/>
                <w:szCs w:val="24"/>
              </w:rPr>
            </w:pPr>
            <w:r>
              <w:rPr>
                <w:rFonts w:ascii="Times New Roman" w:hAnsi="Times New Roman" w:eastAsia="黑体"/>
                <w:bCs/>
                <w:sz w:val="24"/>
                <w:szCs w:val="24"/>
              </w:rPr>
              <w:t>（亿元）</w:t>
            </w:r>
          </w:p>
        </w:tc>
        <w:tc>
          <w:tcPr>
            <w:tcW w:w="1774" w:type="dxa"/>
            <w:noWrap w:val="0"/>
            <w:vAlign w:val="top"/>
          </w:tcPr>
          <w:p>
            <w:pPr>
              <w:widowControl/>
              <w:ind w:left="-57" w:right="-57"/>
              <w:jc w:val="center"/>
              <w:rPr>
                <w:rFonts w:ascii="Times New Roman" w:hAnsi="Times New Roman" w:eastAsia="黑体"/>
                <w:bCs/>
                <w:sz w:val="24"/>
                <w:szCs w:val="24"/>
              </w:rPr>
            </w:pPr>
            <w:r>
              <w:rPr>
                <w:rFonts w:ascii="Times New Roman" w:hAnsi="Times New Roman" w:eastAsia="黑体"/>
                <w:bCs/>
                <w:sz w:val="24"/>
                <w:szCs w:val="24"/>
              </w:rPr>
              <w:t>新增重大</w:t>
            </w:r>
          </w:p>
          <w:p>
            <w:pPr>
              <w:widowControl/>
              <w:ind w:left="-57" w:right="-57"/>
              <w:jc w:val="center"/>
              <w:rPr>
                <w:rFonts w:ascii="Times New Roman" w:hAnsi="Times New Roman" w:eastAsia="黑体"/>
                <w:bCs/>
                <w:sz w:val="24"/>
                <w:szCs w:val="24"/>
              </w:rPr>
            </w:pPr>
            <w:r>
              <w:rPr>
                <w:rFonts w:ascii="Times New Roman" w:hAnsi="Times New Roman" w:eastAsia="黑体"/>
                <w:bCs/>
                <w:sz w:val="24"/>
                <w:szCs w:val="24"/>
              </w:rPr>
              <w:t>产业类项目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54" w:hRule="atLeast"/>
          <w:jc w:val="center"/>
        </w:trPr>
        <w:tc>
          <w:tcPr>
            <w:tcW w:w="1871" w:type="dxa"/>
            <w:vMerge w:val="continue"/>
            <w:noWrap w:val="0"/>
            <w:vAlign w:val="center"/>
          </w:tcPr>
          <w:p>
            <w:pPr>
              <w:widowControl/>
              <w:jc w:val="center"/>
              <w:rPr>
                <w:rFonts w:ascii="Times New Roman" w:hAnsi="Times New Roman" w:eastAsia="黑体"/>
                <w:bCs/>
                <w:sz w:val="24"/>
                <w:szCs w:val="24"/>
              </w:rPr>
            </w:pPr>
          </w:p>
        </w:tc>
        <w:tc>
          <w:tcPr>
            <w:tcW w:w="1327" w:type="dxa"/>
            <w:noWrap w:val="0"/>
            <w:vAlign w:val="center"/>
          </w:tcPr>
          <w:p>
            <w:pPr>
              <w:widowControl/>
              <w:jc w:val="center"/>
              <w:rPr>
                <w:rFonts w:ascii="Times New Roman" w:hAnsi="Times New Roman" w:eastAsia="黑体"/>
                <w:bCs/>
                <w:sz w:val="24"/>
                <w:szCs w:val="24"/>
              </w:rPr>
            </w:pPr>
            <w:r>
              <w:rPr>
                <w:rFonts w:ascii="Times New Roman" w:hAnsi="Times New Roman" w:eastAsia="黑体"/>
                <w:bCs/>
                <w:sz w:val="24"/>
                <w:szCs w:val="24"/>
              </w:rPr>
              <w:t>累计</w:t>
            </w:r>
          </w:p>
        </w:tc>
        <w:tc>
          <w:tcPr>
            <w:tcW w:w="1320" w:type="dxa"/>
            <w:noWrap w:val="0"/>
            <w:vAlign w:val="center"/>
          </w:tcPr>
          <w:p>
            <w:pPr>
              <w:widowControl/>
              <w:jc w:val="center"/>
              <w:rPr>
                <w:rFonts w:ascii="Times New Roman" w:hAnsi="Times New Roman" w:eastAsia="黑体"/>
                <w:bCs/>
                <w:sz w:val="24"/>
                <w:szCs w:val="24"/>
              </w:rPr>
            </w:pPr>
            <w:r>
              <w:rPr>
                <w:rFonts w:ascii="Times New Roman" w:hAnsi="Times New Roman" w:eastAsia="黑体"/>
                <w:bCs/>
                <w:sz w:val="24"/>
                <w:szCs w:val="24"/>
              </w:rPr>
              <w:t>同比±%</w:t>
            </w:r>
          </w:p>
        </w:tc>
        <w:tc>
          <w:tcPr>
            <w:tcW w:w="1460" w:type="dxa"/>
            <w:noWrap w:val="0"/>
            <w:vAlign w:val="center"/>
          </w:tcPr>
          <w:p>
            <w:pPr>
              <w:widowControl/>
              <w:jc w:val="center"/>
              <w:rPr>
                <w:rFonts w:ascii="Times New Roman" w:hAnsi="Times New Roman" w:eastAsia="黑体"/>
                <w:bCs/>
                <w:sz w:val="24"/>
                <w:szCs w:val="24"/>
              </w:rPr>
            </w:pPr>
            <w:r>
              <w:rPr>
                <w:rFonts w:ascii="Times New Roman" w:hAnsi="Times New Roman" w:eastAsia="黑体"/>
                <w:bCs/>
                <w:sz w:val="24"/>
                <w:szCs w:val="24"/>
              </w:rPr>
              <w:t>累计</w:t>
            </w:r>
          </w:p>
        </w:tc>
        <w:tc>
          <w:tcPr>
            <w:tcW w:w="1328" w:type="dxa"/>
            <w:noWrap w:val="0"/>
            <w:vAlign w:val="center"/>
          </w:tcPr>
          <w:p>
            <w:pPr>
              <w:widowControl/>
              <w:jc w:val="center"/>
              <w:rPr>
                <w:rFonts w:ascii="Times New Roman" w:hAnsi="Times New Roman" w:eastAsia="黑体"/>
                <w:bCs/>
                <w:sz w:val="24"/>
                <w:szCs w:val="24"/>
              </w:rPr>
            </w:pPr>
            <w:r>
              <w:rPr>
                <w:rFonts w:ascii="Times New Roman" w:hAnsi="Times New Roman" w:eastAsia="黑体"/>
                <w:bCs/>
                <w:sz w:val="24"/>
                <w:szCs w:val="24"/>
              </w:rPr>
              <w:t>同比±%</w:t>
            </w:r>
          </w:p>
        </w:tc>
        <w:tc>
          <w:tcPr>
            <w:tcW w:w="1228" w:type="dxa"/>
            <w:noWrap w:val="0"/>
            <w:vAlign w:val="center"/>
          </w:tcPr>
          <w:p>
            <w:pPr>
              <w:widowControl/>
              <w:jc w:val="center"/>
              <w:rPr>
                <w:rFonts w:ascii="Times New Roman" w:hAnsi="Times New Roman" w:eastAsia="黑体"/>
                <w:bCs/>
                <w:sz w:val="24"/>
                <w:szCs w:val="24"/>
              </w:rPr>
            </w:pPr>
            <w:r>
              <w:rPr>
                <w:rFonts w:ascii="Times New Roman" w:hAnsi="Times New Roman" w:eastAsia="黑体"/>
                <w:bCs/>
                <w:sz w:val="24"/>
                <w:szCs w:val="24"/>
              </w:rPr>
              <w:t>累计</w:t>
            </w:r>
          </w:p>
        </w:tc>
        <w:tc>
          <w:tcPr>
            <w:tcW w:w="1150" w:type="dxa"/>
            <w:noWrap w:val="0"/>
            <w:vAlign w:val="center"/>
          </w:tcPr>
          <w:p>
            <w:pPr>
              <w:widowControl/>
              <w:jc w:val="center"/>
              <w:rPr>
                <w:rFonts w:ascii="Times New Roman" w:hAnsi="Times New Roman" w:eastAsia="黑体"/>
                <w:bCs/>
                <w:sz w:val="24"/>
                <w:szCs w:val="24"/>
              </w:rPr>
            </w:pPr>
            <w:r>
              <w:rPr>
                <w:rFonts w:ascii="Times New Roman" w:hAnsi="Times New Roman" w:eastAsia="黑体"/>
                <w:bCs/>
                <w:sz w:val="24"/>
                <w:szCs w:val="24"/>
              </w:rPr>
              <w:t>同比±%</w:t>
            </w:r>
          </w:p>
        </w:tc>
        <w:tc>
          <w:tcPr>
            <w:tcW w:w="1401" w:type="dxa"/>
            <w:noWrap w:val="0"/>
            <w:vAlign w:val="center"/>
          </w:tcPr>
          <w:p>
            <w:pPr>
              <w:widowControl/>
              <w:jc w:val="center"/>
              <w:rPr>
                <w:rFonts w:ascii="Times New Roman" w:hAnsi="Times New Roman" w:eastAsia="黑体"/>
                <w:bCs/>
                <w:sz w:val="24"/>
                <w:szCs w:val="24"/>
              </w:rPr>
            </w:pPr>
            <w:r>
              <w:rPr>
                <w:rFonts w:ascii="Times New Roman" w:hAnsi="Times New Roman" w:eastAsia="黑体"/>
                <w:bCs/>
                <w:sz w:val="24"/>
                <w:szCs w:val="24"/>
              </w:rPr>
              <w:t>累计</w:t>
            </w:r>
          </w:p>
        </w:tc>
        <w:tc>
          <w:tcPr>
            <w:tcW w:w="1316" w:type="dxa"/>
            <w:noWrap w:val="0"/>
            <w:vAlign w:val="center"/>
          </w:tcPr>
          <w:p>
            <w:pPr>
              <w:widowControl/>
              <w:jc w:val="center"/>
              <w:rPr>
                <w:rFonts w:ascii="Times New Roman" w:hAnsi="Times New Roman" w:eastAsia="黑体"/>
                <w:bCs/>
                <w:sz w:val="24"/>
                <w:szCs w:val="24"/>
              </w:rPr>
            </w:pPr>
            <w:r>
              <w:rPr>
                <w:rFonts w:ascii="Times New Roman" w:hAnsi="Times New Roman" w:eastAsia="黑体"/>
                <w:bCs/>
                <w:sz w:val="24"/>
                <w:szCs w:val="24"/>
              </w:rPr>
              <w:t>同比±%</w:t>
            </w:r>
          </w:p>
        </w:tc>
        <w:tc>
          <w:tcPr>
            <w:tcW w:w="1774" w:type="dxa"/>
            <w:noWrap w:val="0"/>
            <w:vAlign w:val="center"/>
          </w:tcPr>
          <w:p>
            <w:pPr>
              <w:widowControl/>
              <w:ind w:firstLine="360" w:firstLineChars="150"/>
              <w:rPr>
                <w:rFonts w:ascii="Times New Roman" w:hAnsi="Times New Roman" w:eastAsia="黑体"/>
                <w:bCs/>
                <w:sz w:val="24"/>
                <w:szCs w:val="24"/>
              </w:rPr>
            </w:pPr>
            <w:r>
              <w:rPr>
                <w:rFonts w:ascii="Times New Roman" w:hAnsi="Times New Roman" w:eastAsia="黑体"/>
                <w:bCs/>
                <w:sz w:val="24"/>
                <w:szCs w:val="24"/>
              </w:rPr>
              <w:t>（个）</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871" w:type="dxa"/>
            <w:noWrap w:val="0"/>
            <w:vAlign w:val="center"/>
          </w:tcPr>
          <w:p>
            <w:pPr>
              <w:widowControl/>
              <w:jc w:val="center"/>
              <w:rPr>
                <w:rFonts w:ascii="Times New Roman" w:hAnsi="Times New Roman"/>
                <w:bCs/>
                <w:sz w:val="24"/>
                <w:szCs w:val="24"/>
              </w:rPr>
            </w:pPr>
            <w:r>
              <w:rPr>
                <w:rFonts w:ascii="Times New Roman" w:hAnsi="Times New Roman"/>
                <w:bCs/>
                <w:sz w:val="24"/>
                <w:szCs w:val="24"/>
              </w:rPr>
              <w:t xml:space="preserve">常州高新区  </w:t>
            </w:r>
          </w:p>
        </w:tc>
        <w:tc>
          <w:tcPr>
            <w:tcW w:w="1327"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132.8 </w:t>
            </w:r>
          </w:p>
        </w:tc>
        <w:tc>
          <w:tcPr>
            <w:tcW w:w="1320"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5.1 </w:t>
            </w:r>
          </w:p>
        </w:tc>
        <w:tc>
          <w:tcPr>
            <w:tcW w:w="1460"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2534.3 </w:t>
            </w:r>
          </w:p>
        </w:tc>
        <w:tc>
          <w:tcPr>
            <w:tcW w:w="1328"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7.2 </w:t>
            </w:r>
          </w:p>
        </w:tc>
        <w:tc>
          <w:tcPr>
            <w:tcW w:w="1228"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80002 </w:t>
            </w:r>
          </w:p>
        </w:tc>
        <w:tc>
          <w:tcPr>
            <w:tcW w:w="1150"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5.0 </w:t>
            </w:r>
          </w:p>
        </w:tc>
        <w:tc>
          <w:tcPr>
            <w:tcW w:w="1401"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1501.7 </w:t>
            </w:r>
          </w:p>
        </w:tc>
        <w:tc>
          <w:tcPr>
            <w:tcW w:w="1316"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5.0 </w:t>
            </w:r>
          </w:p>
        </w:tc>
        <w:tc>
          <w:tcPr>
            <w:tcW w:w="1774" w:type="dxa"/>
            <w:noWrap w:val="0"/>
            <w:vAlign w:val="center"/>
          </w:tcPr>
          <w:p>
            <w:pPr>
              <w:widowControl/>
              <w:spacing w:line="300" w:lineRule="exact"/>
              <w:jc w:val="center"/>
              <w:rPr>
                <w:rFonts w:ascii="Times New Roman" w:hAnsi="Times New Roman"/>
                <w:sz w:val="24"/>
              </w:rPr>
            </w:pPr>
            <w:r>
              <w:rPr>
                <w:rFonts w:ascii="Times New Roman" w:hAnsi="Times New Roman"/>
                <w:sz w:val="24"/>
              </w:rPr>
              <w:t xml:space="preserve">19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871" w:type="dxa"/>
            <w:noWrap w:val="0"/>
            <w:vAlign w:val="center"/>
          </w:tcPr>
          <w:p>
            <w:pPr>
              <w:widowControl/>
              <w:jc w:val="center"/>
              <w:rPr>
                <w:rFonts w:ascii="Times New Roman" w:hAnsi="Times New Roman"/>
                <w:bCs/>
                <w:sz w:val="24"/>
                <w:szCs w:val="24"/>
              </w:rPr>
            </w:pPr>
            <w:r>
              <w:rPr>
                <w:rFonts w:ascii="Times New Roman" w:hAnsi="Times New Roman"/>
                <w:bCs/>
                <w:sz w:val="24"/>
                <w:szCs w:val="24"/>
              </w:rPr>
              <w:t>武进高新区</w:t>
            </w:r>
          </w:p>
        </w:tc>
        <w:tc>
          <w:tcPr>
            <w:tcW w:w="1327"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39.8 </w:t>
            </w:r>
          </w:p>
        </w:tc>
        <w:tc>
          <w:tcPr>
            <w:tcW w:w="1320"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6.8 </w:t>
            </w:r>
          </w:p>
        </w:tc>
        <w:tc>
          <w:tcPr>
            <w:tcW w:w="1460"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1018.4 </w:t>
            </w:r>
          </w:p>
        </w:tc>
        <w:tc>
          <w:tcPr>
            <w:tcW w:w="1328"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8.6 </w:t>
            </w:r>
          </w:p>
        </w:tc>
        <w:tc>
          <w:tcPr>
            <w:tcW w:w="1228"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47256 </w:t>
            </w:r>
          </w:p>
        </w:tc>
        <w:tc>
          <w:tcPr>
            <w:tcW w:w="1150"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-0.5 </w:t>
            </w:r>
          </w:p>
        </w:tc>
        <w:tc>
          <w:tcPr>
            <w:tcW w:w="1401"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656.2 </w:t>
            </w:r>
          </w:p>
        </w:tc>
        <w:tc>
          <w:tcPr>
            <w:tcW w:w="1316"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2.9 </w:t>
            </w:r>
          </w:p>
        </w:tc>
        <w:tc>
          <w:tcPr>
            <w:tcW w:w="1774" w:type="dxa"/>
            <w:noWrap w:val="0"/>
            <w:vAlign w:val="center"/>
          </w:tcPr>
          <w:p>
            <w:pPr>
              <w:widowControl/>
              <w:spacing w:line="300" w:lineRule="exact"/>
              <w:jc w:val="center"/>
              <w:rPr>
                <w:rFonts w:ascii="Times New Roman" w:hAnsi="Times New Roman"/>
                <w:sz w:val="24"/>
              </w:rPr>
            </w:pPr>
            <w:r>
              <w:rPr>
                <w:rFonts w:ascii="Times New Roman" w:hAnsi="Times New Roman"/>
                <w:sz w:val="24"/>
              </w:rPr>
              <w:t xml:space="preserve">11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871" w:type="dxa"/>
            <w:noWrap w:val="0"/>
            <w:vAlign w:val="center"/>
          </w:tcPr>
          <w:p>
            <w:pPr>
              <w:widowControl/>
              <w:jc w:val="center"/>
              <w:rPr>
                <w:rFonts w:ascii="Times New Roman" w:hAnsi="Times New Roman"/>
                <w:bCs/>
                <w:sz w:val="24"/>
                <w:szCs w:val="24"/>
              </w:rPr>
            </w:pPr>
            <w:r>
              <w:rPr>
                <w:rFonts w:ascii="Times New Roman" w:hAnsi="Times New Roman"/>
                <w:bCs/>
                <w:sz w:val="24"/>
                <w:szCs w:val="24"/>
              </w:rPr>
              <w:t>常州经开区</w:t>
            </w:r>
          </w:p>
        </w:tc>
        <w:tc>
          <w:tcPr>
            <w:tcW w:w="1327"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55.9 </w:t>
            </w:r>
          </w:p>
        </w:tc>
        <w:tc>
          <w:tcPr>
            <w:tcW w:w="1320"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1.5 </w:t>
            </w:r>
          </w:p>
        </w:tc>
        <w:tc>
          <w:tcPr>
            <w:tcW w:w="1460"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1947.9 </w:t>
            </w:r>
          </w:p>
        </w:tc>
        <w:tc>
          <w:tcPr>
            <w:tcW w:w="1328"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7.3 </w:t>
            </w:r>
          </w:p>
        </w:tc>
        <w:tc>
          <w:tcPr>
            <w:tcW w:w="1228"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15054 </w:t>
            </w:r>
          </w:p>
        </w:tc>
        <w:tc>
          <w:tcPr>
            <w:tcW w:w="1150"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56.8 </w:t>
            </w:r>
          </w:p>
        </w:tc>
        <w:tc>
          <w:tcPr>
            <w:tcW w:w="1401"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694.7 </w:t>
            </w:r>
          </w:p>
        </w:tc>
        <w:tc>
          <w:tcPr>
            <w:tcW w:w="1316"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4.8 </w:t>
            </w:r>
          </w:p>
        </w:tc>
        <w:tc>
          <w:tcPr>
            <w:tcW w:w="1774" w:type="dxa"/>
            <w:noWrap w:val="0"/>
            <w:vAlign w:val="center"/>
          </w:tcPr>
          <w:p>
            <w:pPr>
              <w:widowControl/>
              <w:spacing w:line="300" w:lineRule="exact"/>
              <w:jc w:val="center"/>
              <w:rPr>
                <w:rFonts w:ascii="Times New Roman" w:hAnsi="Times New Roman"/>
                <w:sz w:val="24"/>
              </w:rPr>
            </w:pPr>
            <w:r>
              <w:rPr>
                <w:rFonts w:ascii="Times New Roman" w:hAnsi="Times New Roman"/>
                <w:sz w:val="24"/>
              </w:rPr>
              <w:t xml:space="preserve">4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871" w:type="dxa"/>
            <w:noWrap w:val="0"/>
            <w:vAlign w:val="center"/>
          </w:tcPr>
          <w:p>
            <w:pPr>
              <w:widowControl/>
              <w:jc w:val="center"/>
              <w:rPr>
                <w:rFonts w:ascii="Times New Roman" w:hAnsi="Times New Roman"/>
                <w:bCs/>
                <w:sz w:val="24"/>
                <w:szCs w:val="24"/>
              </w:rPr>
            </w:pPr>
            <w:r>
              <w:rPr>
                <w:rFonts w:ascii="Times New Roman" w:hAnsi="Times New Roman"/>
                <w:bCs/>
                <w:sz w:val="24"/>
                <w:szCs w:val="24"/>
              </w:rPr>
              <w:t>金坛经开区</w:t>
            </w:r>
          </w:p>
        </w:tc>
        <w:tc>
          <w:tcPr>
            <w:tcW w:w="1327"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15.2 </w:t>
            </w:r>
          </w:p>
        </w:tc>
        <w:tc>
          <w:tcPr>
            <w:tcW w:w="1320"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-28.2 </w:t>
            </w:r>
          </w:p>
        </w:tc>
        <w:tc>
          <w:tcPr>
            <w:tcW w:w="1460"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931.5 </w:t>
            </w:r>
          </w:p>
        </w:tc>
        <w:tc>
          <w:tcPr>
            <w:tcW w:w="1328"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8.7 </w:t>
            </w:r>
          </w:p>
        </w:tc>
        <w:tc>
          <w:tcPr>
            <w:tcW w:w="1228"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18395 </w:t>
            </w:r>
          </w:p>
        </w:tc>
        <w:tc>
          <w:tcPr>
            <w:tcW w:w="1150"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-26.5 </w:t>
            </w:r>
          </w:p>
        </w:tc>
        <w:tc>
          <w:tcPr>
            <w:tcW w:w="1401"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499.8 </w:t>
            </w:r>
          </w:p>
        </w:tc>
        <w:tc>
          <w:tcPr>
            <w:tcW w:w="1316"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7.6 </w:t>
            </w:r>
          </w:p>
        </w:tc>
        <w:tc>
          <w:tcPr>
            <w:tcW w:w="1774" w:type="dxa"/>
            <w:noWrap w:val="0"/>
            <w:vAlign w:val="center"/>
          </w:tcPr>
          <w:p>
            <w:pPr>
              <w:widowControl/>
              <w:spacing w:line="300" w:lineRule="exact"/>
              <w:jc w:val="center"/>
              <w:rPr>
                <w:rFonts w:ascii="Times New Roman" w:hAnsi="Times New Roman"/>
                <w:sz w:val="24"/>
              </w:rPr>
            </w:pPr>
            <w:r>
              <w:rPr>
                <w:rFonts w:ascii="Times New Roman" w:hAnsi="Times New Roman"/>
                <w:sz w:val="24"/>
              </w:rPr>
              <w:t xml:space="preserve">6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871" w:type="dxa"/>
            <w:noWrap w:val="0"/>
            <w:vAlign w:val="center"/>
          </w:tcPr>
          <w:p>
            <w:pPr>
              <w:widowControl/>
              <w:jc w:val="center"/>
              <w:rPr>
                <w:rFonts w:ascii="Times New Roman" w:hAnsi="Times New Roman"/>
                <w:bCs/>
                <w:sz w:val="24"/>
                <w:szCs w:val="24"/>
              </w:rPr>
            </w:pPr>
            <w:r>
              <w:rPr>
                <w:rFonts w:ascii="Times New Roman" w:hAnsi="Times New Roman"/>
                <w:bCs/>
                <w:sz w:val="24"/>
                <w:szCs w:val="24"/>
              </w:rPr>
              <w:t>中关村高新区</w:t>
            </w:r>
          </w:p>
        </w:tc>
        <w:tc>
          <w:tcPr>
            <w:tcW w:w="1327"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23.3 </w:t>
            </w:r>
          </w:p>
        </w:tc>
        <w:tc>
          <w:tcPr>
            <w:tcW w:w="1320"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11.2 </w:t>
            </w:r>
          </w:p>
        </w:tc>
        <w:tc>
          <w:tcPr>
            <w:tcW w:w="1460"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821.6 </w:t>
            </w:r>
          </w:p>
        </w:tc>
        <w:tc>
          <w:tcPr>
            <w:tcW w:w="1328"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12.7 </w:t>
            </w:r>
          </w:p>
        </w:tc>
        <w:tc>
          <w:tcPr>
            <w:tcW w:w="1228"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20680 </w:t>
            </w:r>
          </w:p>
        </w:tc>
        <w:tc>
          <w:tcPr>
            <w:tcW w:w="1150"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1.2 </w:t>
            </w:r>
          </w:p>
        </w:tc>
        <w:tc>
          <w:tcPr>
            <w:tcW w:w="1401"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322.4 </w:t>
            </w:r>
          </w:p>
        </w:tc>
        <w:tc>
          <w:tcPr>
            <w:tcW w:w="1316"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9.1 </w:t>
            </w:r>
          </w:p>
        </w:tc>
        <w:tc>
          <w:tcPr>
            <w:tcW w:w="1774" w:type="dxa"/>
            <w:noWrap w:val="0"/>
            <w:vAlign w:val="center"/>
          </w:tcPr>
          <w:p>
            <w:pPr>
              <w:widowControl/>
              <w:spacing w:line="300" w:lineRule="exact"/>
              <w:jc w:val="center"/>
              <w:rPr>
                <w:rFonts w:ascii="Times New Roman" w:hAnsi="Times New Roman"/>
                <w:sz w:val="24"/>
              </w:rPr>
            </w:pPr>
            <w:r>
              <w:rPr>
                <w:rFonts w:ascii="Times New Roman" w:hAnsi="Times New Roman"/>
                <w:sz w:val="24"/>
              </w:rPr>
              <w:t xml:space="preserve">9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871" w:type="dxa"/>
            <w:noWrap w:val="0"/>
            <w:vAlign w:val="center"/>
          </w:tcPr>
          <w:p>
            <w:pPr>
              <w:widowControl/>
              <w:jc w:val="center"/>
              <w:rPr>
                <w:rFonts w:ascii="Times New Roman" w:hAnsi="Times New Roman"/>
                <w:bCs/>
                <w:sz w:val="24"/>
                <w:szCs w:val="24"/>
              </w:rPr>
            </w:pPr>
            <w:r>
              <w:rPr>
                <w:rFonts w:ascii="Times New Roman" w:hAnsi="Times New Roman"/>
                <w:bCs/>
                <w:sz w:val="24"/>
                <w:szCs w:val="24"/>
              </w:rPr>
              <w:t>溧阳经开区</w:t>
            </w:r>
          </w:p>
        </w:tc>
        <w:tc>
          <w:tcPr>
            <w:tcW w:w="1327"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12.9 </w:t>
            </w:r>
          </w:p>
        </w:tc>
        <w:tc>
          <w:tcPr>
            <w:tcW w:w="1320"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-5.7 </w:t>
            </w:r>
          </w:p>
        </w:tc>
        <w:tc>
          <w:tcPr>
            <w:tcW w:w="1460"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234.4 </w:t>
            </w:r>
          </w:p>
        </w:tc>
        <w:tc>
          <w:tcPr>
            <w:tcW w:w="1328"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8.5 </w:t>
            </w:r>
          </w:p>
        </w:tc>
        <w:tc>
          <w:tcPr>
            <w:tcW w:w="1228"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8595 </w:t>
            </w:r>
          </w:p>
        </w:tc>
        <w:tc>
          <w:tcPr>
            <w:tcW w:w="1150"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12.6 </w:t>
            </w:r>
          </w:p>
        </w:tc>
        <w:tc>
          <w:tcPr>
            <w:tcW w:w="1401"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34.9 </w:t>
            </w:r>
          </w:p>
        </w:tc>
        <w:tc>
          <w:tcPr>
            <w:tcW w:w="1316"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29.5 </w:t>
            </w:r>
          </w:p>
        </w:tc>
        <w:tc>
          <w:tcPr>
            <w:tcW w:w="1774" w:type="dxa"/>
            <w:noWrap w:val="0"/>
            <w:vAlign w:val="center"/>
          </w:tcPr>
          <w:p>
            <w:pPr>
              <w:widowControl/>
              <w:spacing w:line="300" w:lineRule="exact"/>
              <w:jc w:val="center"/>
              <w:rPr>
                <w:rFonts w:ascii="Times New Roman" w:hAnsi="Times New Roman"/>
                <w:sz w:val="24"/>
              </w:rPr>
            </w:pPr>
            <w:r>
              <w:rPr>
                <w:rFonts w:ascii="Times New Roman" w:hAnsi="Times New Roman"/>
                <w:sz w:val="24"/>
              </w:rPr>
              <w:t xml:space="preserve">4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871" w:type="dxa"/>
            <w:noWrap w:val="0"/>
            <w:vAlign w:val="center"/>
          </w:tcPr>
          <w:p>
            <w:pPr>
              <w:widowControl/>
              <w:jc w:val="center"/>
              <w:rPr>
                <w:rFonts w:ascii="Times New Roman" w:hAnsi="Times New Roman"/>
                <w:bCs/>
                <w:sz w:val="24"/>
                <w:szCs w:val="24"/>
              </w:rPr>
            </w:pPr>
            <w:r>
              <w:rPr>
                <w:rFonts w:ascii="Times New Roman" w:hAnsi="Times New Roman"/>
                <w:bCs/>
                <w:sz w:val="24"/>
                <w:szCs w:val="24"/>
              </w:rPr>
              <w:t>滨江经开区</w:t>
            </w:r>
          </w:p>
        </w:tc>
        <w:tc>
          <w:tcPr>
            <w:tcW w:w="1327"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18.5 </w:t>
            </w:r>
          </w:p>
        </w:tc>
        <w:tc>
          <w:tcPr>
            <w:tcW w:w="1320"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4.1 </w:t>
            </w:r>
          </w:p>
        </w:tc>
        <w:tc>
          <w:tcPr>
            <w:tcW w:w="1460"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707.3 </w:t>
            </w:r>
          </w:p>
        </w:tc>
        <w:tc>
          <w:tcPr>
            <w:tcW w:w="1328"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1.7 </w:t>
            </w:r>
          </w:p>
        </w:tc>
        <w:tc>
          <w:tcPr>
            <w:tcW w:w="1228"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11667 </w:t>
            </w:r>
          </w:p>
        </w:tc>
        <w:tc>
          <w:tcPr>
            <w:tcW w:w="1150"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-44.8 </w:t>
            </w:r>
          </w:p>
        </w:tc>
        <w:tc>
          <w:tcPr>
            <w:tcW w:w="1401"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317.5 </w:t>
            </w:r>
          </w:p>
        </w:tc>
        <w:tc>
          <w:tcPr>
            <w:tcW w:w="1316"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-1.1 </w:t>
            </w:r>
          </w:p>
        </w:tc>
        <w:tc>
          <w:tcPr>
            <w:tcW w:w="1774" w:type="dxa"/>
            <w:noWrap w:val="0"/>
            <w:vAlign w:val="center"/>
          </w:tcPr>
          <w:p>
            <w:pPr>
              <w:widowControl/>
              <w:spacing w:line="300" w:lineRule="exact"/>
              <w:jc w:val="center"/>
              <w:rPr>
                <w:rFonts w:ascii="Times New Roman" w:hAnsi="Times New Roman"/>
                <w:sz w:val="24"/>
              </w:rPr>
            </w:pPr>
            <w:r>
              <w:rPr>
                <w:rFonts w:ascii="Times New Roman" w:hAnsi="Times New Roman"/>
                <w:sz w:val="24"/>
              </w:rPr>
              <w:t xml:space="preserve">3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871" w:type="dxa"/>
            <w:noWrap w:val="0"/>
            <w:vAlign w:val="center"/>
          </w:tcPr>
          <w:p>
            <w:pPr>
              <w:widowControl/>
              <w:jc w:val="center"/>
              <w:rPr>
                <w:rFonts w:ascii="Times New Roman" w:hAnsi="Times New Roman"/>
                <w:bCs/>
                <w:sz w:val="24"/>
                <w:szCs w:val="24"/>
              </w:rPr>
            </w:pPr>
            <w:r>
              <w:rPr>
                <w:rFonts w:ascii="Times New Roman" w:hAnsi="Times New Roman"/>
                <w:bCs/>
                <w:sz w:val="24"/>
                <w:szCs w:val="24"/>
              </w:rPr>
              <w:t>武进经开区</w:t>
            </w:r>
          </w:p>
        </w:tc>
        <w:tc>
          <w:tcPr>
            <w:tcW w:w="1327"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17.1 </w:t>
            </w:r>
          </w:p>
        </w:tc>
        <w:tc>
          <w:tcPr>
            <w:tcW w:w="1320"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33.2 </w:t>
            </w:r>
          </w:p>
        </w:tc>
        <w:tc>
          <w:tcPr>
            <w:tcW w:w="1460"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216.4 </w:t>
            </w:r>
          </w:p>
        </w:tc>
        <w:tc>
          <w:tcPr>
            <w:tcW w:w="1328"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8.5 </w:t>
            </w:r>
          </w:p>
        </w:tc>
        <w:tc>
          <w:tcPr>
            <w:tcW w:w="1228"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4134 </w:t>
            </w:r>
          </w:p>
        </w:tc>
        <w:tc>
          <w:tcPr>
            <w:tcW w:w="1150"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-28.3 </w:t>
            </w:r>
          </w:p>
        </w:tc>
        <w:tc>
          <w:tcPr>
            <w:tcW w:w="1401"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147.8 </w:t>
            </w:r>
          </w:p>
        </w:tc>
        <w:tc>
          <w:tcPr>
            <w:tcW w:w="1316"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14.2 </w:t>
            </w:r>
          </w:p>
        </w:tc>
        <w:tc>
          <w:tcPr>
            <w:tcW w:w="1774" w:type="dxa"/>
            <w:noWrap w:val="0"/>
            <w:vAlign w:val="center"/>
          </w:tcPr>
          <w:p>
            <w:pPr>
              <w:widowControl/>
              <w:spacing w:line="300" w:lineRule="exact"/>
              <w:jc w:val="center"/>
              <w:rPr>
                <w:rFonts w:ascii="Times New Roman" w:hAnsi="Times New Roman"/>
                <w:sz w:val="24"/>
              </w:rPr>
            </w:pPr>
            <w:r>
              <w:rPr>
                <w:rFonts w:ascii="Times New Roman" w:hAnsi="Times New Roman"/>
                <w:sz w:val="24"/>
              </w:rPr>
              <w:t xml:space="preserve">2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871" w:type="dxa"/>
            <w:noWrap w:val="0"/>
            <w:vAlign w:val="center"/>
          </w:tcPr>
          <w:p>
            <w:pPr>
              <w:widowControl/>
              <w:jc w:val="center"/>
              <w:rPr>
                <w:rFonts w:ascii="Times New Roman" w:hAnsi="Times New Roman"/>
                <w:bCs/>
                <w:sz w:val="24"/>
                <w:szCs w:val="24"/>
              </w:rPr>
            </w:pPr>
            <w:r>
              <w:rPr>
                <w:rFonts w:ascii="Times New Roman" w:hAnsi="Times New Roman"/>
                <w:bCs/>
                <w:sz w:val="24"/>
                <w:szCs w:val="24"/>
              </w:rPr>
              <w:t>天宁经开区</w:t>
            </w:r>
          </w:p>
        </w:tc>
        <w:tc>
          <w:tcPr>
            <w:tcW w:w="1327"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27.0 </w:t>
            </w:r>
          </w:p>
        </w:tc>
        <w:tc>
          <w:tcPr>
            <w:tcW w:w="1320"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10.3 </w:t>
            </w:r>
          </w:p>
        </w:tc>
        <w:tc>
          <w:tcPr>
            <w:tcW w:w="1460"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372.0 </w:t>
            </w:r>
          </w:p>
        </w:tc>
        <w:tc>
          <w:tcPr>
            <w:tcW w:w="1328"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-1.3 </w:t>
            </w:r>
          </w:p>
        </w:tc>
        <w:tc>
          <w:tcPr>
            <w:tcW w:w="1228"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18119 </w:t>
            </w:r>
          </w:p>
        </w:tc>
        <w:tc>
          <w:tcPr>
            <w:tcW w:w="1150"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4.2 </w:t>
            </w:r>
          </w:p>
        </w:tc>
        <w:tc>
          <w:tcPr>
            <w:tcW w:w="1401"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119.6 </w:t>
            </w:r>
          </w:p>
        </w:tc>
        <w:tc>
          <w:tcPr>
            <w:tcW w:w="1316"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6.3 </w:t>
            </w:r>
          </w:p>
        </w:tc>
        <w:tc>
          <w:tcPr>
            <w:tcW w:w="1774" w:type="dxa"/>
            <w:noWrap w:val="0"/>
            <w:vAlign w:val="center"/>
          </w:tcPr>
          <w:p>
            <w:pPr>
              <w:widowControl/>
              <w:spacing w:line="300" w:lineRule="exact"/>
              <w:jc w:val="center"/>
              <w:rPr>
                <w:rFonts w:ascii="Times New Roman" w:hAnsi="Times New Roman"/>
                <w:sz w:val="24"/>
              </w:rPr>
            </w:pPr>
            <w:r>
              <w:rPr>
                <w:rFonts w:ascii="Times New Roman" w:hAnsi="Times New Roman"/>
                <w:sz w:val="24"/>
              </w:rPr>
              <w:t xml:space="preserve">3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871" w:type="dxa"/>
            <w:noWrap w:val="0"/>
            <w:vAlign w:val="center"/>
          </w:tcPr>
          <w:p>
            <w:pPr>
              <w:widowControl/>
              <w:jc w:val="center"/>
              <w:rPr>
                <w:rFonts w:ascii="Times New Roman" w:hAnsi="Times New Roman"/>
                <w:bCs/>
                <w:sz w:val="24"/>
                <w:szCs w:val="24"/>
              </w:rPr>
            </w:pPr>
            <w:r>
              <w:rPr>
                <w:rFonts w:ascii="Times New Roman" w:hAnsi="Times New Roman"/>
                <w:bCs/>
                <w:sz w:val="24"/>
                <w:szCs w:val="24"/>
              </w:rPr>
              <w:t>钟楼经开区</w:t>
            </w:r>
          </w:p>
        </w:tc>
        <w:tc>
          <w:tcPr>
            <w:tcW w:w="1327"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23.4 </w:t>
            </w:r>
          </w:p>
        </w:tc>
        <w:tc>
          <w:tcPr>
            <w:tcW w:w="1320"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12.3 </w:t>
            </w:r>
          </w:p>
        </w:tc>
        <w:tc>
          <w:tcPr>
            <w:tcW w:w="1460" w:type="dxa"/>
            <w:noWrap w:val="0"/>
            <w:vAlign w:val="center"/>
          </w:tcPr>
          <w:p>
            <w:pPr>
              <w:widowControl/>
              <w:spacing w:line="300" w:lineRule="exact"/>
              <w:jc w:val="center"/>
              <w:rPr>
                <w:rFonts w:ascii="Times New Roman" w:hAnsi="Times New Roman"/>
                <w:sz w:val="24"/>
              </w:rPr>
            </w:pPr>
            <w:r>
              <w:rPr>
                <w:rFonts w:ascii="Times New Roman" w:hAnsi="Times New Roman"/>
                <w:sz w:val="24"/>
              </w:rPr>
              <w:t xml:space="preserve">384.3 </w:t>
            </w:r>
          </w:p>
        </w:tc>
        <w:tc>
          <w:tcPr>
            <w:tcW w:w="1328" w:type="dxa"/>
            <w:noWrap w:val="0"/>
            <w:vAlign w:val="center"/>
          </w:tcPr>
          <w:p>
            <w:pPr>
              <w:widowControl/>
              <w:spacing w:line="300" w:lineRule="exact"/>
              <w:jc w:val="center"/>
              <w:rPr>
                <w:rFonts w:ascii="Times New Roman" w:hAnsi="Times New Roman"/>
                <w:sz w:val="24"/>
              </w:rPr>
            </w:pPr>
            <w:r>
              <w:rPr>
                <w:rFonts w:ascii="Times New Roman" w:hAnsi="Times New Roman"/>
                <w:sz w:val="24"/>
              </w:rPr>
              <w:t xml:space="preserve">5.7 </w:t>
            </w:r>
          </w:p>
        </w:tc>
        <w:tc>
          <w:tcPr>
            <w:tcW w:w="1228" w:type="dxa"/>
            <w:noWrap w:val="0"/>
            <w:vAlign w:val="center"/>
          </w:tcPr>
          <w:p>
            <w:pPr>
              <w:widowControl/>
              <w:spacing w:line="300" w:lineRule="exact"/>
              <w:jc w:val="center"/>
              <w:rPr>
                <w:rFonts w:ascii="Times New Roman" w:hAnsi="Times New Roman"/>
                <w:sz w:val="24"/>
              </w:rPr>
            </w:pPr>
            <w:r>
              <w:rPr>
                <w:rFonts w:ascii="Times New Roman" w:hAnsi="Times New Roman"/>
                <w:sz w:val="24"/>
              </w:rPr>
              <w:t xml:space="preserve">9364 </w:t>
            </w:r>
          </w:p>
        </w:tc>
        <w:tc>
          <w:tcPr>
            <w:tcW w:w="1150"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-25.6 </w:t>
            </w:r>
          </w:p>
        </w:tc>
        <w:tc>
          <w:tcPr>
            <w:tcW w:w="1401" w:type="dxa"/>
            <w:noWrap w:val="0"/>
            <w:vAlign w:val="center"/>
          </w:tcPr>
          <w:p>
            <w:pPr>
              <w:widowControl/>
              <w:spacing w:line="300" w:lineRule="exact"/>
              <w:jc w:val="center"/>
              <w:rPr>
                <w:rFonts w:ascii="Times New Roman" w:hAnsi="Times New Roman"/>
                <w:sz w:val="24"/>
              </w:rPr>
            </w:pPr>
            <w:r>
              <w:rPr>
                <w:rFonts w:ascii="Times New Roman" w:hAnsi="Times New Roman"/>
                <w:sz w:val="24"/>
              </w:rPr>
              <w:t xml:space="preserve">189.2 </w:t>
            </w:r>
          </w:p>
        </w:tc>
        <w:tc>
          <w:tcPr>
            <w:tcW w:w="1316"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0.8 </w:t>
            </w:r>
          </w:p>
        </w:tc>
        <w:tc>
          <w:tcPr>
            <w:tcW w:w="1774" w:type="dxa"/>
            <w:noWrap w:val="0"/>
            <w:vAlign w:val="center"/>
          </w:tcPr>
          <w:p>
            <w:pPr>
              <w:widowControl/>
              <w:spacing w:line="300" w:lineRule="exact"/>
              <w:jc w:val="center"/>
              <w:rPr>
                <w:rFonts w:ascii="Times New Roman" w:hAnsi="Times New Roman"/>
                <w:sz w:val="24"/>
              </w:rPr>
            </w:pPr>
            <w:r>
              <w:rPr>
                <w:rFonts w:ascii="Times New Roman" w:hAnsi="Times New Roman"/>
                <w:sz w:val="24"/>
              </w:rPr>
              <w:t xml:space="preserve">3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1871" w:type="dxa"/>
            <w:noWrap w:val="0"/>
            <w:vAlign w:val="center"/>
          </w:tcPr>
          <w:p>
            <w:pPr>
              <w:widowControl/>
              <w:jc w:val="center"/>
              <w:rPr>
                <w:rFonts w:ascii="Times New Roman" w:hAnsi="Times New Roman"/>
                <w:bCs/>
                <w:sz w:val="24"/>
                <w:szCs w:val="24"/>
              </w:rPr>
            </w:pPr>
            <w:r>
              <w:rPr>
                <w:rFonts w:ascii="Times New Roman" w:hAnsi="Times New Roman"/>
                <w:bCs/>
                <w:sz w:val="24"/>
                <w:szCs w:val="24"/>
              </w:rPr>
              <w:t>合计</w:t>
            </w:r>
          </w:p>
        </w:tc>
        <w:tc>
          <w:tcPr>
            <w:tcW w:w="1327"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334.5 </w:t>
            </w:r>
          </w:p>
        </w:tc>
        <w:tc>
          <w:tcPr>
            <w:tcW w:w="1320"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5.0 </w:t>
            </w:r>
          </w:p>
        </w:tc>
        <w:tc>
          <w:tcPr>
            <w:tcW w:w="1460" w:type="dxa"/>
            <w:noWrap w:val="0"/>
            <w:vAlign w:val="center"/>
          </w:tcPr>
          <w:p>
            <w:pPr>
              <w:widowControl/>
              <w:spacing w:line="300" w:lineRule="exact"/>
              <w:jc w:val="center"/>
              <w:rPr>
                <w:rFonts w:ascii="Times New Roman" w:hAnsi="Times New Roman"/>
                <w:sz w:val="24"/>
              </w:rPr>
            </w:pPr>
            <w:r>
              <w:rPr>
                <w:rFonts w:ascii="Times New Roman" w:hAnsi="Times New Roman"/>
                <w:sz w:val="24"/>
              </w:rPr>
              <w:t xml:space="preserve">8226.3 </w:t>
            </w:r>
          </w:p>
        </w:tc>
        <w:tc>
          <w:tcPr>
            <w:tcW w:w="1328" w:type="dxa"/>
            <w:noWrap w:val="0"/>
            <w:vAlign w:val="center"/>
          </w:tcPr>
          <w:p>
            <w:pPr>
              <w:widowControl/>
              <w:spacing w:line="300" w:lineRule="exact"/>
              <w:jc w:val="center"/>
              <w:rPr>
                <w:rFonts w:ascii="Times New Roman" w:hAnsi="Times New Roman"/>
                <w:sz w:val="24"/>
              </w:rPr>
            </w:pPr>
            <w:r>
              <w:rPr>
                <w:rFonts w:ascii="Times New Roman" w:hAnsi="Times New Roman"/>
                <w:sz w:val="24"/>
              </w:rPr>
              <w:t xml:space="preserve">7.6 </w:t>
            </w:r>
          </w:p>
        </w:tc>
        <w:tc>
          <w:tcPr>
            <w:tcW w:w="1228" w:type="dxa"/>
            <w:noWrap w:val="0"/>
            <w:vAlign w:val="center"/>
          </w:tcPr>
          <w:p>
            <w:pPr>
              <w:widowControl/>
              <w:spacing w:line="300" w:lineRule="exact"/>
              <w:jc w:val="center"/>
              <w:rPr>
                <w:rFonts w:ascii="Times New Roman" w:hAnsi="Times New Roman"/>
                <w:sz w:val="24"/>
              </w:rPr>
            </w:pPr>
            <w:r>
              <w:rPr>
                <w:rFonts w:ascii="Times New Roman" w:hAnsi="Times New Roman"/>
                <w:sz w:val="24"/>
              </w:rPr>
              <w:t xml:space="preserve">229021 </w:t>
            </w:r>
          </w:p>
        </w:tc>
        <w:tc>
          <w:tcPr>
            <w:tcW w:w="1150"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-0.5 </w:t>
            </w:r>
          </w:p>
        </w:tc>
        <w:tc>
          <w:tcPr>
            <w:tcW w:w="1401" w:type="dxa"/>
            <w:noWrap w:val="0"/>
            <w:vAlign w:val="center"/>
          </w:tcPr>
          <w:p>
            <w:pPr>
              <w:widowControl/>
              <w:spacing w:line="300" w:lineRule="exact"/>
              <w:jc w:val="center"/>
              <w:rPr>
                <w:rFonts w:ascii="Times New Roman" w:hAnsi="Times New Roman"/>
                <w:sz w:val="24"/>
              </w:rPr>
            </w:pPr>
            <w:r>
              <w:rPr>
                <w:rFonts w:ascii="Times New Roman" w:hAnsi="Times New Roman"/>
                <w:sz w:val="24"/>
              </w:rPr>
              <w:t xml:space="preserve">4166.2 </w:t>
            </w:r>
          </w:p>
        </w:tc>
        <w:tc>
          <w:tcPr>
            <w:tcW w:w="1316" w:type="dxa"/>
            <w:noWrap/>
            <w:vAlign w:val="center"/>
          </w:tcPr>
          <w:p>
            <w:pPr>
              <w:widowControl/>
              <w:spacing w:line="300" w:lineRule="exact"/>
              <w:jc w:val="center"/>
              <w:rPr>
                <w:rFonts w:ascii="Times New Roman" w:hAnsi="Times New Roman"/>
                <w:sz w:val="24"/>
              </w:rPr>
            </w:pPr>
            <w:r>
              <w:rPr>
                <w:rFonts w:ascii="Times New Roman" w:hAnsi="Times New Roman"/>
                <w:sz w:val="24"/>
              </w:rPr>
              <w:t xml:space="preserve">6.3 </w:t>
            </w:r>
          </w:p>
        </w:tc>
        <w:tc>
          <w:tcPr>
            <w:tcW w:w="1774" w:type="dxa"/>
            <w:noWrap w:val="0"/>
            <w:vAlign w:val="center"/>
          </w:tcPr>
          <w:p>
            <w:pPr>
              <w:widowControl/>
              <w:spacing w:line="300" w:lineRule="exact"/>
              <w:jc w:val="center"/>
              <w:rPr>
                <w:rFonts w:ascii="Times New Roman" w:hAnsi="Times New Roman"/>
                <w:sz w:val="24"/>
              </w:rPr>
            </w:pPr>
            <w:r>
              <w:rPr>
                <w:rFonts w:ascii="Times New Roman" w:hAnsi="Times New Roman"/>
                <w:sz w:val="24"/>
              </w:rPr>
              <w:t xml:space="preserve">61 </w:t>
            </w:r>
          </w:p>
        </w:tc>
      </w:tr>
    </w:tbl>
    <w:p>
      <w:pPr>
        <w:spacing w:line="280" w:lineRule="exact"/>
        <w:rPr>
          <w:rFonts w:hint="eastAsia" w:ascii="Times New Roman" w:hAnsi="Times New Roman"/>
          <w:spacing w:val="-2"/>
          <w:szCs w:val="21"/>
        </w:rPr>
      </w:pPr>
      <w:r>
        <w:rPr>
          <w:rFonts w:ascii="Times New Roman" w:hAnsi="Times New Roman"/>
          <w:spacing w:val="-2"/>
          <w:szCs w:val="21"/>
        </w:rPr>
        <w:t>注：1. 统计范围：常州高新区即新北区，武进高新区即武进高新区，常州经开区含丁堰街道、潞城街道、戚墅堰街道、遥观镇、横林镇和横山桥镇（含中</w:t>
      </w:r>
    </w:p>
    <w:p>
      <w:pPr>
        <w:spacing w:line="280" w:lineRule="exact"/>
        <w:ind w:firstLine="642" w:firstLineChars="312"/>
        <w:rPr>
          <w:rFonts w:hint="eastAsia" w:ascii="Times New Roman" w:hAnsi="Times New Roman"/>
          <w:spacing w:val="-2"/>
          <w:szCs w:val="21"/>
        </w:rPr>
      </w:pPr>
      <w:r>
        <w:rPr>
          <w:rFonts w:ascii="Times New Roman" w:hAnsi="Times New Roman"/>
          <w:spacing w:val="-2"/>
          <w:szCs w:val="21"/>
        </w:rPr>
        <w:t>天钢铁集团），金坛经开区含东城街道和尧塘街道，溧阳经开区含溧城镇、上兴镇，滨江经开区含春江街道和魏村街道，武进经开区即武进经开区，</w:t>
      </w:r>
    </w:p>
    <w:p>
      <w:pPr>
        <w:spacing w:line="280" w:lineRule="exact"/>
        <w:ind w:firstLine="642" w:firstLineChars="312"/>
        <w:rPr>
          <w:rFonts w:hint="eastAsia" w:ascii="Times New Roman" w:hAnsi="Times New Roman"/>
          <w:spacing w:val="-2"/>
          <w:szCs w:val="21"/>
        </w:rPr>
      </w:pPr>
      <w:r>
        <w:rPr>
          <w:rFonts w:ascii="Times New Roman" w:hAnsi="Times New Roman"/>
          <w:spacing w:val="-2"/>
          <w:szCs w:val="21"/>
        </w:rPr>
        <w:t>天宁经开区含青龙街道、雕庄街道和东青片区（东青村、和平村、武城村、青松村、花园村、东青社区），钟楼经开区含北港街道、新闸街道和邹</w:t>
      </w:r>
    </w:p>
    <w:p>
      <w:pPr>
        <w:spacing w:line="280" w:lineRule="exact"/>
        <w:ind w:firstLine="642" w:firstLineChars="312"/>
        <w:rPr>
          <w:rFonts w:ascii="Times New Roman" w:hAnsi="Times New Roman"/>
          <w:spacing w:val="-2"/>
          <w:szCs w:val="21"/>
        </w:rPr>
      </w:pPr>
      <w:r>
        <w:rPr>
          <w:rFonts w:ascii="Times New Roman" w:hAnsi="Times New Roman"/>
          <w:spacing w:val="-2"/>
          <w:szCs w:val="21"/>
        </w:rPr>
        <w:t>区高新技术产业园（前王村、杨庄村、鹤溪村、桥东村、林场村、卜弋村、刘巷村），江苏中关村高新区即昆仑街道。</w:t>
      </w:r>
    </w:p>
    <w:p>
      <w:pPr>
        <w:spacing w:line="280" w:lineRule="exact"/>
        <w:ind w:firstLine="396" w:firstLineChars="200"/>
        <w:rPr>
          <w:rFonts w:hint="eastAsia" w:ascii="Times New Roman" w:hAnsi="Times New Roman"/>
          <w:spacing w:val="-6"/>
          <w:szCs w:val="21"/>
        </w:rPr>
      </w:pPr>
      <w:r>
        <w:rPr>
          <w:rFonts w:ascii="Times New Roman" w:hAnsi="Times New Roman"/>
          <w:spacing w:val="-6"/>
          <w:szCs w:val="21"/>
        </w:rPr>
        <w:t>2. 新增重大产业类项目：内资为单个项目总投资10亿元人民币以上（以发改部门核准备案文件为准），外资为单个项目新增协议注册外资3000万美元。</w:t>
      </w:r>
    </w:p>
    <w:p>
      <w:pPr>
        <w:spacing w:line="280" w:lineRule="exact"/>
        <w:ind w:firstLine="396" w:firstLineChars="200"/>
        <w:rPr>
          <w:rFonts w:hint="eastAsia" w:ascii="Times New Roman" w:hAnsi="Times New Roman"/>
          <w:spacing w:val="-6"/>
          <w:szCs w:val="21"/>
        </w:rPr>
      </w:pPr>
    </w:p>
    <w:p>
      <w:pPr>
        <w:spacing w:line="280" w:lineRule="exact"/>
        <w:ind w:firstLine="396" w:firstLineChars="200"/>
        <w:rPr>
          <w:rFonts w:ascii="Times New Roman" w:hAnsi="Times New Roman"/>
          <w:spacing w:val="-6"/>
          <w:szCs w:val="21"/>
        </w:rPr>
        <w:sectPr>
          <w:pgSz w:w="16838" w:h="11906" w:orient="landscape"/>
          <w:pgMar w:top="1418" w:right="1531" w:bottom="1531" w:left="1531" w:header="709" w:footer="1361" w:gutter="0"/>
          <w:cols w:space="720" w:num="1"/>
          <w:docGrid w:linePitch="312" w:charSpace="0"/>
        </w:sectPr>
      </w:pPr>
    </w:p>
    <w:p>
      <w:pPr>
        <w:overflowPunct w:val="0"/>
        <w:autoSpaceDE w:val="0"/>
        <w:autoSpaceDN w:val="0"/>
        <w:adjustRightInd w:val="0"/>
        <w:snapToGrid w:val="0"/>
        <w:spacing w:line="57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5. 口岸开放功能提升、效应放大。全市拥有常州港和常州机场2个一类开放口岸，“十三五”时期常州水运口岸货物吞吐量达2.44亿吨，是“十二五”的1.4倍；水运口岸外贸总运量达4789万吨，是“十二五”的2倍；2019年外贸运量首次突破1000万吨，2020年达到1383万吨。常州航空口岸先后开辟12个国家和地区的24条境外航线，出入境人员总数达150万人次，2019年出入境人员总数首次突破60万人次。口岸功能和服务效能明显提升，海铁联运稳步推进，常州至上海洋山港已开通海铁循环班列。综合港务区建设加快推进，常州、武进综保区获批一般纳税人资格试点，对外开放功能不断扩大。2020年，常州被列入全国37家具备国际客运航班接收能力的口岸城市之一，航空口岸国际旅客占比位列全国前12名。</w:t>
      </w:r>
    </w:p>
    <w:p>
      <w:pPr>
        <w:adjustRightInd w:val="0"/>
        <w:spacing w:before="120" w:after="120" w:line="560" w:lineRule="exact"/>
        <w:jc w:val="center"/>
        <w:rPr>
          <w:rFonts w:ascii="Times New Roman" w:hAnsi="Times New Roman" w:eastAsia="方正黑体_GBK"/>
          <w:sz w:val="32"/>
          <w:szCs w:val="32"/>
        </w:rPr>
      </w:pPr>
      <w:r>
        <w:rPr>
          <w:rFonts w:ascii="Times New Roman" w:hAnsi="Times New Roman" w:eastAsia="方正黑体_GBK"/>
          <w:sz w:val="32"/>
          <w:szCs w:val="32"/>
        </w:rPr>
        <w:t>2016</w:t>
      </w:r>
      <w:r>
        <w:rPr>
          <w:rFonts w:ascii="黑体" w:hAnsi="黑体" w:eastAsia="黑体"/>
          <w:sz w:val="32"/>
          <w:szCs w:val="32"/>
        </w:rPr>
        <w:t>—</w:t>
      </w:r>
      <w:r>
        <w:rPr>
          <w:rFonts w:ascii="Times New Roman" w:hAnsi="Times New Roman" w:eastAsia="方正黑体_GBK"/>
          <w:sz w:val="32"/>
          <w:szCs w:val="32"/>
        </w:rPr>
        <w:t>2020年常州水运口岸运行情况表</w:t>
      </w:r>
    </w:p>
    <w:tbl>
      <w:tblPr>
        <w:tblStyle w:val="3"/>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359"/>
        <w:gridCol w:w="1982"/>
        <w:gridCol w:w="1670"/>
        <w:gridCol w:w="2083"/>
        <w:gridCol w:w="197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82" w:hRule="atLeast"/>
          <w:jc w:val="center"/>
        </w:trPr>
        <w:tc>
          <w:tcPr>
            <w:tcW w:w="1359" w:type="dxa"/>
            <w:tcBorders>
              <w:tl2br w:val="single" w:color="000000" w:sz="6" w:space="0"/>
            </w:tcBorders>
            <w:noWrap w:val="0"/>
            <w:vAlign w:val="top"/>
          </w:tcPr>
          <w:p>
            <w:pPr>
              <w:spacing w:line="320" w:lineRule="exact"/>
              <w:jc w:val="right"/>
              <w:rPr>
                <w:rFonts w:ascii="Times New Roman" w:hAnsi="Times New Roman" w:eastAsia="黑体"/>
                <w:sz w:val="24"/>
                <w:szCs w:val="24"/>
              </w:rPr>
            </w:pPr>
            <w:r>
              <w:rPr>
                <w:rFonts w:ascii="Times New Roman" w:hAnsi="Times New Roman" w:eastAsia="黑体"/>
                <w:sz w:val="24"/>
                <w:szCs w:val="24"/>
              </w:rPr>
              <w:t>项目</w:t>
            </w:r>
          </w:p>
          <w:p>
            <w:pPr>
              <w:spacing w:line="320" w:lineRule="exact"/>
              <w:rPr>
                <w:rFonts w:ascii="Times New Roman" w:hAnsi="Times New Roman" w:eastAsia="黑体"/>
                <w:sz w:val="24"/>
                <w:szCs w:val="24"/>
              </w:rPr>
            </w:pPr>
          </w:p>
          <w:p>
            <w:pPr>
              <w:spacing w:line="320" w:lineRule="exact"/>
              <w:rPr>
                <w:rFonts w:ascii="Times New Roman" w:hAnsi="Times New Roman" w:eastAsia="黑体"/>
                <w:sz w:val="24"/>
                <w:szCs w:val="24"/>
              </w:rPr>
            </w:pPr>
            <w:r>
              <w:rPr>
                <w:rFonts w:ascii="Times New Roman" w:hAnsi="Times New Roman" w:eastAsia="黑体"/>
                <w:sz w:val="24"/>
                <w:szCs w:val="24"/>
              </w:rPr>
              <w:t>年份</w:t>
            </w:r>
          </w:p>
        </w:tc>
        <w:tc>
          <w:tcPr>
            <w:tcW w:w="1982" w:type="dxa"/>
            <w:noWrap w:val="0"/>
            <w:vAlign w:val="center"/>
          </w:tcPr>
          <w:p>
            <w:pPr>
              <w:spacing w:line="320" w:lineRule="exact"/>
              <w:jc w:val="center"/>
              <w:rPr>
                <w:rFonts w:ascii="Times New Roman" w:hAnsi="Times New Roman" w:eastAsia="黑体"/>
                <w:sz w:val="24"/>
                <w:szCs w:val="24"/>
              </w:rPr>
            </w:pPr>
            <w:r>
              <w:rPr>
                <w:rFonts w:ascii="Times New Roman" w:hAnsi="Times New Roman" w:eastAsia="黑体"/>
                <w:sz w:val="24"/>
                <w:szCs w:val="24"/>
              </w:rPr>
              <w:t>口岸货物吞吐量（万吨）</w:t>
            </w:r>
          </w:p>
        </w:tc>
        <w:tc>
          <w:tcPr>
            <w:tcW w:w="1670" w:type="dxa"/>
            <w:noWrap w:val="0"/>
            <w:vAlign w:val="center"/>
          </w:tcPr>
          <w:p>
            <w:pPr>
              <w:spacing w:line="320" w:lineRule="exact"/>
              <w:jc w:val="center"/>
              <w:rPr>
                <w:rFonts w:ascii="Times New Roman" w:hAnsi="Times New Roman" w:eastAsia="黑体"/>
                <w:sz w:val="24"/>
                <w:szCs w:val="24"/>
              </w:rPr>
            </w:pPr>
            <w:r>
              <w:rPr>
                <w:rFonts w:ascii="Times New Roman" w:hAnsi="Times New Roman" w:eastAsia="黑体"/>
                <w:sz w:val="24"/>
                <w:szCs w:val="24"/>
              </w:rPr>
              <w:t>其中：外贸</w:t>
            </w:r>
          </w:p>
          <w:p>
            <w:pPr>
              <w:spacing w:line="320" w:lineRule="exact"/>
              <w:jc w:val="center"/>
              <w:rPr>
                <w:rFonts w:ascii="Times New Roman" w:hAnsi="Times New Roman" w:eastAsia="黑体"/>
                <w:sz w:val="24"/>
                <w:szCs w:val="24"/>
              </w:rPr>
            </w:pPr>
            <w:r>
              <w:rPr>
                <w:rFonts w:ascii="Times New Roman" w:hAnsi="Times New Roman" w:eastAsia="黑体"/>
                <w:sz w:val="24"/>
                <w:szCs w:val="24"/>
              </w:rPr>
              <w:t>吞吐量（万吨）</w:t>
            </w:r>
          </w:p>
        </w:tc>
        <w:tc>
          <w:tcPr>
            <w:tcW w:w="2083" w:type="dxa"/>
            <w:noWrap w:val="0"/>
            <w:vAlign w:val="center"/>
          </w:tcPr>
          <w:p>
            <w:pPr>
              <w:spacing w:line="320" w:lineRule="exact"/>
              <w:jc w:val="center"/>
              <w:rPr>
                <w:rFonts w:ascii="Times New Roman" w:hAnsi="Times New Roman" w:eastAsia="黑体"/>
                <w:sz w:val="24"/>
                <w:szCs w:val="24"/>
              </w:rPr>
            </w:pPr>
            <w:r>
              <w:rPr>
                <w:rFonts w:ascii="Times New Roman" w:hAnsi="Times New Roman" w:eastAsia="黑体"/>
                <w:sz w:val="24"/>
                <w:szCs w:val="24"/>
              </w:rPr>
              <w:t>口岸集装箱运量（万标箱）</w:t>
            </w:r>
          </w:p>
        </w:tc>
        <w:tc>
          <w:tcPr>
            <w:tcW w:w="1978" w:type="dxa"/>
            <w:noWrap w:val="0"/>
            <w:vAlign w:val="center"/>
          </w:tcPr>
          <w:p>
            <w:pPr>
              <w:spacing w:line="320" w:lineRule="exact"/>
              <w:jc w:val="center"/>
              <w:rPr>
                <w:rFonts w:ascii="Times New Roman" w:hAnsi="Times New Roman" w:eastAsia="黑体"/>
                <w:sz w:val="24"/>
                <w:szCs w:val="24"/>
              </w:rPr>
            </w:pPr>
            <w:r>
              <w:rPr>
                <w:rFonts w:ascii="Times New Roman" w:hAnsi="Times New Roman" w:eastAsia="黑体"/>
                <w:sz w:val="24"/>
                <w:szCs w:val="24"/>
              </w:rPr>
              <w:t>其中：外贸集装箱运量（万标箱）</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82" w:hRule="atLeast"/>
          <w:jc w:val="center"/>
        </w:trPr>
        <w:tc>
          <w:tcPr>
            <w:tcW w:w="1359" w:type="dxa"/>
            <w:noWrap w:val="0"/>
            <w:vAlign w:val="center"/>
          </w:tcPr>
          <w:p>
            <w:pPr>
              <w:spacing w:line="320" w:lineRule="exact"/>
              <w:jc w:val="center"/>
              <w:rPr>
                <w:rFonts w:ascii="Times New Roman" w:hAnsi="Times New Roman"/>
                <w:sz w:val="24"/>
                <w:szCs w:val="24"/>
              </w:rPr>
            </w:pPr>
            <w:bookmarkStart w:id="7" w:name="OLE_LINK5" w:colFirst="1" w:colLast="4"/>
            <w:r>
              <w:rPr>
                <w:rFonts w:ascii="Times New Roman" w:hAnsi="Times New Roman"/>
                <w:sz w:val="24"/>
                <w:szCs w:val="24"/>
              </w:rPr>
              <w:t>2016年</w:t>
            </w:r>
          </w:p>
        </w:tc>
        <w:tc>
          <w:tcPr>
            <w:tcW w:w="1982"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4031.0</w:t>
            </w:r>
          </w:p>
        </w:tc>
        <w:tc>
          <w:tcPr>
            <w:tcW w:w="1670"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565.3</w:t>
            </w:r>
          </w:p>
        </w:tc>
        <w:tc>
          <w:tcPr>
            <w:tcW w:w="2083"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21.5</w:t>
            </w:r>
          </w:p>
        </w:tc>
        <w:tc>
          <w:tcPr>
            <w:tcW w:w="1978"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14.0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82" w:hRule="atLeast"/>
          <w:jc w:val="center"/>
        </w:trPr>
        <w:tc>
          <w:tcPr>
            <w:tcW w:w="1359"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2017年</w:t>
            </w:r>
          </w:p>
        </w:tc>
        <w:tc>
          <w:tcPr>
            <w:tcW w:w="1982"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4714.1</w:t>
            </w:r>
          </w:p>
        </w:tc>
        <w:tc>
          <w:tcPr>
            <w:tcW w:w="1670"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692.4</w:t>
            </w:r>
          </w:p>
        </w:tc>
        <w:tc>
          <w:tcPr>
            <w:tcW w:w="2083"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25.4</w:t>
            </w:r>
          </w:p>
        </w:tc>
        <w:tc>
          <w:tcPr>
            <w:tcW w:w="1978"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16.1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82" w:hRule="atLeast"/>
          <w:jc w:val="center"/>
        </w:trPr>
        <w:tc>
          <w:tcPr>
            <w:tcW w:w="1359"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2018年</w:t>
            </w:r>
          </w:p>
        </w:tc>
        <w:tc>
          <w:tcPr>
            <w:tcW w:w="1982"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4861.8</w:t>
            </w:r>
          </w:p>
        </w:tc>
        <w:tc>
          <w:tcPr>
            <w:tcW w:w="1670"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949.8</w:t>
            </w:r>
          </w:p>
        </w:tc>
        <w:tc>
          <w:tcPr>
            <w:tcW w:w="2083"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31.2</w:t>
            </w:r>
          </w:p>
        </w:tc>
        <w:tc>
          <w:tcPr>
            <w:tcW w:w="1978"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16.8</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82" w:hRule="atLeast"/>
          <w:jc w:val="center"/>
        </w:trPr>
        <w:tc>
          <w:tcPr>
            <w:tcW w:w="1359"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2019年</w:t>
            </w:r>
          </w:p>
        </w:tc>
        <w:tc>
          <w:tcPr>
            <w:tcW w:w="1982"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5352.8</w:t>
            </w:r>
          </w:p>
        </w:tc>
        <w:tc>
          <w:tcPr>
            <w:tcW w:w="1670"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1199.2</w:t>
            </w:r>
          </w:p>
        </w:tc>
        <w:tc>
          <w:tcPr>
            <w:tcW w:w="2083"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32.0</w:t>
            </w:r>
          </w:p>
        </w:tc>
        <w:tc>
          <w:tcPr>
            <w:tcW w:w="1978"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15.1</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82" w:hRule="atLeast"/>
          <w:jc w:val="center"/>
        </w:trPr>
        <w:tc>
          <w:tcPr>
            <w:tcW w:w="1359"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2020年</w:t>
            </w:r>
          </w:p>
        </w:tc>
        <w:tc>
          <w:tcPr>
            <w:tcW w:w="1982"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5441</w:t>
            </w:r>
          </w:p>
        </w:tc>
        <w:tc>
          <w:tcPr>
            <w:tcW w:w="1670"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1383</w:t>
            </w:r>
          </w:p>
        </w:tc>
        <w:tc>
          <w:tcPr>
            <w:tcW w:w="2083"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35.1</w:t>
            </w:r>
          </w:p>
        </w:tc>
        <w:tc>
          <w:tcPr>
            <w:tcW w:w="1978"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12.9</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82" w:hRule="atLeast"/>
          <w:jc w:val="center"/>
        </w:trPr>
        <w:tc>
          <w:tcPr>
            <w:tcW w:w="1359"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总  计</w:t>
            </w:r>
          </w:p>
        </w:tc>
        <w:tc>
          <w:tcPr>
            <w:tcW w:w="1982"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24400.7</w:t>
            </w:r>
          </w:p>
        </w:tc>
        <w:tc>
          <w:tcPr>
            <w:tcW w:w="1670"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4789.7</w:t>
            </w:r>
          </w:p>
        </w:tc>
        <w:tc>
          <w:tcPr>
            <w:tcW w:w="2083"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145.2</w:t>
            </w:r>
          </w:p>
        </w:tc>
        <w:tc>
          <w:tcPr>
            <w:tcW w:w="1978" w:type="dxa"/>
            <w:noWrap w:val="0"/>
            <w:vAlign w:val="center"/>
          </w:tcPr>
          <w:p>
            <w:pPr>
              <w:spacing w:line="320" w:lineRule="exact"/>
              <w:jc w:val="center"/>
              <w:rPr>
                <w:rFonts w:ascii="Times New Roman" w:hAnsi="Times New Roman"/>
                <w:sz w:val="24"/>
                <w:szCs w:val="24"/>
              </w:rPr>
            </w:pPr>
            <w:r>
              <w:rPr>
                <w:rFonts w:ascii="Times New Roman" w:hAnsi="Times New Roman"/>
                <w:sz w:val="24"/>
                <w:szCs w:val="24"/>
              </w:rPr>
              <w:t>74.9</w:t>
            </w:r>
          </w:p>
        </w:tc>
      </w:tr>
      <w:bookmarkEnd w:id="2"/>
      <w:bookmarkEnd w:id="3"/>
      <w:bookmarkEnd w:id="7"/>
    </w:tbl>
    <w:p>
      <w:pPr>
        <w:overflowPunct w:val="0"/>
        <w:autoSpaceDE w:val="0"/>
        <w:autoSpaceDN w:val="0"/>
        <w:adjustRightInd w:val="0"/>
        <w:snapToGrid w:val="0"/>
        <w:spacing w:line="570" w:lineRule="exact"/>
        <w:ind w:firstLine="641"/>
        <w:rPr>
          <w:rFonts w:ascii="Times New Roman" w:hAnsi="Times New Roman" w:eastAsia="方正楷体_GBK"/>
          <w:snapToGrid w:val="0"/>
          <w:kern w:val="0"/>
          <w:sz w:val="32"/>
          <w:szCs w:val="32"/>
        </w:rPr>
      </w:pPr>
      <w:r>
        <w:rPr>
          <w:rFonts w:ascii="Times New Roman" w:hAnsi="Times New Roman" w:eastAsia="方正楷体_GBK"/>
          <w:snapToGrid w:val="0"/>
          <w:kern w:val="0"/>
          <w:sz w:val="32"/>
          <w:szCs w:val="32"/>
        </w:rPr>
        <w:t>（二）问题不足</w:t>
      </w:r>
    </w:p>
    <w:p>
      <w:pPr>
        <w:overflowPunct w:val="0"/>
        <w:autoSpaceDE w:val="0"/>
        <w:autoSpaceDN w:val="0"/>
        <w:adjustRightInd w:val="0"/>
        <w:snapToGrid w:val="0"/>
        <w:spacing w:line="57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 外资带动作用不够。一是旗舰型重大外资项目不多。无锡SK海力士项目累计总投资超200亿美元，南京台积电总投资超过30亿美元，苏州也有一大批旗舰型外资项目，而我市尚没有类似的旗舰型重大外资项目，超5亿、超10亿美元的大项目也不多，与这些地区相比存在较大差距。二是现代服务业外资相对薄弱。虽然国家不断加大服务业领域的开放程度，但就我市来说，现代服务业引资水平还不高，无论是医疗、教育，还是金融、文化，利用外资都不多，不利于我市国际化水平的整体提升。三是区域性总部不多。全市经省商务厅认定的地区总部和功能性机构仅23家，经省商务厅等有关部门联合认定的外资研发中心尚未突破，与南京、苏州、无锡差距明显。</w:t>
      </w:r>
    </w:p>
    <w:p>
      <w:pPr>
        <w:overflowPunct w:val="0"/>
        <w:autoSpaceDE w:val="0"/>
        <w:autoSpaceDN w:val="0"/>
        <w:adjustRightInd w:val="0"/>
        <w:snapToGrid w:val="0"/>
        <w:spacing w:line="57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 外贸竞争基础不牢。一是外贸规模总量仍有差距。虽然近年来我市外贸总量不断跨上新台阶，但是和苏州、无锡相比，我市外贸总量只有苏州的十分之一，无锡的三分之一，和我市经济总量不相匹配。二是外贸增长动力不足。随着我市要素成本持续攀升，传统制造价格优势明显削弱，光伏、纺织、服装等传统重点行业产能转移趋势明显，而新能源汽车、新材料、新医药及生物技术、航空装备、节能环保等新兴产业发展与外贸的融合度还不够。三是外贸新业态发展缓慢。外贸综合服务平台、进口交易中心、跨境电商、海外仓等外贸新业态经过多年的发展，或遭遇瓶颈，或规模仍然十分有限，未能对全市外贸形成重要支撑。</w:t>
      </w:r>
    </w:p>
    <w:p>
      <w:pPr>
        <w:overflowPunct w:val="0"/>
        <w:autoSpaceDE w:val="0"/>
        <w:autoSpaceDN w:val="0"/>
        <w:adjustRightInd w:val="0"/>
        <w:snapToGrid w:val="0"/>
        <w:spacing w:line="57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3. 外经合作水平不高。一是本土知名跨国公司不多。除天合光能、瑞声、恒立等少部分企业国际化发展较为顺利以外，大多数企业跨国经营还处于初级阶段，缺乏全球思维和远期规划，大部分以延续国内业务为主，在海外设立、兼并、收购先进研发机构的企业不多，国际科技合作和成果转化的效率不高。二是重点境外合作园区较少。虽然近年来金昇乌兹别克斯坦纺织工业园、天合光能国际产业园等境外园区建设不断推进，但园区功能仍然单一，平台较为薄弱，未能形成一定的集聚效应，缺乏如无锡柬埔寨西哈努克港经济特区、苏州埃塞俄比亚东方工业园、南通印尼双马农工贸合作区、连云港中哈物流基地等国家级或省级境外园区。三是“走出去”综合服务体系不够健全。我市企业境外投资和经营风险评估体系、风险防范机制和境外风险应急体系还不够完善，企业“走出去”咨询服务能力和水平有待提升。</w:t>
      </w:r>
    </w:p>
    <w:p>
      <w:pPr>
        <w:overflowPunct w:val="0"/>
        <w:autoSpaceDE w:val="0"/>
        <w:autoSpaceDN w:val="0"/>
        <w:adjustRightInd w:val="0"/>
        <w:snapToGrid w:val="0"/>
        <w:spacing w:line="57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4. 开放载体平台不强。一是开发园区综合实力不强。与苏州、无锡和浙江嘉兴等地的开发区相比，我市部分开发区规划起点不高、功能环境不优、体制机制不活、竞争实力不强，全市开发区规模最大的产业年产值不足800亿元，千亿元以上产业尚未形成，大部分产业仍徘徊在百亿元左右，呈现出总量规模小、产业门类杂、集聚程度弱等发展短板。二是高水平开放平台不够。苏州拥有国家级高新区和经开区12家，南通有5家，无锡有4家，而我市仅有2家国家级高新区，国家级经开区尚未突破，各类国家级试点和平台也相对较少，高水平开放平台仍然欠缺。三是开发园区体制机制没有凸显发展优势。开发区转型创新步伐较慢，开发区行政化倾向越来越明显，对开发区的考核也越来越政府化，分散了开发区主要抓经济、抓项目、抓建设的精力。</w:t>
      </w:r>
    </w:p>
    <w:p>
      <w:pPr>
        <w:overflowPunct w:val="0"/>
        <w:autoSpaceDE w:val="0"/>
        <w:autoSpaceDN w:val="0"/>
        <w:adjustRightInd w:val="0"/>
        <w:snapToGrid w:val="0"/>
        <w:spacing w:line="57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5. 国际化功能配套不足。一是高品质的国际化功能不足。我市尚无外籍人士子女学校和真正意义上的国际医院，尚未形成适合国外人士居住的国际化社区，文化的包容度和商业的多元性不够，双语标识、外语地图、文化娱乐等国际化功能也不够到位。二是高标准的国际性活动不多。目前，省内兄弟城市大多都已打造各具特色的品牌展会和国际性峰会论坛，比如南京的软博会、无锡的物联网大会、淮安的食品博览会等等，而我市具有较大国际影响力的特色品牌展会和国际性峰会论坛相对较少。三是高水平的国际化口岸不够。在开国际航班数量仍然有限，综合保税区功能比较单一，常州港和上海港、宁波港等国际性港口的联系有待加强，各开放口岸之间的整合协同不够，整体发展水平不高。</w:t>
      </w:r>
    </w:p>
    <w:p>
      <w:pPr>
        <w:overflowPunct w:val="0"/>
        <w:autoSpaceDE w:val="0"/>
        <w:autoSpaceDN w:val="0"/>
        <w:adjustRightInd w:val="0"/>
        <w:snapToGrid w:val="0"/>
        <w:spacing w:line="570" w:lineRule="exact"/>
        <w:ind w:firstLine="641"/>
        <w:rPr>
          <w:rFonts w:ascii="Times New Roman" w:hAnsi="Times New Roman" w:eastAsia="方正黑体_GBK"/>
          <w:snapToGrid w:val="0"/>
          <w:kern w:val="0"/>
          <w:sz w:val="32"/>
          <w:szCs w:val="32"/>
        </w:rPr>
      </w:pPr>
      <w:r>
        <w:rPr>
          <w:rFonts w:ascii="Times New Roman" w:hAnsi="Times New Roman" w:eastAsia="方正黑体_GBK"/>
          <w:snapToGrid w:val="0"/>
          <w:kern w:val="0"/>
          <w:sz w:val="32"/>
          <w:szCs w:val="32"/>
        </w:rPr>
        <w:t>二、发展环境</w:t>
      </w:r>
    </w:p>
    <w:p>
      <w:pPr>
        <w:overflowPunct w:val="0"/>
        <w:autoSpaceDE w:val="0"/>
        <w:autoSpaceDN w:val="0"/>
        <w:adjustRightInd w:val="0"/>
        <w:snapToGrid w:val="0"/>
        <w:spacing w:line="57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当今世界正经历百年未有之大变局，新冠疫情促使大变局加速变化，世界经济总体低迷，保护主义、单边主义上升，中美战略博弈成为常态，国际环境日趋复杂，经济全球化遭遇逆流，“十四五”期间开放型经济发展面临诸多不确定因素。同时，从国内来看，中央坚定不移全面扩大开放的信心和决心，党的十九届五中全会和习近平总书记视察江苏时都明确指出，要建设更高水平开放型经济新体制，构建高水平对外开放新高地，国家、省一系列有力政策措施的陆续出台和重大国家战略的深入实施，都将为我市开放型经济发展提供有力支撑。“十四五”开放型经济发展环境的总体判断是：机遇挑战并存、总体审慎乐观。</w:t>
      </w:r>
    </w:p>
    <w:p>
      <w:pPr>
        <w:overflowPunct w:val="0"/>
        <w:autoSpaceDE w:val="0"/>
        <w:autoSpaceDN w:val="0"/>
        <w:adjustRightInd w:val="0"/>
        <w:snapToGrid w:val="0"/>
        <w:spacing w:line="570" w:lineRule="exact"/>
        <w:ind w:firstLine="641"/>
        <w:rPr>
          <w:rFonts w:ascii="Times New Roman" w:hAnsi="Times New Roman" w:eastAsia="方正楷体_GBK"/>
          <w:snapToGrid w:val="0"/>
          <w:kern w:val="0"/>
          <w:sz w:val="32"/>
          <w:szCs w:val="32"/>
        </w:rPr>
      </w:pPr>
      <w:r>
        <w:rPr>
          <w:rFonts w:ascii="Times New Roman" w:hAnsi="Times New Roman" w:eastAsia="方正楷体_GBK"/>
          <w:snapToGrid w:val="0"/>
          <w:kern w:val="0"/>
          <w:sz w:val="32"/>
          <w:szCs w:val="32"/>
        </w:rPr>
        <w:t>（一）从挑战看</w:t>
      </w:r>
    </w:p>
    <w:p>
      <w:pPr>
        <w:overflowPunct w:val="0"/>
        <w:autoSpaceDE w:val="0"/>
        <w:autoSpaceDN w:val="0"/>
        <w:adjustRightInd w:val="0"/>
        <w:snapToGrid w:val="0"/>
        <w:spacing w:line="57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中美战略博弈是主线，也是重要变量。中美关系的本质是传统霸权国对新型崛起大国的遏制，美国两党已达成对华强硬共识，在中国崛起的背景下，拜登政府必然会维护美国利益，在避免冷战、脱钩的基础上，通过联合盟友长期制衡和打压中国。同时，全球疫情后期走势仍然存在诸多不确定性，病毒不断产生变异并多地传播，疫苗供给充足程度、有效期限、接种意愿等存在明显的地区差异，疫情走势将直接影响国际经贸形势和预期，全球供应链、产业链、服务链、价值链或面临重要调整，为应对疫情造成的全球货币大放水，可能构成重大金融风险隐患。因此，“十四五”期间，开放型经济发展环境面临诸多挑战。</w:t>
      </w:r>
    </w:p>
    <w:p>
      <w:pPr>
        <w:overflowPunct w:val="0"/>
        <w:autoSpaceDE w:val="0"/>
        <w:autoSpaceDN w:val="0"/>
        <w:adjustRightInd w:val="0"/>
        <w:snapToGrid w:val="0"/>
        <w:spacing w:line="570" w:lineRule="exact"/>
        <w:ind w:firstLine="641"/>
        <w:rPr>
          <w:rFonts w:ascii="Times New Roman" w:hAnsi="Times New Roman" w:eastAsia="方正楷体_GBK"/>
          <w:snapToGrid w:val="0"/>
          <w:kern w:val="0"/>
          <w:sz w:val="32"/>
          <w:szCs w:val="32"/>
        </w:rPr>
      </w:pPr>
      <w:r>
        <w:rPr>
          <w:rFonts w:ascii="Times New Roman" w:hAnsi="Times New Roman" w:eastAsia="方正楷体_GBK"/>
          <w:snapToGrid w:val="0"/>
          <w:kern w:val="0"/>
          <w:sz w:val="32"/>
          <w:szCs w:val="32"/>
        </w:rPr>
        <w:t>（二）从机遇看</w:t>
      </w:r>
    </w:p>
    <w:p>
      <w:pPr>
        <w:overflowPunct w:val="0"/>
        <w:autoSpaceDE w:val="0"/>
        <w:autoSpaceDN w:val="0"/>
        <w:adjustRightInd w:val="0"/>
        <w:snapToGrid w:val="0"/>
        <w:spacing w:line="57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 国际区域合作拓展了我国对外开放的新空间</w:t>
      </w:r>
    </w:p>
    <w:p>
      <w:pPr>
        <w:overflowPunct w:val="0"/>
        <w:autoSpaceDE w:val="0"/>
        <w:autoSpaceDN w:val="0"/>
        <w:adjustRightInd w:val="0"/>
        <w:snapToGrid w:val="0"/>
        <w:spacing w:line="57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RCEP。RCEP（区域全面经济伙伴关系协定）正式签署，区域合作取得了重大突破，各成员国承诺降低关税、开放市场、减少标准壁垒等制度性安排，将为对外贸易、吸引外资、外经合作提供广阔的空间。对我市来说，有利于促进进口多元化，激发进口潜力，优化进口结构，扩大先进技术、关键设备、核心零部件、资源性产品、优质民生产品的进口，同时推动跨境电商加速发展，为服务贸易发展提供新机遇。</w:t>
      </w:r>
    </w:p>
    <w:p>
      <w:pPr>
        <w:overflowPunct w:val="0"/>
        <w:autoSpaceDE w:val="0"/>
        <w:autoSpaceDN w:val="0"/>
        <w:adjustRightInd w:val="0"/>
        <w:snapToGrid w:val="0"/>
        <w:spacing w:line="57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CAI（中欧投资协定）。2020年末，中欧投资协定谈判如期完成，虽然随后欧洲议会对协定的审议遭遇一定波折，但中欧合作是大势所趋。长期以来，虽然欧盟和中国互为极其重要的贸易伙伴，但是双方的直接投资金额却仍然较低，这意味着后期双方在直接投资上有着巨大的增长潜力，中欧双边经贸往来的融合度将进一步提升。</w:t>
      </w:r>
    </w:p>
    <w:p>
      <w:pPr>
        <w:overflowPunct w:val="0"/>
        <w:autoSpaceDE w:val="0"/>
        <w:autoSpaceDN w:val="0"/>
        <w:adjustRightInd w:val="0"/>
        <w:snapToGrid w:val="0"/>
        <w:spacing w:line="57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3）中日韩区域合作。RCEP签署后，我国主动提出了加入CPTPP的意向，由中国参与推动的RCEP和日本主导的CPTPP会部分重叠，其中最核心的就是中日韩自贸协定的推进。近年来，省委、省政府也提出要加大对日本、韩国的对接力度，深入推动中日韩区域合作，努力吸引日本、韩国将汽车、电子信息、装备制造等产业转移至中国。中日韩区域合作将是我市“十四五”开放发展的重要契机。</w:t>
      </w:r>
    </w:p>
    <w:p>
      <w:pPr>
        <w:overflowPunct w:val="0"/>
        <w:autoSpaceDE w:val="0"/>
        <w:autoSpaceDN w:val="0"/>
        <w:adjustRightInd w:val="0"/>
        <w:snapToGrid w:val="0"/>
        <w:spacing w:line="57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4）“一带一路”。近年来，我市开放型经济在对传统国别和地区的拓展中遇到了一些瓶颈，我市机电产品、纺织服装和化工塑料等传统优势产业迫切需要寻求新市场，“一带一路”拥有广阔的市场、丰富的资源和良好的合作基础，为我市产业转型发展带</w:t>
      </w:r>
      <w:r>
        <w:rPr>
          <w:rFonts w:hint="eastAsia" w:ascii="Times New Roman" w:hAnsi="Times New Roman" w:eastAsia="方正仿宋_GBK"/>
          <w:sz w:val="32"/>
          <w:szCs w:val="32"/>
        </w:rPr>
        <w:t>来</w:t>
      </w:r>
      <w:r>
        <w:rPr>
          <w:rFonts w:ascii="Times New Roman" w:hAnsi="Times New Roman" w:eastAsia="方正仿宋_GBK"/>
          <w:sz w:val="32"/>
          <w:szCs w:val="32"/>
        </w:rPr>
        <w:t>了新的机遇。对于企业“走出去”，一方面要抱团取暖，鼓励中小企业抱团走出去，依托国家级、省级境外合作园区，集聚抱团发展；另一方面，要背靠大树，紧跟央企、国企步伐，积极承揽和参与央企国企在“一带一路”投资项目，降低投资风险。</w:t>
      </w:r>
    </w:p>
    <w:p>
      <w:pPr>
        <w:overflowPunct w:val="0"/>
        <w:autoSpaceDE w:val="0"/>
        <w:autoSpaceDN w:val="0"/>
        <w:adjustRightInd w:val="0"/>
        <w:snapToGrid w:val="0"/>
        <w:spacing w:line="57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 新发展格局是主基调，对外开放力度进一步加大。以国内大循环为主体、国内国际双循环相互促进的新发展格局将是“十四五”时期我国经济社会发展的主基调。国内国际双循环相互促进，重中之重是要推进更高水平对外开放，更好利用国内国际两个市场、两种资源，努力实现“四个转变”：从扩大对外开放向主动引领开放转变；从以传统要素为主的循环向依靠新要素赋能的循环转变；从更多注重利用外需市场向更多强化内需市场转变；从参与嵌入全球产业链价值链向“以我为主”配置全球高端要素转变，努力构筑高水平对外开放新高地。</w:t>
      </w:r>
    </w:p>
    <w:p>
      <w:pPr>
        <w:overflowPunct w:val="0"/>
        <w:autoSpaceDE w:val="0"/>
        <w:autoSpaceDN w:val="0"/>
        <w:adjustRightInd w:val="0"/>
        <w:snapToGrid w:val="0"/>
        <w:spacing w:line="57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3. 区域一体化战略是重要发展机遇。近年来，中央以区域一体化为基本导向，谋划了长三角区域一体化、长江经济带、上海大都市圈等一系列国家重点战略，这些都是我国“十四五”期间区域经济发展的重中之重。特别是中央明确提出要推进长三角一体化发展，打造创新平台和新增长极，这将推动长三角成为全球最具竞争力的城市群之一，长三角一体化发展将进入全面提升的新阶段。“十四五”时期，我市要按照“国际化智造名城、长三角中轴枢纽”目标定位，抢抓机遇、优化路径、积极融入，在推动长三角一体化中实现高质量发展。</w:t>
      </w:r>
    </w:p>
    <w:p>
      <w:pPr>
        <w:overflowPunct w:val="0"/>
        <w:autoSpaceDE w:val="0"/>
        <w:autoSpaceDN w:val="0"/>
        <w:adjustRightInd w:val="0"/>
        <w:snapToGrid w:val="0"/>
        <w:spacing w:line="57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总体来看，“十四五”时期国内外形势和环境较为复杂，我市开放型经济发展压力和动力同在，机遇和挑战并存。要增强忧患意识，把握长期趋势，抓住主要矛盾，始终把常州开放型经济放到国际国内经济大格局中去思考和谋划，积极融入新发展格局，争取在新一轮开放发展中抢得先机，努力在对外开放格局、高质量发展全局中“争当表率、争做示范、走在前列”。</w:t>
      </w:r>
    </w:p>
    <w:p>
      <w:pPr>
        <w:overflowPunct w:val="0"/>
        <w:autoSpaceDE w:val="0"/>
        <w:autoSpaceDN w:val="0"/>
        <w:adjustRightInd w:val="0"/>
        <w:snapToGrid w:val="0"/>
        <w:spacing w:line="570" w:lineRule="exact"/>
        <w:ind w:firstLine="641"/>
        <w:rPr>
          <w:rFonts w:ascii="Times New Roman" w:hAnsi="Times New Roman" w:eastAsia="方正黑体_GBK"/>
          <w:snapToGrid w:val="0"/>
          <w:kern w:val="0"/>
          <w:sz w:val="32"/>
          <w:szCs w:val="32"/>
        </w:rPr>
      </w:pPr>
      <w:r>
        <w:rPr>
          <w:rFonts w:ascii="Times New Roman" w:hAnsi="Times New Roman" w:eastAsia="方正黑体_GBK"/>
          <w:snapToGrid w:val="0"/>
          <w:kern w:val="0"/>
          <w:sz w:val="32"/>
          <w:szCs w:val="32"/>
        </w:rPr>
        <w:t>三、总体思路</w:t>
      </w:r>
    </w:p>
    <w:p>
      <w:pPr>
        <w:overflowPunct w:val="0"/>
        <w:autoSpaceDE w:val="0"/>
        <w:autoSpaceDN w:val="0"/>
        <w:adjustRightInd w:val="0"/>
        <w:snapToGrid w:val="0"/>
        <w:spacing w:line="570" w:lineRule="exact"/>
        <w:ind w:firstLine="641"/>
        <w:rPr>
          <w:rFonts w:ascii="Times New Roman" w:hAnsi="Times New Roman" w:eastAsia="方正楷体_GBK"/>
          <w:snapToGrid w:val="0"/>
          <w:kern w:val="0"/>
          <w:sz w:val="32"/>
          <w:szCs w:val="32"/>
        </w:rPr>
      </w:pPr>
      <w:r>
        <w:rPr>
          <w:rFonts w:ascii="Times New Roman" w:hAnsi="Times New Roman" w:eastAsia="方正楷体_GBK"/>
          <w:snapToGrid w:val="0"/>
          <w:kern w:val="0"/>
          <w:sz w:val="32"/>
          <w:szCs w:val="32"/>
        </w:rPr>
        <w:t>（一）指导思想</w:t>
      </w:r>
    </w:p>
    <w:p>
      <w:pPr>
        <w:overflowPunct w:val="0"/>
        <w:autoSpaceDE w:val="0"/>
        <w:autoSpaceDN w:val="0"/>
        <w:adjustRightInd w:val="0"/>
        <w:snapToGrid w:val="0"/>
        <w:spacing w:line="57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以习近平新时代中国特色社会主义思想为指导，全面贯彻党的十九大和十九届二中、三中、四中、五中全会精神及习近平总书记视察江苏重要指示，深入践行新发展理念，主动融入新发展格局，坚定实施全方位开放战略，深度融入“一带一路”、长江经济带、长三角区域一体化、上海大都市圈等重大发展战略，抢抓江苏获批自由贸易试验区契机，按照我市打造“国际化智造名城、长三角中轴枢纽”的战略定位，对标德国、接轨上海、走向世界，持续优化开放布局、拓展开放空间、丰富开放内涵、提升开放能级，加快形成高水平全面开放新格局，努力打造新时代对外开放新高地。</w:t>
      </w:r>
    </w:p>
    <w:p>
      <w:pPr>
        <w:overflowPunct w:val="0"/>
        <w:autoSpaceDE w:val="0"/>
        <w:autoSpaceDN w:val="0"/>
        <w:adjustRightInd w:val="0"/>
        <w:snapToGrid w:val="0"/>
        <w:spacing w:line="570" w:lineRule="exact"/>
        <w:ind w:firstLine="641"/>
        <w:rPr>
          <w:rFonts w:ascii="Times New Roman" w:hAnsi="Times New Roman" w:eastAsia="方正楷体_GBK"/>
          <w:snapToGrid w:val="0"/>
          <w:kern w:val="0"/>
          <w:sz w:val="32"/>
          <w:szCs w:val="32"/>
        </w:rPr>
      </w:pPr>
      <w:r>
        <w:rPr>
          <w:rFonts w:ascii="Times New Roman" w:hAnsi="Times New Roman" w:eastAsia="方正楷体_GBK"/>
          <w:snapToGrid w:val="0"/>
          <w:kern w:val="0"/>
          <w:sz w:val="32"/>
          <w:szCs w:val="32"/>
        </w:rPr>
        <w:t>（二）基本原则</w:t>
      </w:r>
    </w:p>
    <w:p>
      <w:pPr>
        <w:overflowPunct w:val="0"/>
        <w:autoSpaceDE w:val="0"/>
        <w:autoSpaceDN w:val="0"/>
        <w:adjustRightInd w:val="0"/>
        <w:snapToGrid w:val="0"/>
        <w:spacing w:line="57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 聚焦新格局，促进内外联动。依托我市在国内大循环中的优势，更高层次融入国际大循环，成为链接国际国内双循环的重要支点。联接好内需和外需，通过放大内需内涵、拓展外需外延、推动“外转内”等途径，实现内需、外需高水平动态平衡和深度融合。把握好引进来和走出去，促进双向投资、双边贸易和双方合作，做到内外联动、相互促进。</w:t>
      </w:r>
    </w:p>
    <w:p>
      <w:pPr>
        <w:overflowPunct w:val="0"/>
        <w:autoSpaceDE w:val="0"/>
        <w:autoSpaceDN w:val="0"/>
        <w:adjustRightInd w:val="0"/>
        <w:snapToGrid w:val="0"/>
        <w:spacing w:line="57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 聚焦新蓝图，集聚国际资源。把服务“国际化智造名城、长三角中轴枢纽”建设，作为开放型经济发展的重要任务，深度融入“一带一路”交汇点建设、长三角区域一体化发展、上海大都市圈等国家重大战略，更大力度集聚国际智造产业、国际创新资源、国际物流项目，推动开放战略与区域发展战略相互促进、互为补充，形成层次分明、优势互补的全方位开放新格局。</w:t>
      </w:r>
    </w:p>
    <w:p>
      <w:pPr>
        <w:overflowPunct w:val="0"/>
        <w:autoSpaceDE w:val="0"/>
        <w:autoSpaceDN w:val="0"/>
        <w:adjustRightInd w:val="0"/>
        <w:snapToGrid w:val="0"/>
        <w:spacing w:line="57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3. 聚焦高质量，塑造开放品牌。坚持开放型经济高质量发展主题，通过高水平开放和大力度创新，推动开发园区、利用外资、对外贸易、外经合作等全方位高质量发展，塑造开放品牌，打造开放高地，着力提升开放型经济发展质效。立足常州产业特色，坚持差异化、特色化发展思路，把自主创新与开放创新融合起来，把产业特色优势转化为国际知名品牌优势，实现品牌形象和城市形象的有机结合。</w:t>
      </w:r>
    </w:p>
    <w:p>
      <w:pPr>
        <w:overflowPunct w:val="0"/>
        <w:autoSpaceDE w:val="0"/>
        <w:autoSpaceDN w:val="0"/>
        <w:adjustRightInd w:val="0"/>
        <w:snapToGrid w:val="0"/>
        <w:spacing w:line="57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4. 聚焦新动能，深化制度改革。利用江苏自贸区获批机会，积极开展各类改革试点，主动复制推广试点经验，积极推动江苏自贸区联动创新发展区建设，集聚集约配置资源，着力破除与扩大开放不相适应、不相匹配的制度规则，构建更高水平的开放型经济制度体系，增强开放发展新动能。</w:t>
      </w:r>
    </w:p>
    <w:p>
      <w:pPr>
        <w:overflowPunct w:val="0"/>
        <w:autoSpaceDE w:val="0"/>
        <w:autoSpaceDN w:val="0"/>
        <w:adjustRightInd w:val="0"/>
        <w:snapToGrid w:val="0"/>
        <w:spacing w:line="57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5. 聚焦国际化，优化营商环境。着力补齐“国际化”短板，以经济国际化引领文化、科技、教育等领域的国际化，带动城市基础建设、人居环境等方面的国际化，有规划、有步骤、统筹推进提升国际化发展水平，营造公开透明可预期的国际化营商环境，增强城市国际影响力。</w:t>
      </w:r>
    </w:p>
    <w:p>
      <w:pPr>
        <w:overflowPunct w:val="0"/>
        <w:autoSpaceDE w:val="0"/>
        <w:autoSpaceDN w:val="0"/>
        <w:adjustRightInd w:val="0"/>
        <w:snapToGrid w:val="0"/>
        <w:spacing w:line="570" w:lineRule="exact"/>
        <w:ind w:firstLine="641"/>
        <w:rPr>
          <w:rFonts w:ascii="Times New Roman" w:hAnsi="Times New Roman" w:eastAsia="方正楷体_GBK"/>
          <w:snapToGrid w:val="0"/>
          <w:kern w:val="0"/>
          <w:sz w:val="32"/>
          <w:szCs w:val="32"/>
        </w:rPr>
      </w:pPr>
      <w:r>
        <w:rPr>
          <w:rFonts w:ascii="Times New Roman" w:hAnsi="Times New Roman" w:eastAsia="方正楷体_GBK"/>
          <w:snapToGrid w:val="0"/>
          <w:kern w:val="0"/>
          <w:sz w:val="32"/>
          <w:szCs w:val="32"/>
        </w:rPr>
        <w:t>（三）发展目标</w:t>
      </w:r>
    </w:p>
    <w:p>
      <w:pPr>
        <w:overflowPunct w:val="0"/>
        <w:autoSpaceDE w:val="0"/>
        <w:autoSpaceDN w:val="0"/>
        <w:adjustRightInd w:val="0"/>
        <w:snapToGrid w:val="0"/>
        <w:spacing w:line="57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 利用外资。保持利用外资稳定发展，“十四五”期间累计实际到账外资150亿美元以上，力争在全省份额进一步提升，位次进一步前移。持续提升利用外资质效，制造业实际利用外资占比保持50%以上，先进制造业产业集群项目和战略性新兴产业项目利用外资比重有所增加；每年引进总投资超3亿美元以上重大外资项目不少于5个，超5亿、超10亿美元外资重大项目取得新突破；新增一批世界500强、地区总部及功能性机构。</w:t>
      </w:r>
    </w:p>
    <w:p>
      <w:pPr>
        <w:overflowPunct w:val="0"/>
        <w:autoSpaceDE w:val="0"/>
        <w:autoSpaceDN w:val="0"/>
        <w:adjustRightInd w:val="0"/>
        <w:snapToGrid w:val="0"/>
        <w:spacing w:line="57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 对外贸易。全市对外贸易总量保持平稳，“十四五”期间累计进出口总额1800亿美元，占全省份额进一步提升。围绕“253”先进制造业产业集群建设，打造一批优势产业出口集群和出口品牌，形成若干年出口规模超10亿美元、5亿美元、3亿美元出口基地和出口企业。推动贸易结构优化，一般贸易比重稳步提高，高技术产品出口大幅提升，知识密集型服务进出口比重有所提升。创新贸易方式，跨境电商综合试验区试点和轨道交通进境维修业务取得实效，培育若干进口交易中心、外贸综合服务企业和海外仓。服务贸易规模实现较快增长，积极创建国家服务外包示范城市和国家文化出口基地，服务外包执行额年均增长10%以上，新增一批服务贸易示范企业、集聚区。</w:t>
      </w:r>
    </w:p>
    <w:p>
      <w:pPr>
        <w:overflowPunct w:val="0"/>
        <w:autoSpaceDE w:val="0"/>
        <w:autoSpaceDN w:val="0"/>
        <w:adjustRightInd w:val="0"/>
        <w:snapToGrid w:val="0"/>
        <w:spacing w:line="57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3. 外经合作。境外投资保持平稳健康发展，培育一批具有全球视野和全球资源整合能力的本土跨国公司，跨国经营能力进一步增强，境外资源合作开发深入实施，对外承包工程和劳务合作层次明显提升，与欧美发达国家的项目和产业合作不断深化，至2025年累计拥有本土跨国经营企业200家以上，实现跨国并购50例，发展境外合作园区3家。</w:t>
      </w:r>
    </w:p>
    <w:p>
      <w:pPr>
        <w:overflowPunct w:val="0"/>
        <w:autoSpaceDE w:val="0"/>
        <w:autoSpaceDN w:val="0"/>
        <w:adjustRightInd w:val="0"/>
        <w:snapToGrid w:val="0"/>
        <w:spacing w:line="57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4. 园区建设。新增1—2家国家级开发区，新增2—3家省级开发区，开发区在全省排位总体稳中有升。各级各类开发区产业集聚度和集约发展水平进一步提升，力争全市开发区实际到账外资、规上工业主营业务收入、公共财政预算收入占全市比重分别超过90%、75%和60%，开发区新增协议外资3000万美元以上的制造业项目占全市的90%以上。提升开发区集约发展水平，园区单位建设用地税收收入有所增长。中以、中德、中欧、中瑞等中外合作园区合作机制有所突破，其中中以（常州）创新园要着力提升江苏省中以产业技术研究院、以色列江苏创新中心、固立高端装备创新中心等平台能级，打造“中国以色列创新合作领航者”，中德（常州）创新产业园要引进以德语区为主的欧洲企业100家，打造最具竞争力的中德合作平台。</w:t>
      </w:r>
    </w:p>
    <w:p>
      <w:pPr>
        <w:overflowPunct w:val="0"/>
        <w:autoSpaceDE w:val="0"/>
        <w:autoSpaceDN w:val="0"/>
        <w:adjustRightInd w:val="0"/>
        <w:snapToGrid w:val="0"/>
        <w:spacing w:line="57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5. 口岸功能。到2025年初步建成水陆空联动发展、客货运快速增长、高效运作的现代化立体口岸体系。口岸吞吐量保持较快增长，空港国际航线数量有所增加，海铁联运规模进一步扩大，推动金坛港开通海运直航功能及综保区分区设置，综保区发展形成一定规模和特色。口岸综合服务效率、口岸营商环境、智能创新应用水平等居全省前列。</w:t>
      </w:r>
    </w:p>
    <w:p>
      <w:pPr>
        <w:overflowPunct w:val="0"/>
        <w:autoSpaceDE w:val="0"/>
        <w:autoSpaceDN w:val="0"/>
        <w:adjustRightInd w:val="0"/>
        <w:snapToGrid w:val="0"/>
        <w:spacing w:line="570" w:lineRule="exact"/>
        <w:ind w:firstLine="641"/>
        <w:rPr>
          <w:rFonts w:ascii="Times New Roman" w:hAnsi="Times New Roman" w:eastAsia="方正楷体_GBK"/>
          <w:snapToGrid w:val="0"/>
          <w:kern w:val="0"/>
          <w:sz w:val="32"/>
          <w:szCs w:val="32"/>
        </w:rPr>
      </w:pPr>
      <w:r>
        <w:rPr>
          <w:rFonts w:ascii="Times New Roman" w:hAnsi="Times New Roman" w:eastAsia="方正楷体_GBK"/>
          <w:snapToGrid w:val="0"/>
          <w:kern w:val="0"/>
          <w:sz w:val="32"/>
          <w:szCs w:val="32"/>
        </w:rPr>
        <w:t>（四）重点方向</w:t>
      </w:r>
    </w:p>
    <w:p>
      <w:pPr>
        <w:overflowPunct w:val="0"/>
        <w:autoSpaceDE w:val="0"/>
        <w:autoSpaceDN w:val="0"/>
        <w:adjustRightInd w:val="0"/>
        <w:snapToGrid w:val="0"/>
        <w:spacing w:line="57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1. 立足经济国际化，加快融入国内国际双循环新发展格局。在国内国际双循环相互促进的新发展格局中找准定位，主动向全球开放市场。统筹利用国内国际两个市场、两种资源，推动国内市场和国际市场更好联通、相互促进，以国内国外双向互促的贸易投资，实现经济更加强劲可持续的发展。更高水平引进外资、留住外资，使蒂森克虏伯、西门子、格力博等重点外资企业扎根常州、深耕发展，千方百计稳住产业链供应链。同时，鼓励优势产业和骨干企业稳步走出去，到境外投资设厂、开展技术研发、跨国并购、实施资本和品牌运作，推动常州企业按经济规律和市场原则在全球优化要素资源配置，提升核心竞争力和跨国经营能力，努力培育一批具有全球视野和全球资源整合能力的本土跨国公司，打造国内国际双循环的重要支点和纽带。</w:t>
      </w:r>
    </w:p>
    <w:p>
      <w:pPr>
        <w:overflowPunct w:val="0"/>
        <w:autoSpaceDE w:val="0"/>
        <w:autoSpaceDN w:val="0"/>
        <w:adjustRightInd w:val="0"/>
        <w:snapToGrid w:val="0"/>
        <w:spacing w:line="57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2. 立足区域一体化，强化“融入跟随、特色发展”的策略。强化“深度融入、紧紧跟随、准确定位、特色发展”的策略，推动长江经济带发展和共建“一带一路”的融合，加快“一带一路”战略支点建设。主动融入长三角区域一体化发展，加快融入上海都市圈，与南京都市圈互动合作，加快建设长三角中轴枢纽，更加紧密地协同苏锡常、锡常泰城市群发展，不断提升常州在长三角发展中重要节点的地位和影响力，提升常州在沿江城市群落发展的重要地位。把准产业定位、发挥比较优势，在进一步强化我市特色优势产业招商的基础上，紧盯上海产业梯度转移，积极拼抢优质产业资源，与长三角区域的兄弟城市开展差别化竞争，努力提升我市产业核心竞争力和辐射力。</w:t>
      </w:r>
    </w:p>
    <w:p>
      <w:pPr>
        <w:overflowPunct w:val="0"/>
        <w:autoSpaceDE w:val="0"/>
        <w:autoSpaceDN w:val="0"/>
        <w:adjustRightInd w:val="0"/>
        <w:snapToGrid w:val="0"/>
        <w:spacing w:line="57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3. 立足制造业基础好的优势，突出项目招引和产业提升。主动顺应跨国投资和项目招引新趋势，充分利用我市汽车零部件、高端装备、轨道交通、新能源新材料等制造业基础好，产业配套强的优势，聚焦“253”先进制造业产业集群建设，加快产业基础高级化、产业链现代化，持之以恒深入推进产业链招商；依托我市本土龙头企业，进一步扩大相关产业规模，集聚更多产业链优质资源，延链、强链，打造真正的国际化智造名城；高点布局人工智能、集成电路、5G通讯、工业互联网等战略性新兴产业和三新经济产业，以有效的产业需求和应用场景，吸引项目、投资、人才，努力实现产业的创新、转型、提升，争取在新一轮的国际产业竞争中占得先机。</w:t>
      </w:r>
    </w:p>
    <w:p>
      <w:pPr>
        <w:overflowPunct w:val="0"/>
        <w:autoSpaceDE w:val="0"/>
        <w:autoSpaceDN w:val="0"/>
        <w:adjustRightInd w:val="0"/>
        <w:snapToGrid w:val="0"/>
        <w:spacing w:line="57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4. 立足企业主体地位，提高企业全球资源配置能力。强化企业创新主体地位，打造有国际竞争力的先进制造业集群，打造自主可控、安全高效并为全国服务的产业链供应链，帮助和支持天合光能、金昇、恒立液压、华利达、蜂巢能源、中航锂电等有条件的本土企业国际化发展，立足常州总部，通过产品走出去、产能走出去、资本走出去等方式，推动常州企业在全球优化资源配置，提升企业核心竞争力和跨国经营能力。深入推进内外资企业配套协作工程，引导我市“隐形冠军”、“单项冠军”发挥优势，与跨国公司开展“高位嫁接”，使更多优质本土企业进入跨国集团生产采购体系、分享全球化红利，推动本土企业在合作中提高制造能力和技术水平，逐步增强在全球产业链中的竞争力。</w:t>
      </w:r>
    </w:p>
    <w:p>
      <w:pPr>
        <w:overflowPunct w:val="0"/>
        <w:autoSpaceDE w:val="0"/>
        <w:autoSpaceDN w:val="0"/>
        <w:adjustRightInd w:val="0"/>
        <w:snapToGrid w:val="0"/>
        <w:spacing w:line="57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5. 立足国际合作园区优势，深化国际科技创新合作。“十四五”期间，充分利用中以、中德、中欧、中瑞等国际合作园区平台，进一步瞄准美国、以色列、德国、日本、瑞士、荷兰等国家的创新资源，加强科研合作，坚持开放创新有效互动，切实提升自身创新能力。推动中以常州创新园建成“中以创新合作融合发展先导区、国际化开放创新生态建设示范区、创新驱动新经济产业发展先行区和国际一流营商环境样板区”；推动中德常州创新园建成长三角国际产业合作示范基地、江苏中德产业创新核心平台、苏南先进制造业产业集聚高地；推动中瑞（常州）国际产业创新园建成中瑞产业合作的典范；推动中欧（常州）绿色创新园区建设成为中欧绿色合作伙伴关系常州样板和国际一流低碳技术合作先行区。</w:t>
      </w:r>
    </w:p>
    <w:p>
      <w:pPr>
        <w:overflowPunct w:val="0"/>
        <w:autoSpaceDE w:val="0"/>
        <w:autoSpaceDN w:val="0"/>
        <w:adjustRightInd w:val="0"/>
        <w:snapToGrid w:val="0"/>
        <w:spacing w:line="57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6. 立足营商环境优化，提升城市国际化环境和功能。对标世界先进城市，提高投资环境、创业环境、生活环境的法制化国际化便利化水平，形成联通全球的功能设施、接轨国际标准的管理服务。更加注重提升城市能级，增加国际化城市功能布局，在教育、医疗、社区、康养等方面提高国际化程度，着力打造“高品质、有特色、多元包容”的宜居宜业环境。</w:t>
      </w:r>
    </w:p>
    <w:p>
      <w:pPr>
        <w:overflowPunct w:val="0"/>
        <w:autoSpaceDE w:val="0"/>
        <w:autoSpaceDN w:val="0"/>
        <w:adjustRightInd w:val="0"/>
        <w:snapToGrid w:val="0"/>
        <w:spacing w:line="570" w:lineRule="exact"/>
        <w:ind w:firstLine="641"/>
        <w:rPr>
          <w:rFonts w:ascii="Times New Roman" w:hAnsi="Times New Roman" w:eastAsia="方正黑体_GBK"/>
          <w:snapToGrid w:val="0"/>
          <w:kern w:val="0"/>
          <w:sz w:val="32"/>
          <w:szCs w:val="32"/>
        </w:rPr>
      </w:pPr>
      <w:r>
        <w:rPr>
          <w:rFonts w:ascii="Times New Roman" w:hAnsi="Times New Roman" w:eastAsia="方正黑体_GBK"/>
          <w:snapToGrid w:val="0"/>
          <w:kern w:val="0"/>
          <w:sz w:val="32"/>
          <w:szCs w:val="32"/>
        </w:rPr>
        <w:t>四、转型升级，打造更高水平开发园区</w:t>
      </w:r>
    </w:p>
    <w:p>
      <w:pPr>
        <w:overflowPunct w:val="0"/>
        <w:autoSpaceDE w:val="0"/>
        <w:autoSpaceDN w:val="0"/>
        <w:adjustRightInd w:val="0"/>
        <w:snapToGrid w:val="0"/>
        <w:spacing w:line="570" w:lineRule="exact"/>
        <w:ind w:firstLine="640" w:firstLineChars="200"/>
        <w:rPr>
          <w:rFonts w:ascii="Times New Roman" w:hAnsi="Times New Roman" w:eastAsia="方正仿宋_GBK"/>
          <w:sz w:val="32"/>
          <w:szCs w:val="32"/>
        </w:rPr>
      </w:pPr>
      <w:r>
        <w:rPr>
          <w:rFonts w:ascii="Times New Roman" w:hAnsi="Times New Roman" w:eastAsia="方正仿宋_GBK"/>
          <w:sz w:val="32"/>
          <w:szCs w:val="32"/>
        </w:rPr>
        <w:t>推动开发区向现代产业园区转型，进一步明确发展方向和产业定位，集中力量、集聚资源、集成政策，走适合自身的特色发展之路，建设一批承载大项目、大产业、大集群的专业化园区。</w:t>
      </w:r>
    </w:p>
    <w:p>
      <w:pPr>
        <w:overflowPunct w:val="0"/>
        <w:autoSpaceDE w:val="0"/>
        <w:autoSpaceDN w:val="0"/>
        <w:adjustRightInd w:val="0"/>
        <w:snapToGrid w:val="0"/>
        <w:spacing w:line="570" w:lineRule="exact"/>
        <w:ind w:firstLine="640" w:firstLineChars="200"/>
        <w:rPr>
          <w:rFonts w:ascii="Times New Roman" w:hAnsi="Times New Roman" w:eastAsia="方正仿宋_GBK"/>
          <w:sz w:val="32"/>
          <w:szCs w:val="32"/>
        </w:rPr>
      </w:pPr>
      <w:r>
        <w:rPr>
          <w:rFonts w:ascii="Times New Roman" w:hAnsi="Times New Roman" w:eastAsia="方正楷体_GBK"/>
          <w:snapToGrid w:val="0"/>
          <w:kern w:val="0"/>
          <w:sz w:val="32"/>
          <w:szCs w:val="32"/>
        </w:rPr>
        <w:t>（一）完善开发区布局。</w:t>
      </w:r>
      <w:r>
        <w:rPr>
          <w:rFonts w:ascii="Times New Roman" w:hAnsi="Times New Roman" w:eastAsia="方正仿宋_GBK"/>
          <w:sz w:val="32"/>
          <w:szCs w:val="32"/>
        </w:rPr>
        <w:t>推动各辖市区进一步整合优化园区资源布局，各板块形成“一个省级以上经开区、一个省级以上高新区（含筹）”格局，充分发挥“双区”带动效应，其中天宁高新区、钟楼高新区2021年底前实现市级挂牌，“十四五”期间建成省级高新区。同时，推动各辖市区以构建“1+1”开发区格局为契机，高标准做好各开发区规划调整，按照产城融合模式，建设现代化产业新城，确保全市开发区实际到账外资、规上工业主营业务收入、公共财政预算收入占全市比重进一步提升。</w:t>
      </w:r>
    </w:p>
    <w:p>
      <w:pPr>
        <w:overflowPunct w:val="0"/>
        <w:autoSpaceDE w:val="0"/>
        <w:autoSpaceDN w:val="0"/>
        <w:adjustRightInd w:val="0"/>
        <w:snapToGrid w:val="0"/>
        <w:spacing w:line="570" w:lineRule="exact"/>
        <w:ind w:firstLine="640" w:firstLineChars="200"/>
        <w:rPr>
          <w:rFonts w:ascii="Times New Roman" w:hAnsi="Times New Roman" w:eastAsia="方正仿宋_GBK"/>
          <w:sz w:val="32"/>
          <w:szCs w:val="32"/>
        </w:rPr>
      </w:pPr>
      <w:r>
        <w:rPr>
          <w:rFonts w:ascii="Times New Roman" w:hAnsi="Times New Roman" w:eastAsia="方正楷体_GBK"/>
          <w:snapToGrid w:val="0"/>
          <w:kern w:val="0"/>
          <w:sz w:val="32"/>
          <w:szCs w:val="32"/>
        </w:rPr>
        <w:t>（二）推动开发区升级。</w:t>
      </w:r>
      <w:r>
        <w:rPr>
          <w:rFonts w:ascii="Times New Roman" w:hAnsi="Times New Roman" w:eastAsia="方正仿宋_GBK"/>
          <w:sz w:val="32"/>
          <w:szCs w:val="32"/>
        </w:rPr>
        <w:t>推动江苏中关村高新区升级为国家级高新区，推进常州经开区、金坛经开区等升格国家级经开区，全市力争新增国家级开发区1—2家，尽快实现一个辖市区拥有一个国家级开发区的目标。同时，进一步完善《开发区争先创优专项考核办法》，推动我市开发区在国家和省考核评价中争先进位，不断提升在全国、全省开发区中的位次，常州高新区、武进高新区分别进入全国20强、30强，不少于3个省级开发区进入全省前10位，其余省级开发区进入全省排名前20位。</w:t>
      </w:r>
    </w:p>
    <w:p>
      <w:pPr>
        <w:overflowPunct w:val="0"/>
        <w:autoSpaceDE w:val="0"/>
        <w:autoSpaceDN w:val="0"/>
        <w:adjustRightInd w:val="0"/>
        <w:snapToGrid w:val="0"/>
        <w:spacing w:line="570" w:lineRule="exact"/>
        <w:ind w:firstLine="640" w:firstLineChars="200"/>
        <w:rPr>
          <w:rFonts w:ascii="Times New Roman" w:hAnsi="Times New Roman" w:eastAsia="方正仿宋_GBK"/>
          <w:sz w:val="32"/>
          <w:szCs w:val="32"/>
        </w:rPr>
      </w:pPr>
      <w:r>
        <w:rPr>
          <w:rFonts w:ascii="Times New Roman" w:hAnsi="Times New Roman" w:eastAsia="方正楷体_GBK"/>
          <w:snapToGrid w:val="0"/>
          <w:kern w:val="0"/>
          <w:sz w:val="32"/>
          <w:szCs w:val="32"/>
        </w:rPr>
        <w:t>（三）加快特色产业集聚。</w:t>
      </w:r>
      <w:r>
        <w:rPr>
          <w:rFonts w:ascii="Times New Roman" w:hAnsi="Times New Roman" w:eastAsia="方正仿宋_GBK"/>
          <w:sz w:val="32"/>
          <w:szCs w:val="32"/>
        </w:rPr>
        <w:t>按照《关于推进全市开发区高质量发展的实施意见》，推动先进制造业向省级以上开发区集聚，引导各开发区根据自身发展特色与资源禀赋，集中力量发展2—3个主导产业，形成全市开发区错位发展、各展所长的产业格局。常州高新区、常州经开区各形成1个产值1000亿以上产业；武进高新区、金坛经开区、中关村高新区、滨江经开区各形成1个产值500亿以上产业；其余省级以上开发区至少形成1个产值200亿以上的产业，市级以上财政类扶持政策优先支持各开发区主导产业发展。提高产业空间资源利用效率，探索设置新型产业用地，积极发展高标准厂房、立体工厂和楼宇经济，每个板块建成10万平米以上高标准、现代化写字楼。</w:t>
      </w:r>
    </w:p>
    <w:tbl>
      <w:tblPr>
        <w:tblStyle w:val="3"/>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06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9067" w:type="dxa"/>
            <w:noWrap w:val="0"/>
            <w:vAlign w:val="top"/>
          </w:tcPr>
          <w:p>
            <w:pPr>
              <w:spacing w:line="540" w:lineRule="exact"/>
              <w:jc w:val="center"/>
              <w:rPr>
                <w:rFonts w:ascii="Times New Roman" w:hAnsi="Times New Roman" w:eastAsia="方正黑体_GBK"/>
                <w:sz w:val="28"/>
                <w:szCs w:val="28"/>
              </w:rPr>
            </w:pPr>
            <w:r>
              <w:rPr>
                <w:rFonts w:ascii="Times New Roman" w:hAnsi="Times New Roman" w:eastAsia="方正黑体_GBK"/>
                <w:sz w:val="28"/>
                <w:szCs w:val="28"/>
              </w:rPr>
              <w:t>专栏：各开发区优先发展和重点培育产业方向</w:t>
            </w:r>
          </w:p>
          <w:p>
            <w:pPr>
              <w:overflowPunct w:val="0"/>
              <w:autoSpaceDE w:val="0"/>
              <w:autoSpaceDN w:val="0"/>
              <w:adjustRightInd w:val="0"/>
              <w:snapToGrid w:val="0"/>
              <w:spacing w:line="540" w:lineRule="exact"/>
              <w:ind w:firstLine="560" w:firstLineChars="200"/>
              <w:rPr>
                <w:rFonts w:ascii="Times New Roman" w:hAnsi="Times New Roman" w:eastAsia="方正仿宋_GBK"/>
                <w:bCs/>
                <w:sz w:val="28"/>
                <w:szCs w:val="28"/>
              </w:rPr>
            </w:pPr>
            <w:r>
              <w:rPr>
                <w:rFonts w:ascii="Times New Roman" w:hAnsi="Times New Roman" w:eastAsia="方正楷体_GBK"/>
                <w:bCs/>
                <w:sz w:val="28"/>
                <w:szCs w:val="28"/>
              </w:rPr>
              <w:t>常州高新区：</w:t>
            </w:r>
            <w:r>
              <w:rPr>
                <w:rFonts w:ascii="Times New Roman" w:hAnsi="Times New Roman" w:eastAsia="方正仿宋_GBK"/>
                <w:bCs/>
                <w:sz w:val="28"/>
                <w:szCs w:val="28"/>
              </w:rPr>
              <w:t>汽车及零部件（含新能源车）、生物医药及新型医疗器械、新一代信息技术、新能源；</w:t>
            </w:r>
          </w:p>
          <w:p>
            <w:pPr>
              <w:overflowPunct w:val="0"/>
              <w:autoSpaceDE w:val="0"/>
              <w:autoSpaceDN w:val="0"/>
              <w:adjustRightInd w:val="0"/>
              <w:snapToGrid w:val="0"/>
              <w:spacing w:line="540" w:lineRule="exact"/>
              <w:ind w:firstLine="560" w:firstLineChars="200"/>
              <w:rPr>
                <w:rFonts w:ascii="Times New Roman" w:hAnsi="Times New Roman" w:eastAsia="方正仿宋_GBK"/>
                <w:bCs/>
                <w:sz w:val="28"/>
                <w:szCs w:val="28"/>
              </w:rPr>
            </w:pPr>
            <w:r>
              <w:rPr>
                <w:rFonts w:ascii="Times New Roman" w:hAnsi="Times New Roman" w:eastAsia="方正楷体_GBK"/>
                <w:bCs/>
                <w:sz w:val="28"/>
                <w:szCs w:val="28"/>
              </w:rPr>
              <w:t>武进高新区：</w:t>
            </w:r>
            <w:r>
              <w:rPr>
                <w:rFonts w:ascii="Times New Roman" w:hAnsi="Times New Roman" w:eastAsia="方正仿宋_GBK"/>
                <w:bCs/>
                <w:sz w:val="28"/>
                <w:szCs w:val="28"/>
              </w:rPr>
              <w:t>高端装备、新一代信息技术、新型交通、节能环保；</w:t>
            </w:r>
          </w:p>
          <w:p>
            <w:pPr>
              <w:overflowPunct w:val="0"/>
              <w:autoSpaceDE w:val="0"/>
              <w:autoSpaceDN w:val="0"/>
              <w:adjustRightInd w:val="0"/>
              <w:snapToGrid w:val="0"/>
              <w:spacing w:line="540" w:lineRule="exact"/>
              <w:ind w:firstLine="560" w:firstLineChars="200"/>
              <w:rPr>
                <w:rFonts w:ascii="Times New Roman" w:hAnsi="Times New Roman" w:eastAsia="方正仿宋_GBK"/>
                <w:bCs/>
                <w:sz w:val="28"/>
                <w:szCs w:val="28"/>
              </w:rPr>
            </w:pPr>
            <w:r>
              <w:rPr>
                <w:rFonts w:ascii="Times New Roman" w:hAnsi="Times New Roman" w:eastAsia="方正楷体_GBK"/>
                <w:bCs/>
                <w:sz w:val="28"/>
                <w:szCs w:val="28"/>
              </w:rPr>
              <w:t>常州经开区：</w:t>
            </w:r>
            <w:r>
              <w:rPr>
                <w:rFonts w:ascii="Times New Roman" w:hAnsi="Times New Roman" w:eastAsia="方正仿宋_GBK"/>
                <w:bCs/>
                <w:sz w:val="28"/>
                <w:szCs w:val="28"/>
              </w:rPr>
              <w:t>轨道交通、绿色精品钢、新型电力装备；</w:t>
            </w:r>
          </w:p>
          <w:p>
            <w:pPr>
              <w:overflowPunct w:val="0"/>
              <w:autoSpaceDE w:val="0"/>
              <w:autoSpaceDN w:val="0"/>
              <w:adjustRightInd w:val="0"/>
              <w:snapToGrid w:val="0"/>
              <w:spacing w:line="540" w:lineRule="exact"/>
              <w:ind w:firstLine="560" w:firstLineChars="200"/>
              <w:rPr>
                <w:rFonts w:ascii="Times New Roman" w:hAnsi="Times New Roman" w:eastAsia="方正仿宋_GBK"/>
                <w:bCs/>
                <w:sz w:val="28"/>
                <w:szCs w:val="28"/>
              </w:rPr>
            </w:pPr>
            <w:r>
              <w:rPr>
                <w:rFonts w:ascii="Times New Roman" w:hAnsi="Times New Roman" w:eastAsia="方正楷体_GBK"/>
                <w:bCs/>
                <w:sz w:val="28"/>
                <w:szCs w:val="28"/>
              </w:rPr>
              <w:t>金坛经开区：</w:t>
            </w:r>
            <w:r>
              <w:rPr>
                <w:rFonts w:ascii="Times New Roman" w:hAnsi="Times New Roman" w:eastAsia="方正仿宋_GBK"/>
                <w:bCs/>
                <w:sz w:val="28"/>
                <w:szCs w:val="28"/>
              </w:rPr>
              <w:t>汽车及零部件（含新能源车）、新一代信息技术、高端装备；</w:t>
            </w:r>
          </w:p>
          <w:p>
            <w:pPr>
              <w:overflowPunct w:val="0"/>
              <w:autoSpaceDE w:val="0"/>
              <w:autoSpaceDN w:val="0"/>
              <w:adjustRightInd w:val="0"/>
              <w:snapToGrid w:val="0"/>
              <w:spacing w:line="540" w:lineRule="exact"/>
              <w:ind w:firstLine="560" w:firstLineChars="200"/>
              <w:rPr>
                <w:rFonts w:ascii="Times New Roman" w:hAnsi="Times New Roman" w:eastAsia="方正仿宋_GBK"/>
                <w:bCs/>
                <w:sz w:val="28"/>
                <w:szCs w:val="28"/>
              </w:rPr>
            </w:pPr>
            <w:r>
              <w:rPr>
                <w:rFonts w:ascii="Times New Roman" w:hAnsi="Times New Roman" w:eastAsia="方正楷体_GBK"/>
                <w:bCs/>
                <w:sz w:val="28"/>
                <w:szCs w:val="28"/>
              </w:rPr>
              <w:t>中关村高新区：</w:t>
            </w:r>
            <w:r>
              <w:rPr>
                <w:rFonts w:ascii="Times New Roman" w:hAnsi="Times New Roman" w:eastAsia="方正仿宋_GBK"/>
                <w:bCs/>
                <w:sz w:val="28"/>
                <w:szCs w:val="28"/>
              </w:rPr>
              <w:t>新型电力装备、动力电池、高端装备；</w:t>
            </w:r>
          </w:p>
          <w:p>
            <w:pPr>
              <w:overflowPunct w:val="0"/>
              <w:autoSpaceDE w:val="0"/>
              <w:autoSpaceDN w:val="0"/>
              <w:adjustRightInd w:val="0"/>
              <w:snapToGrid w:val="0"/>
              <w:spacing w:line="540" w:lineRule="exact"/>
              <w:ind w:firstLine="560" w:firstLineChars="200"/>
              <w:rPr>
                <w:rFonts w:ascii="Times New Roman" w:hAnsi="Times New Roman" w:eastAsia="方正仿宋_GBK"/>
                <w:bCs/>
                <w:sz w:val="28"/>
                <w:szCs w:val="28"/>
              </w:rPr>
            </w:pPr>
            <w:r>
              <w:rPr>
                <w:rFonts w:ascii="Times New Roman" w:hAnsi="Times New Roman" w:eastAsia="方正楷体_GBK"/>
                <w:bCs/>
                <w:sz w:val="28"/>
                <w:szCs w:val="28"/>
              </w:rPr>
              <w:t>溧阳经开区：</w:t>
            </w:r>
            <w:r>
              <w:rPr>
                <w:rFonts w:ascii="Times New Roman" w:hAnsi="Times New Roman" w:eastAsia="方正仿宋_GBK"/>
                <w:bCs/>
                <w:sz w:val="28"/>
                <w:szCs w:val="28"/>
              </w:rPr>
              <w:t>高端装备、智能安防、生命健康（休闲食品）；</w:t>
            </w:r>
          </w:p>
          <w:p>
            <w:pPr>
              <w:overflowPunct w:val="0"/>
              <w:autoSpaceDE w:val="0"/>
              <w:autoSpaceDN w:val="0"/>
              <w:adjustRightInd w:val="0"/>
              <w:snapToGrid w:val="0"/>
              <w:spacing w:line="540" w:lineRule="exact"/>
              <w:ind w:firstLine="560" w:firstLineChars="200"/>
              <w:rPr>
                <w:rFonts w:ascii="Times New Roman" w:hAnsi="Times New Roman" w:eastAsia="方正仿宋_GBK"/>
                <w:bCs/>
                <w:sz w:val="28"/>
                <w:szCs w:val="28"/>
              </w:rPr>
            </w:pPr>
            <w:r>
              <w:rPr>
                <w:rFonts w:ascii="Times New Roman" w:hAnsi="Times New Roman" w:eastAsia="方正楷体_GBK"/>
                <w:bCs/>
                <w:sz w:val="28"/>
                <w:szCs w:val="28"/>
              </w:rPr>
              <w:t>滨江经开区：</w:t>
            </w:r>
            <w:r>
              <w:rPr>
                <w:rFonts w:ascii="Times New Roman" w:hAnsi="Times New Roman" w:eastAsia="方正仿宋_GBK"/>
                <w:bCs/>
                <w:sz w:val="28"/>
                <w:szCs w:val="28"/>
              </w:rPr>
              <w:t>新材料、高端装备、港口物流；</w:t>
            </w:r>
          </w:p>
          <w:p>
            <w:pPr>
              <w:overflowPunct w:val="0"/>
              <w:autoSpaceDE w:val="0"/>
              <w:autoSpaceDN w:val="0"/>
              <w:adjustRightInd w:val="0"/>
              <w:snapToGrid w:val="0"/>
              <w:spacing w:line="540" w:lineRule="exact"/>
              <w:ind w:firstLine="560" w:firstLineChars="200"/>
              <w:rPr>
                <w:rFonts w:ascii="Times New Roman" w:hAnsi="Times New Roman" w:eastAsia="方正仿宋_GBK"/>
                <w:bCs/>
                <w:sz w:val="28"/>
                <w:szCs w:val="28"/>
              </w:rPr>
            </w:pPr>
            <w:r>
              <w:rPr>
                <w:rFonts w:ascii="Times New Roman" w:hAnsi="Times New Roman" w:eastAsia="方正楷体_GBK"/>
                <w:bCs/>
                <w:sz w:val="28"/>
                <w:szCs w:val="28"/>
              </w:rPr>
              <w:t>武进经开区：</w:t>
            </w:r>
            <w:r>
              <w:rPr>
                <w:rFonts w:ascii="Times New Roman" w:hAnsi="Times New Roman" w:eastAsia="方正仿宋_GBK"/>
                <w:bCs/>
                <w:sz w:val="28"/>
                <w:szCs w:val="28"/>
              </w:rPr>
              <w:t>新材料、生物医药及新型医疗器械；</w:t>
            </w:r>
          </w:p>
          <w:p>
            <w:pPr>
              <w:overflowPunct w:val="0"/>
              <w:autoSpaceDE w:val="0"/>
              <w:autoSpaceDN w:val="0"/>
              <w:adjustRightInd w:val="0"/>
              <w:snapToGrid w:val="0"/>
              <w:spacing w:line="540" w:lineRule="exact"/>
              <w:ind w:firstLine="560" w:firstLineChars="200"/>
              <w:rPr>
                <w:rFonts w:ascii="Times New Roman" w:hAnsi="Times New Roman" w:eastAsia="方正仿宋_GBK"/>
                <w:bCs/>
                <w:sz w:val="28"/>
                <w:szCs w:val="28"/>
              </w:rPr>
            </w:pPr>
            <w:r>
              <w:rPr>
                <w:rFonts w:ascii="Times New Roman" w:hAnsi="Times New Roman" w:eastAsia="方正楷体_GBK"/>
                <w:bCs/>
                <w:sz w:val="28"/>
                <w:szCs w:val="28"/>
              </w:rPr>
              <w:t>天宁经开区：</w:t>
            </w:r>
            <w:r>
              <w:rPr>
                <w:rFonts w:ascii="Times New Roman" w:hAnsi="Times New Roman" w:eastAsia="方正仿宋_GBK"/>
                <w:bCs/>
                <w:sz w:val="28"/>
                <w:szCs w:val="28"/>
              </w:rPr>
              <w:t>新一代信息技术、生物医药及新型医疗器械、新型纺织服装；</w:t>
            </w:r>
          </w:p>
          <w:p>
            <w:pPr>
              <w:overflowPunct w:val="0"/>
              <w:autoSpaceDE w:val="0"/>
              <w:autoSpaceDN w:val="0"/>
              <w:adjustRightInd w:val="0"/>
              <w:snapToGrid w:val="0"/>
              <w:spacing w:line="540" w:lineRule="exact"/>
              <w:ind w:firstLine="560" w:firstLineChars="200"/>
              <w:rPr>
                <w:rFonts w:ascii="Times New Roman" w:hAnsi="Times New Roman" w:eastAsia="方正仿宋_GBK"/>
                <w:bCs/>
                <w:sz w:val="28"/>
                <w:szCs w:val="28"/>
              </w:rPr>
            </w:pPr>
            <w:r>
              <w:rPr>
                <w:rFonts w:ascii="Times New Roman" w:hAnsi="Times New Roman" w:eastAsia="方正楷体_GBK"/>
                <w:bCs/>
                <w:sz w:val="28"/>
                <w:szCs w:val="28"/>
              </w:rPr>
              <w:t>钟楼经开区：</w:t>
            </w:r>
            <w:r>
              <w:rPr>
                <w:rFonts w:ascii="Times New Roman" w:hAnsi="Times New Roman" w:eastAsia="方正仿宋_GBK"/>
                <w:bCs/>
                <w:sz w:val="28"/>
                <w:szCs w:val="28"/>
              </w:rPr>
              <w:t>新材料、新型电力装备、大数据；</w:t>
            </w:r>
          </w:p>
          <w:p>
            <w:pPr>
              <w:overflowPunct w:val="0"/>
              <w:autoSpaceDE w:val="0"/>
              <w:autoSpaceDN w:val="0"/>
              <w:adjustRightInd w:val="0"/>
              <w:snapToGrid w:val="0"/>
              <w:spacing w:line="540" w:lineRule="exact"/>
              <w:ind w:firstLine="560" w:firstLineChars="200"/>
              <w:rPr>
                <w:rFonts w:ascii="Times New Roman" w:hAnsi="Times New Roman" w:eastAsia="仿宋_GB2312"/>
                <w:bCs/>
                <w:sz w:val="28"/>
                <w:szCs w:val="28"/>
              </w:rPr>
            </w:pPr>
            <w:r>
              <w:rPr>
                <w:rFonts w:ascii="Times New Roman" w:hAnsi="Times New Roman" w:eastAsia="方正楷体_GBK"/>
                <w:bCs/>
                <w:sz w:val="28"/>
                <w:szCs w:val="28"/>
              </w:rPr>
              <w:t>华罗庚高新区：</w:t>
            </w:r>
            <w:r>
              <w:rPr>
                <w:rFonts w:ascii="Times New Roman" w:hAnsi="Times New Roman" w:eastAsia="方正仿宋_GBK"/>
                <w:bCs/>
                <w:sz w:val="28"/>
                <w:szCs w:val="28"/>
              </w:rPr>
              <w:t>汽车及零部件（含新能源车）、新一代信息技术。</w:t>
            </w:r>
          </w:p>
        </w:tc>
      </w:tr>
    </w:tbl>
    <w:p>
      <w:pPr>
        <w:overflowPunct w:val="0"/>
        <w:autoSpaceDE w:val="0"/>
        <w:autoSpaceDN w:val="0"/>
        <w:adjustRightInd w:val="0"/>
        <w:snapToGrid w:val="0"/>
        <w:spacing w:line="570" w:lineRule="exact"/>
        <w:ind w:firstLine="641"/>
        <w:rPr>
          <w:rStyle w:val="5"/>
          <w:rFonts w:ascii="Times New Roman" w:hAnsi="Times New Roman" w:eastAsia="方正仿宋_GBK"/>
          <w:sz w:val="32"/>
          <w:szCs w:val="32"/>
        </w:rPr>
      </w:pPr>
      <w:r>
        <w:rPr>
          <w:rFonts w:eastAsia="方正楷体_GBK"/>
          <w:sz w:val="32"/>
          <w:szCs w:val="32"/>
        </w:rPr>
        <w:t>（四）加强开放平台建设</w:t>
      </w:r>
      <w:r>
        <w:rPr>
          <w:rFonts w:eastAsia="方正楷体_GBK"/>
          <w:snapToGrid w:val="0"/>
          <w:kern w:val="0"/>
          <w:sz w:val="32"/>
          <w:szCs w:val="32"/>
        </w:rPr>
        <w:t>。</w:t>
      </w:r>
      <w:r>
        <w:rPr>
          <w:rStyle w:val="5"/>
          <w:rFonts w:ascii="Times New Roman" w:hAnsi="Times New Roman" w:eastAsia="方正仿宋_GBK"/>
          <w:sz w:val="32"/>
          <w:szCs w:val="32"/>
        </w:rPr>
        <w:t>集中力量发展中以、中德、中欧、中瑞等国际合作园区，更多引进先进技术、人才团队、关键设备、管理经验，打造国际合作的“常州样板”，使之成为我市对外开放的新高地、强支撑。</w:t>
      </w:r>
      <w:r>
        <w:rPr>
          <w:rFonts w:ascii="Times New Roman" w:hAnsi="Times New Roman" w:eastAsia="方正仿宋_GBK"/>
          <w:bCs/>
          <w:sz w:val="32"/>
          <w:szCs w:val="32"/>
        </w:rPr>
        <w:t>深入推进“中以常州创新园共建计划”，加快中以常州创新园建设，着力提升江苏省中以产业技术研究院、以色列江苏创新中心、固立高端装备创新中心等平台能级，打造“创业热度最高、创新浓度最高、人才密度最高”的国际化科创园区，成为“中国以色列创新合作领航者”。支持中德（常州）创新产业园引进以德语区为主的欧洲企业100家，成为最具竞争力的中德合作平台。推动中瑞（常州）国际产业创新园、中欧（常州）检验检测认证园区、中日智能制造（常州）产业园、中欧（常州）绿色创新园区加快发展。</w:t>
      </w:r>
      <w:r>
        <w:rPr>
          <w:rStyle w:val="5"/>
          <w:rFonts w:ascii="Times New Roman" w:hAnsi="Times New Roman" w:eastAsia="方正仿宋_GBK"/>
          <w:sz w:val="32"/>
          <w:szCs w:val="32"/>
        </w:rPr>
        <w:t>深入谋划苏澳合作园区建设，力争取得实质性进展。争取再成功创建1—2家特色创新示范园区、国际合作园区。</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eastAsia="方正楷体_GBK"/>
          <w:sz w:val="32"/>
          <w:szCs w:val="32"/>
        </w:rPr>
        <w:t>（五）推动园区管理体制改革。</w:t>
      </w:r>
      <w:r>
        <w:rPr>
          <w:rStyle w:val="5"/>
          <w:rFonts w:ascii="Times New Roman" w:hAnsi="Times New Roman" w:eastAsia="方正仿宋_GBK"/>
          <w:sz w:val="32"/>
          <w:szCs w:val="32"/>
        </w:rPr>
        <w:t>全面推进开发区治理体系和治理能力现代化，按照“精简、统一、高效”原则，大力推进开发区“去行政化”改革，实行大部制、扁平化管理。加快推进“管委会+投资公司”或完全公司化运营模式，</w:t>
      </w:r>
      <w:r>
        <w:rPr>
          <w:rFonts w:ascii="Times New Roman" w:hAnsi="Times New Roman" w:eastAsia="方正仿宋_GBK"/>
          <w:sz w:val="32"/>
          <w:szCs w:val="32"/>
        </w:rPr>
        <w:t>支持扩大资本市场融资步伐，按照国家有关规定申请上市和发行债券。</w:t>
      </w:r>
      <w:r>
        <w:rPr>
          <w:rStyle w:val="5"/>
          <w:rFonts w:ascii="Times New Roman" w:hAnsi="Times New Roman" w:eastAsia="方正仿宋_GBK"/>
          <w:sz w:val="32"/>
          <w:szCs w:val="32"/>
        </w:rPr>
        <w:t>加大开发区“放管服”改革力度，依法拓宽开发区赋权范围。</w:t>
      </w:r>
      <w:r>
        <w:rPr>
          <w:rFonts w:ascii="Times New Roman" w:hAnsi="Times New Roman" w:eastAsia="方正仿宋_GBK"/>
          <w:sz w:val="32"/>
          <w:szCs w:val="32"/>
        </w:rPr>
        <w:t>全面推进“多规合一”，以国家级和发展较好的省级开发区为主体，对小而散的各类乡镇工业园进行整合，拓展发展空间。支持鼓励引导有条件的开发区在境外建设产业集聚区与离岸孵化中心。</w:t>
      </w:r>
    </w:p>
    <w:p>
      <w:pPr>
        <w:overflowPunct w:val="0"/>
        <w:autoSpaceDE w:val="0"/>
        <w:autoSpaceDN w:val="0"/>
        <w:adjustRightInd w:val="0"/>
        <w:snapToGrid w:val="0"/>
        <w:spacing w:line="570" w:lineRule="exact"/>
        <w:ind w:firstLine="641"/>
        <w:rPr>
          <w:rFonts w:ascii="Times New Roman" w:hAnsi="Times New Roman" w:eastAsia="方正黑体_GBK"/>
          <w:snapToGrid w:val="0"/>
          <w:kern w:val="0"/>
          <w:sz w:val="32"/>
          <w:szCs w:val="32"/>
        </w:rPr>
      </w:pPr>
      <w:r>
        <w:rPr>
          <w:rFonts w:ascii="Times New Roman" w:hAnsi="Times New Roman" w:eastAsia="方正黑体_GBK"/>
          <w:snapToGrid w:val="0"/>
          <w:kern w:val="0"/>
          <w:sz w:val="32"/>
          <w:szCs w:val="32"/>
        </w:rPr>
        <w:t>五、提质增效，强化利用外资质量和水平</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楷体_GBK"/>
          <w:snapToGrid w:val="0"/>
          <w:kern w:val="0"/>
          <w:sz w:val="32"/>
          <w:szCs w:val="32"/>
        </w:rPr>
        <w:t>（一）聚焦重点产业优质项目。</w:t>
      </w:r>
      <w:r>
        <w:rPr>
          <w:rFonts w:ascii="Times New Roman" w:hAnsi="Times New Roman" w:eastAsia="方正仿宋_GBK"/>
          <w:snapToGrid w:val="0"/>
          <w:kern w:val="0"/>
          <w:sz w:val="32"/>
          <w:szCs w:val="32"/>
        </w:rPr>
        <w:t>注重在深化国际合作中深度融入全球产业分工体系，推动产业整体迈向中高端，全力拼抢优质项目，不断提升外资质效。</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shd w:val="pct10" w:color="auto" w:fill="FFFFFF"/>
        </w:rPr>
      </w:pPr>
      <w:r>
        <w:rPr>
          <w:rFonts w:ascii="Times New Roman" w:hAnsi="Times New Roman" w:eastAsia="方正仿宋_GBK"/>
          <w:snapToGrid w:val="0"/>
          <w:kern w:val="0"/>
          <w:sz w:val="32"/>
          <w:szCs w:val="32"/>
        </w:rPr>
        <w:t>1. 紧盯重点产业和项目。大力推进高端装备制造、新一代信息技术、新材料、新能源等先进制造业发展重点领域的引资引智，加强在智能制造、物联网、云计算、生物医药等战略性新兴产业领域的国际合作，积极引进检验检测、知识产权服务、融资租赁、商业保理、会展业以及基于互联网的平台经济、工业设计等新兴业态，积极扩大教育、医疗、养老、文化等生活服务业领域开放力度。围绕重大项目主题年活动，精心组织好科技经贸洽谈会和上海、深圳经贸活动等各类境内外招商活动，聚焦德国、日本等重点国别和地区，</w:t>
      </w:r>
      <w:bookmarkStart w:id="8" w:name="OLE_LINK6"/>
      <w:bookmarkStart w:id="9" w:name="OLE_LINK4"/>
      <w:r>
        <w:rPr>
          <w:rFonts w:ascii="Times New Roman" w:hAnsi="Times New Roman" w:eastAsia="方正仿宋_GBK"/>
          <w:snapToGrid w:val="0"/>
          <w:kern w:val="0"/>
          <w:sz w:val="32"/>
          <w:szCs w:val="32"/>
        </w:rPr>
        <w:t>持续对接上海和深圳，大力争取高技术高效益高附加值外资项目</w:t>
      </w:r>
      <w:bookmarkEnd w:id="8"/>
      <w:bookmarkEnd w:id="9"/>
      <w:r>
        <w:rPr>
          <w:rFonts w:ascii="Times New Roman" w:hAnsi="Times New Roman" w:eastAsia="方正仿宋_GBK"/>
          <w:snapToGrid w:val="0"/>
          <w:kern w:val="0"/>
          <w:sz w:val="32"/>
          <w:szCs w:val="32"/>
        </w:rPr>
        <w:t>，努力承接一线城市资本、产业、人才溢出和创新团队嫁接效应，力争超5亿、超10亿美元外资重大项目取得新突破。</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2. 强化突出“双招双引”。加强产业项目科技创新、人才使用、产出效益等综合评价，着力招引世界500强旗舰项目、全球细分行业“隐形冠军”项目、高科技“独角兽”项目，以知识密集型产业项目引进，催生科技创新、人才集聚的连锁效应。围绕先进制造业集群培育和产业链关键环节科技攻关，突破招引研究院所、新型研发机构、科技创新服务机构等项目，带动产业集群价值链整体提升。紧扣产业链、创新链人才需求，以“龙城英才计划”为引领，精准招引“双创”人才项目，广泛集聚“众创”人才项目，全面吸引各领域各层次人才，为产业发展、科技创新提供强有力的人才支撑。</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3. 发展外资总部经济。完善总部经济促进政策体系，建立地区总部和功能性机构培育梯队，加强递延纳税政策、总部政策、到账奖励政策等增资政策宣传，引导企业以新增投资、人民币利润再投资、债转股、无形资产出资、资本公积转增等多种方式实现增资扩股，鼓励引导外资企业在我市总部化、规模化、基地化发展，对经认定的省级地区总部和功能性机构、市级区域性外资总部，给予一定奖励并享受相关便利化措施。鼓励外资与本土企业强强联合，支持外资以并购等方式参与我市企业改组改造和兼并重组，积极引导外企与本地民企开展协作配套，支持存量地区总部提升投资和区域管理层级，鼓励功能性企业从单一功能向多种功能叠加转型。“十四五”期间，初步建成具有一定影响力的区域性外资总部经济集聚区。</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楷体_GBK"/>
          <w:snapToGrid w:val="0"/>
          <w:kern w:val="0"/>
          <w:sz w:val="32"/>
          <w:szCs w:val="32"/>
        </w:rPr>
        <w:t>（二）聚焦招商引资方式创新。</w:t>
      </w:r>
      <w:r>
        <w:rPr>
          <w:rFonts w:ascii="Times New Roman" w:hAnsi="Times New Roman" w:eastAsia="方正仿宋_GBK"/>
          <w:snapToGrid w:val="0"/>
          <w:kern w:val="0"/>
          <w:sz w:val="32"/>
          <w:szCs w:val="32"/>
        </w:rPr>
        <w:t>创新招商方式，优化引资环境，健全体制机制，完善投资促进网络，切实提升招商实效。</w:t>
      </w:r>
    </w:p>
    <w:p>
      <w:pPr>
        <w:overflowPunct w:val="0"/>
        <w:autoSpaceDE w:val="0"/>
        <w:autoSpaceDN w:val="0"/>
        <w:adjustRightInd w:val="0"/>
        <w:snapToGrid w:val="0"/>
        <w:spacing w:line="570" w:lineRule="exact"/>
        <w:ind w:firstLine="641"/>
        <w:rPr>
          <w:rStyle w:val="5"/>
          <w:rFonts w:ascii="Times New Roman" w:hAnsi="Times New Roman" w:eastAsia="方正仿宋_GBK"/>
          <w:bCs/>
          <w:snapToGrid w:val="0"/>
          <w:kern w:val="0"/>
          <w:sz w:val="32"/>
          <w:szCs w:val="32"/>
        </w:rPr>
      </w:pPr>
      <w:r>
        <w:rPr>
          <w:rFonts w:ascii="Times New Roman" w:hAnsi="Times New Roman" w:eastAsia="方正仿宋_GBK"/>
          <w:bCs/>
          <w:snapToGrid w:val="0"/>
          <w:kern w:val="0"/>
          <w:sz w:val="32"/>
          <w:szCs w:val="32"/>
        </w:rPr>
        <w:t>1. 产业招商。</w:t>
      </w:r>
      <w:r>
        <w:rPr>
          <w:rStyle w:val="5"/>
          <w:rFonts w:ascii="Times New Roman" w:hAnsi="Times New Roman" w:eastAsia="方正仿宋_GBK"/>
          <w:bCs/>
          <w:snapToGrid w:val="0"/>
          <w:kern w:val="0"/>
          <w:sz w:val="32"/>
          <w:szCs w:val="32"/>
        </w:rPr>
        <w:t>聚焦“253”先进制造业产业集群，用好全市产业招商地图，建立健全产业链招商目录库，尤其要围绕生物医药及医疗器械、集成电路等产业，沿着产业链上下游吸引重大项目，大力招引跨国公司在我市设立投资性公司、创投公司等投资类企业，力争实现“一带多”的引资裂变。</w:t>
      </w:r>
    </w:p>
    <w:p>
      <w:pPr>
        <w:overflowPunct w:val="0"/>
        <w:autoSpaceDE w:val="0"/>
        <w:autoSpaceDN w:val="0"/>
        <w:adjustRightInd w:val="0"/>
        <w:snapToGrid w:val="0"/>
        <w:spacing w:line="570" w:lineRule="exact"/>
        <w:ind w:firstLine="641"/>
        <w:rPr>
          <w:rStyle w:val="5"/>
          <w:rFonts w:ascii="Times New Roman" w:hAnsi="Times New Roman" w:eastAsia="方正仿宋_GBK"/>
          <w:bCs/>
          <w:snapToGrid w:val="0"/>
          <w:kern w:val="0"/>
          <w:sz w:val="32"/>
          <w:szCs w:val="32"/>
        </w:rPr>
      </w:pPr>
      <w:r>
        <w:rPr>
          <w:rFonts w:ascii="Times New Roman" w:hAnsi="Times New Roman" w:eastAsia="方正仿宋_GBK"/>
          <w:bCs/>
          <w:snapToGrid w:val="0"/>
          <w:kern w:val="0"/>
          <w:sz w:val="32"/>
          <w:szCs w:val="32"/>
        </w:rPr>
        <w:t>2. 基金招商。</w:t>
      </w:r>
      <w:r>
        <w:rPr>
          <w:rStyle w:val="5"/>
          <w:rFonts w:ascii="Times New Roman" w:hAnsi="Times New Roman" w:eastAsia="方正仿宋_GBK"/>
          <w:bCs/>
          <w:snapToGrid w:val="0"/>
          <w:kern w:val="0"/>
          <w:sz w:val="32"/>
          <w:szCs w:val="32"/>
        </w:rPr>
        <w:t>发挥产业基金招引重大项目的作用，推动产业与金融融合发展，开启“基金招商”、“金融招商”的新模式。运作好市、区两级政府产业基金，成立400亿的科技创新基金，通过整合政策、资金、产业等各项资源，建立引导基金与社会资金、资本与管理团队互动互促、优势互补的投资管理体系，打造政府、产业、资本三方互动平台，形成产业基金招商的集群优势。</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bCs/>
          <w:snapToGrid w:val="0"/>
          <w:kern w:val="0"/>
          <w:sz w:val="32"/>
          <w:szCs w:val="32"/>
        </w:rPr>
        <w:t>3. 科技招商。充分对接上海、深圳等重点城市科技园区，通过人才引项目，采用“团队+基金+资金”的模式，撬动项目嫁接落户我市。探索借鉴</w:t>
      </w:r>
      <w:r>
        <w:rPr>
          <w:rFonts w:ascii="Times New Roman" w:hAnsi="Times New Roman" w:eastAsia="方正仿宋_GBK"/>
          <w:snapToGrid w:val="0"/>
          <w:kern w:val="0"/>
          <w:sz w:val="32"/>
          <w:szCs w:val="32"/>
        </w:rPr>
        <w:t>深圳星河WORLD采取的“产城投融”运营模式，以“园区+社区”“房东+股东”方式集聚孵化新兴产业、高科技企业。统筹全市驻外招商资源，市和辖市区在上海、北京、深圳等重点城市设经贸联络处，在美国、德国、日本等设立海外经贸联络处和海外人才工作站，建立信息沟通和互动联动机制，协同开展驻点招商。</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bCs/>
          <w:snapToGrid w:val="0"/>
          <w:kern w:val="0"/>
          <w:sz w:val="32"/>
          <w:szCs w:val="32"/>
        </w:rPr>
        <w:t>4. 代理招商。</w:t>
      </w:r>
      <w:r>
        <w:rPr>
          <w:rFonts w:ascii="Times New Roman" w:hAnsi="Times New Roman" w:eastAsia="方正仿宋_GBK"/>
          <w:snapToGrid w:val="0"/>
          <w:kern w:val="0"/>
          <w:sz w:val="32"/>
          <w:szCs w:val="32"/>
        </w:rPr>
        <w:t>对接国内外著名中介机构、商会、协会等招商平台和渠道，进一步扩大合作深度，采用战略联盟、授权代理、专项负责等合作模式，放大中介招商的市场力量。密切与各地从事招商工作、掌握项目资源的市场人士的联系，采用战略合作、聘请雇佣、外聘兼职、项目落户奖励等多种形式，拓展项目信息渠道。鼓励以商引商，对招商项目引荐人给予一定的奖励。</w:t>
      </w:r>
    </w:p>
    <w:p>
      <w:pPr>
        <w:overflowPunct w:val="0"/>
        <w:autoSpaceDE w:val="0"/>
        <w:autoSpaceDN w:val="0"/>
        <w:adjustRightInd w:val="0"/>
        <w:snapToGrid w:val="0"/>
        <w:spacing w:line="570" w:lineRule="exact"/>
        <w:ind w:firstLine="641"/>
        <w:rPr>
          <w:rFonts w:ascii="Times New Roman" w:hAnsi="Times New Roman" w:eastAsia="方正楷体_GBK"/>
          <w:snapToGrid w:val="0"/>
          <w:kern w:val="0"/>
          <w:sz w:val="32"/>
          <w:szCs w:val="32"/>
        </w:rPr>
      </w:pPr>
      <w:r>
        <w:rPr>
          <w:rFonts w:ascii="Times New Roman" w:hAnsi="Times New Roman" w:eastAsia="方正楷体_GBK"/>
          <w:snapToGrid w:val="0"/>
          <w:kern w:val="0"/>
          <w:sz w:val="32"/>
          <w:szCs w:val="32"/>
        </w:rPr>
        <w:t>（三）聚焦招商队伍建设</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 xml:space="preserve">1. </w:t>
      </w:r>
      <w:r>
        <w:rPr>
          <w:rFonts w:ascii="Times New Roman" w:hAnsi="Times New Roman" w:eastAsia="方正仿宋_GBK"/>
          <w:bCs/>
          <w:snapToGrid w:val="0"/>
          <w:kern w:val="0"/>
          <w:sz w:val="32"/>
          <w:szCs w:val="32"/>
        </w:rPr>
        <w:t>建好队伍</w:t>
      </w:r>
      <w:r>
        <w:rPr>
          <w:rFonts w:ascii="Times New Roman" w:hAnsi="Times New Roman" w:eastAsia="方正仿宋_GBK"/>
          <w:snapToGrid w:val="0"/>
          <w:kern w:val="0"/>
          <w:sz w:val="32"/>
          <w:szCs w:val="32"/>
        </w:rPr>
        <w:t>。坚持招商引资“一把手”工程，推动辖市区党政主要领导亲自招、亲自引、亲自推，敦促板块和开发区配强招商干部队伍。把招商人才纳入“龙城英才计划”，面向全国集聚招商引资领军型人才。建立灵活用人机制，强化市级招商平台建设，辖市区编制、岗位、资源向招商一线倾斜，鼓励各地以市场化机制录用招商人员。加大市级部门与辖市区干部交流力度，拓展各区域间招商人员的互派挂职，实现上下联动、多层次多岗位锻炼。组建招商顾问团队，提高招商引资的科学化决策水平。加强双招双引培训，并纳入年度考核。</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napToGrid w:val="0"/>
          <w:kern w:val="0"/>
          <w:sz w:val="32"/>
          <w:szCs w:val="32"/>
        </w:rPr>
        <w:t xml:space="preserve">2. </w:t>
      </w:r>
      <w:r>
        <w:rPr>
          <w:rFonts w:ascii="Times New Roman" w:hAnsi="Times New Roman" w:eastAsia="方正仿宋_GBK"/>
          <w:bCs/>
          <w:snapToGrid w:val="0"/>
          <w:kern w:val="0"/>
          <w:sz w:val="32"/>
          <w:szCs w:val="32"/>
        </w:rPr>
        <w:t>强化激励</w:t>
      </w:r>
      <w:r>
        <w:rPr>
          <w:rFonts w:ascii="Times New Roman" w:hAnsi="Times New Roman" w:eastAsia="方正仿宋_GBK"/>
          <w:snapToGrid w:val="0"/>
          <w:kern w:val="0"/>
          <w:sz w:val="32"/>
          <w:szCs w:val="32"/>
        </w:rPr>
        <w:t>。</w:t>
      </w:r>
      <w:r>
        <w:rPr>
          <w:rFonts w:ascii="Times New Roman" w:hAnsi="Times New Roman" w:eastAsia="方正仿宋_GBK"/>
          <w:sz w:val="32"/>
          <w:szCs w:val="32"/>
        </w:rPr>
        <w:t>畅通招商干部使用、晋升渠道，支持对招商引资作出重大突出贡献或多年从事招商引资工作且业绩稳定的招商工作人员在提拔使用、身份转换等方面给予优先考虑，推荐能力较强、经验丰富的招商人员到国有公司任职。支持开发区在招商团队内部实行企业化管理模式和绩效薪酬制度，对招商一线岗位，实行特岗特薪。面向全市各级招商队伍，继续做好金牌、银牌、铜牌招商能手评选工作。鼓励各辖市区对项目招引作出实质性贡献的招商部门、团队人员及项目服务成效突出的单位给予奖励，表现优异的个人给予记功奖励。</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napToGrid w:val="0"/>
          <w:kern w:val="0"/>
          <w:sz w:val="32"/>
          <w:szCs w:val="32"/>
        </w:rPr>
        <w:t xml:space="preserve">3. </w:t>
      </w:r>
      <w:r>
        <w:rPr>
          <w:rFonts w:ascii="Times New Roman" w:hAnsi="Times New Roman" w:eastAsia="方正仿宋_GBK"/>
          <w:bCs/>
          <w:snapToGrid w:val="0"/>
          <w:kern w:val="0"/>
          <w:sz w:val="32"/>
          <w:szCs w:val="32"/>
        </w:rPr>
        <w:t>完善机制</w:t>
      </w:r>
      <w:r>
        <w:rPr>
          <w:rFonts w:ascii="Times New Roman" w:hAnsi="Times New Roman" w:eastAsia="方正仿宋_GBK"/>
          <w:snapToGrid w:val="0"/>
          <w:kern w:val="0"/>
          <w:sz w:val="32"/>
          <w:szCs w:val="32"/>
        </w:rPr>
        <w:t>。</w:t>
      </w:r>
      <w:r>
        <w:rPr>
          <w:rFonts w:ascii="Times New Roman" w:hAnsi="Times New Roman" w:eastAsia="方正仿宋_GBK"/>
          <w:sz w:val="32"/>
          <w:szCs w:val="32"/>
        </w:rPr>
        <w:t>建立市领导挂钩联系优势产业链制度，统筹推进产业链招商引资和重大项目建设。强化市区统筹联动机制，坚持全市“一盘棋”招商，</w:t>
      </w:r>
      <w:r>
        <w:rPr>
          <w:rFonts w:ascii="Times New Roman" w:hAnsi="Times New Roman" w:eastAsia="方正仿宋_GBK"/>
          <w:snapToGrid w:val="0"/>
          <w:kern w:val="0"/>
          <w:sz w:val="32"/>
          <w:szCs w:val="32"/>
        </w:rPr>
        <w:t>引导各板块、开发区聚焦主导产业招引项目，</w:t>
      </w:r>
      <w:r>
        <w:rPr>
          <w:rFonts w:ascii="Times New Roman" w:hAnsi="Times New Roman" w:eastAsia="方正仿宋_GBK"/>
          <w:sz w:val="32"/>
          <w:szCs w:val="32"/>
        </w:rPr>
        <w:t>将不适宜在本地区发展的项目引荐至其他区域。建立招商工作部门联席制度，商务部门发挥牵头作用，协调推进招商引资工作，</w:t>
      </w:r>
      <w:r>
        <w:rPr>
          <w:rFonts w:ascii="Times New Roman" w:hAnsi="Times New Roman" w:eastAsia="方正仿宋_GBK"/>
          <w:snapToGrid w:val="0"/>
          <w:kern w:val="0"/>
          <w:sz w:val="32"/>
          <w:szCs w:val="32"/>
        </w:rPr>
        <w:t>引导全市相关部门、群团组织等主动服务招商引资。</w:t>
      </w:r>
      <w:r>
        <w:rPr>
          <w:rFonts w:ascii="Times New Roman" w:hAnsi="Times New Roman" w:eastAsia="方正仿宋_GBK"/>
          <w:sz w:val="32"/>
          <w:szCs w:val="32"/>
        </w:rPr>
        <w:t>支持市场主体或国有公司探索组建招商公司，对招商人员集中统一管理，吸收优秀招商人员进入管理层，为招商人员提供绩效薪酬和投资分红“双收益”。</w:t>
      </w:r>
    </w:p>
    <w:p>
      <w:pPr>
        <w:overflowPunct w:val="0"/>
        <w:autoSpaceDE w:val="0"/>
        <w:autoSpaceDN w:val="0"/>
        <w:adjustRightInd w:val="0"/>
        <w:snapToGrid w:val="0"/>
        <w:spacing w:line="570" w:lineRule="exact"/>
        <w:ind w:firstLine="641"/>
        <w:rPr>
          <w:rFonts w:ascii="Times New Roman" w:hAnsi="Times New Roman" w:eastAsia="方正黑体_GBK"/>
          <w:snapToGrid w:val="0"/>
          <w:kern w:val="0"/>
          <w:sz w:val="32"/>
          <w:szCs w:val="32"/>
        </w:rPr>
      </w:pPr>
      <w:r>
        <w:rPr>
          <w:rFonts w:ascii="Times New Roman" w:hAnsi="Times New Roman" w:eastAsia="方正黑体_GBK"/>
          <w:snapToGrid w:val="0"/>
          <w:kern w:val="0"/>
          <w:sz w:val="32"/>
          <w:szCs w:val="32"/>
        </w:rPr>
        <w:t>六、优进优出，加快转变外贸发展方式</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深入实施“科技兴贸”和“优进优出”战略，大力培育出口基地</w:t>
      </w:r>
      <w:r>
        <w:rPr>
          <w:rFonts w:ascii="Times New Roman" w:hAnsi="Times New Roman" w:eastAsia="方正仿宋_GBK"/>
          <w:snapToGrid w:val="0"/>
          <w:spacing w:val="-6"/>
          <w:kern w:val="0"/>
          <w:sz w:val="32"/>
          <w:szCs w:val="32"/>
        </w:rPr>
        <w:t>和品牌，积极发展新型贸易方式，推动外贸转型升级和高质量发展。</w:t>
      </w:r>
    </w:p>
    <w:p>
      <w:pPr>
        <w:overflowPunct w:val="0"/>
        <w:autoSpaceDE w:val="0"/>
        <w:autoSpaceDN w:val="0"/>
        <w:adjustRightInd w:val="0"/>
        <w:snapToGrid w:val="0"/>
        <w:spacing w:line="570" w:lineRule="exact"/>
        <w:ind w:firstLine="641"/>
        <w:rPr>
          <w:rFonts w:ascii="Times New Roman" w:hAnsi="Times New Roman" w:eastAsia="方正楷体_GBK"/>
          <w:snapToGrid w:val="0"/>
          <w:kern w:val="0"/>
          <w:sz w:val="32"/>
          <w:szCs w:val="32"/>
        </w:rPr>
      </w:pPr>
      <w:r>
        <w:rPr>
          <w:rFonts w:ascii="Times New Roman" w:hAnsi="Times New Roman" w:eastAsia="方正楷体_GBK"/>
          <w:snapToGrid w:val="0"/>
          <w:kern w:val="0"/>
          <w:sz w:val="32"/>
          <w:szCs w:val="32"/>
        </w:rPr>
        <w:t>（一）外贸强基行动</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1. 拓市场，稳规模。坚持市场多元化战略，深耕欧盟、日本、东南亚等传统市场，继续紧抓美国市场，注重开发传统市场中新的细分市场和中高端市场，重视“一带一路”沿线市场和RCEP伙伴国家市场开拓，“十四五”末“一带一路”出口占比达到三分之一左右。以建设先进制造业产业集群为主攻方向，培育一批具有较强创新能力和国际竞争力的龙头企业和“专精特新”的中小巨人企业，发挥天合光能、格力博等行业龙头企业引领作用，探索组建企业进出口联盟。开展中小外贸企业成长行动计划，引导中小企业“抱团出海”。加大对企业开拓国际市场的支持力度，支持企业参加各类综合展会、专业展会，推进市场多元化发展。支持企业开展境外商标注册、出口产品认证、境外广告宣传、自主知识产权保护等活动，全力开拓国际市场。</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2. 调结构，强后劲。坚持先进制造业集群发展与外贸出口基地建设相结合，在巩固纺织服装、轻工等传统优势产业出口的同时，扩大高新技术产业和先进制造业出口，把我市“253”先进制造业集群变成优势出口产业基地。持续提升一般贸易和新型贸易方式的比重，优化外贸结构。扩大先进技术、重要装备、关键零部件、能源资源产品、优质消费品等的进口，通过“优进”倒逼“优出”。鼓励出口企业调整出口商品结构，突出绿色、低碳、节能、环保等高新技术外贸产品研发，积极推动加工贸易企业向研发、检测、维修、营销服务等高附加值环节延伸。</w:t>
      </w:r>
    </w:p>
    <w:p>
      <w:pPr>
        <w:overflowPunct w:val="0"/>
        <w:autoSpaceDE w:val="0"/>
        <w:autoSpaceDN w:val="0"/>
        <w:adjustRightInd w:val="0"/>
        <w:snapToGrid w:val="0"/>
        <w:spacing w:line="570" w:lineRule="exact"/>
        <w:ind w:firstLine="641"/>
        <w:rPr>
          <w:rFonts w:ascii="Times New Roman" w:hAnsi="Times New Roman" w:eastAsia="方正仿宋_GBK"/>
          <w:snapToGrid w:val="0"/>
          <w:kern w:val="0"/>
          <w:sz w:val="32"/>
          <w:szCs w:val="32"/>
        </w:rPr>
      </w:pPr>
      <w:r>
        <w:rPr>
          <w:rFonts w:ascii="Times New Roman" w:hAnsi="Times New Roman" w:eastAsia="方正仿宋_GBK"/>
          <w:snapToGrid w:val="0"/>
          <w:kern w:val="0"/>
          <w:sz w:val="32"/>
          <w:szCs w:val="32"/>
        </w:rPr>
        <w:t>3. 树品牌，扩影响。紧扣我市“253”先进制造业产业集群建设和我市特色优势产业，充分发挥地坪地材、</w:t>
      </w:r>
      <w:r>
        <w:rPr>
          <w:rFonts w:ascii="Times New Roman" w:hAnsi="Times New Roman" w:eastAsia="方正仿宋_GBK"/>
          <w:bCs/>
          <w:snapToGrid w:val="0"/>
          <w:kern w:val="0"/>
          <w:sz w:val="32"/>
          <w:szCs w:val="32"/>
        </w:rPr>
        <w:t>医疗器械、</w:t>
      </w:r>
      <w:r>
        <w:rPr>
          <w:rFonts w:ascii="Times New Roman" w:hAnsi="Times New Roman" w:eastAsia="方正仿宋_GBK"/>
          <w:snapToGrid w:val="0"/>
          <w:kern w:val="0"/>
          <w:sz w:val="32"/>
          <w:szCs w:val="32"/>
        </w:rPr>
        <w:t>西药、服装以及</w:t>
      </w:r>
      <w:r>
        <w:rPr>
          <w:rFonts w:ascii="Times New Roman" w:hAnsi="Times New Roman" w:eastAsia="方正仿宋_GBK"/>
          <w:bCs/>
          <w:snapToGrid w:val="0"/>
          <w:kern w:val="0"/>
          <w:sz w:val="32"/>
          <w:szCs w:val="32"/>
        </w:rPr>
        <w:t>轨道交通装备</w:t>
      </w:r>
      <w:r>
        <w:rPr>
          <w:rFonts w:ascii="Times New Roman" w:hAnsi="Times New Roman" w:eastAsia="方正仿宋_GBK"/>
          <w:snapToGrid w:val="0"/>
          <w:kern w:val="0"/>
          <w:sz w:val="32"/>
          <w:szCs w:val="32"/>
        </w:rPr>
        <w:t>等国家级、省级出口基地作用，积极推进钟楼农用机械基地、天宁医疗器械基地和金坛纺织服装基地申报国家级外贸转型升级基地，加快培育和评定一批市级出口基地和品牌</w:t>
      </w:r>
      <w:r>
        <w:rPr>
          <w:rFonts w:ascii="Times New Roman" w:hAnsi="Times New Roman" w:eastAsia="方正仿宋_GBK"/>
          <w:bCs/>
          <w:snapToGrid w:val="0"/>
          <w:kern w:val="0"/>
          <w:sz w:val="32"/>
          <w:szCs w:val="32"/>
        </w:rPr>
        <w:t>，加快形成</w:t>
      </w:r>
      <w:r>
        <w:rPr>
          <w:rFonts w:ascii="Times New Roman" w:hAnsi="Times New Roman" w:eastAsia="方正仿宋_GBK"/>
          <w:snapToGrid w:val="0"/>
          <w:kern w:val="0"/>
          <w:sz w:val="32"/>
          <w:szCs w:val="32"/>
        </w:rPr>
        <w:t>国家级、省级、市级“三级联动”的出口基地和出口品牌体系，努力将我市产业优势转化为出口优势，提升我市出口效益和竞争力。支持基地内企业以技术优势或自主知识产权参与国际标准的制修订，推动常州标准走出去，加快标准国际化进程，不断提升外贸影响力。</w:t>
      </w:r>
    </w:p>
    <w:p>
      <w:pPr>
        <w:overflowPunct w:val="0"/>
        <w:autoSpaceDE w:val="0"/>
        <w:autoSpaceDN w:val="0"/>
        <w:adjustRightInd w:val="0"/>
        <w:snapToGrid w:val="0"/>
        <w:spacing w:line="570" w:lineRule="exact"/>
        <w:ind w:firstLine="641"/>
        <w:rPr>
          <w:rFonts w:ascii="Times New Roman" w:hAnsi="Times New Roman" w:eastAsia="方正楷体_GBK"/>
          <w:snapToGrid w:val="0"/>
          <w:kern w:val="0"/>
          <w:sz w:val="32"/>
          <w:szCs w:val="32"/>
        </w:rPr>
      </w:pPr>
      <w:r>
        <w:rPr>
          <w:rFonts w:ascii="Times New Roman" w:hAnsi="Times New Roman" w:eastAsia="方正楷体_GBK"/>
          <w:snapToGrid w:val="0"/>
          <w:kern w:val="0"/>
          <w:sz w:val="32"/>
          <w:szCs w:val="32"/>
        </w:rPr>
        <w:t>（二）外贸创新行动</w:t>
      </w:r>
    </w:p>
    <w:p>
      <w:pPr>
        <w:overflowPunct w:val="0"/>
        <w:autoSpaceDE w:val="0"/>
        <w:autoSpaceDN w:val="0"/>
        <w:adjustRightInd w:val="0"/>
        <w:snapToGrid w:val="0"/>
        <w:spacing w:after="80" w:line="570" w:lineRule="exact"/>
        <w:ind w:firstLine="641"/>
        <w:rPr>
          <w:rFonts w:ascii="Times New Roman" w:hAnsi="Times New Roman" w:eastAsia="仿宋_GB2312"/>
          <w:sz w:val="32"/>
          <w:szCs w:val="32"/>
        </w:rPr>
      </w:pPr>
      <w:r>
        <w:rPr>
          <w:rFonts w:ascii="Times New Roman" w:hAnsi="Times New Roman" w:eastAsia="方正仿宋_GBK"/>
          <w:snapToGrid w:val="0"/>
          <w:kern w:val="0"/>
          <w:sz w:val="32"/>
          <w:szCs w:val="32"/>
        </w:rPr>
        <w:t>1. 创新外贸发展业态。实施“互联网+外贸”战略，大力发展跨境电商、综合保税区、外贸综合服务企业、进口交易中心，促进维修服务、物流分拨、研发设计等新业态发展。加快跨境电子商务综合试验区建设，进一步开通和完善跨境电商四种业务模式，重点培育一批有实力的跨境电商运营主体，加快推进以跨境电商交易平台服务、物流配送、电子支付为重点的跨境电商服务业发展，完善跨境电商便利化物流通关环境，加快做大我市跨境电商产业规模。打造国际贸易供应链平台，鼓励和支持企业通过建立公共海外仓等方式进一步完善国际营销服务网络体系，千方百计拓展外贸渠道，积极培育外贸新增长点。</w:t>
      </w:r>
    </w:p>
    <w:tbl>
      <w:tblPr>
        <w:tblStyle w:val="3"/>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07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969" w:hRule="atLeast"/>
          <w:jc w:val="center"/>
        </w:trPr>
        <w:tc>
          <w:tcPr>
            <w:tcW w:w="9072" w:type="dxa"/>
            <w:noWrap w:val="0"/>
            <w:vAlign w:val="top"/>
          </w:tcPr>
          <w:p>
            <w:pPr>
              <w:spacing w:line="520" w:lineRule="exact"/>
              <w:contextualSpacing/>
              <w:jc w:val="center"/>
              <w:rPr>
                <w:rFonts w:ascii="Times New Roman" w:hAnsi="Times New Roman" w:eastAsia="方正黑体_GBK"/>
                <w:kern w:val="0"/>
                <w:sz w:val="28"/>
                <w:szCs w:val="28"/>
              </w:rPr>
            </w:pPr>
            <w:r>
              <w:rPr>
                <w:rFonts w:ascii="Times New Roman" w:hAnsi="Times New Roman" w:eastAsia="方正黑体_GBK"/>
                <w:kern w:val="0"/>
                <w:sz w:val="28"/>
                <w:szCs w:val="28"/>
              </w:rPr>
              <w:t>专栏：中国（常州）跨境电子商务综合试验区</w:t>
            </w:r>
          </w:p>
          <w:p>
            <w:pPr>
              <w:overflowPunct w:val="0"/>
              <w:adjustRightInd w:val="0"/>
              <w:snapToGrid w:val="0"/>
              <w:spacing w:line="520" w:lineRule="exact"/>
              <w:ind w:firstLine="561"/>
              <w:rPr>
                <w:rFonts w:ascii="Times New Roman" w:hAnsi="Times New Roman" w:eastAsia="方正仿宋_GBK"/>
                <w:snapToGrid w:val="0"/>
                <w:kern w:val="0"/>
                <w:sz w:val="28"/>
                <w:szCs w:val="28"/>
              </w:rPr>
            </w:pPr>
            <w:r>
              <w:rPr>
                <w:rFonts w:ascii="Times New Roman" w:hAnsi="Times New Roman" w:eastAsia="方正仿宋_GBK"/>
                <w:snapToGrid w:val="0"/>
                <w:kern w:val="0"/>
                <w:sz w:val="28"/>
                <w:szCs w:val="28"/>
              </w:rPr>
              <w:t>2020年5月常州获批成为跨境电子商务综合试验区城市，我市将跨境电商作为推动外贸高质量发展的重要抓手，出台了《中国（常州）跨境电子商务综合试验区实施方案》，目前跨境电商业务已顺利开通。</w:t>
            </w:r>
          </w:p>
          <w:p>
            <w:pPr>
              <w:adjustRightInd w:val="0"/>
              <w:snapToGrid w:val="0"/>
              <w:spacing w:line="520" w:lineRule="exact"/>
              <w:ind w:firstLine="561"/>
              <w:rPr>
                <w:rFonts w:ascii="Times New Roman" w:hAnsi="Times New Roman" w:eastAsia="仿宋_GB2312"/>
                <w:sz w:val="32"/>
                <w:szCs w:val="32"/>
              </w:rPr>
            </w:pPr>
            <w:r>
              <w:rPr>
                <w:rFonts w:ascii="Times New Roman" w:hAnsi="Times New Roman" w:eastAsia="方正仿宋_GBK"/>
                <w:snapToGrid w:val="0"/>
                <w:kern w:val="0"/>
                <w:sz w:val="28"/>
                <w:szCs w:val="28"/>
              </w:rPr>
              <w:t>“十四五”期间，计划通过3至5年实践探索，力争把常州综试区建设成为以“线上集成+跨境贸易+综合服务”为主要特点，以“物流通关渠道+跨境电商综合服务监管信息系统+金融增值服务”为核心竞争力，“关”“税”“汇”“商”“物”“融”一体化，线上“跨境电商综合服务监管”平台和线下“综合园区”平台相结合，投资贸易便利、监管服务高效、法制环境规范、具有常州特色的跨境电商创新示范基地。推动自贸区联动创新区成为跨境电商新业态、新平台的全新载体，着力在跨境电子商务交易、支付、物流、通关、退税、结汇等环节的技术标准、业务流程、监管模式和信息化建设方面先行先试，重点建设内外贸融合发展体系、智能物流体系、金融服务体系、电商信用体系、信息统计体系、风险防控体系和线上服务平台、线下聚集平台、区域集散平台等“六体系三平台”。</w:t>
            </w:r>
          </w:p>
        </w:tc>
      </w:tr>
    </w:tbl>
    <w:p>
      <w:pPr>
        <w:spacing w:line="540" w:lineRule="exact"/>
        <w:ind w:firstLine="636"/>
        <w:contextualSpacing/>
        <w:rPr>
          <w:rFonts w:ascii="Times New Roman" w:hAnsi="Times New Roman" w:eastAsia="仿宋_GB2312"/>
          <w:sz w:val="32"/>
          <w:szCs w:val="32"/>
        </w:rPr>
      </w:pPr>
    </w:p>
    <w:tbl>
      <w:tblPr>
        <w:tblStyle w:val="3"/>
        <w:tblW w:w="0" w:type="auto"/>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06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c>
          <w:tcPr>
            <w:tcW w:w="9060" w:type="dxa"/>
            <w:noWrap w:val="0"/>
            <w:vAlign w:val="top"/>
          </w:tcPr>
          <w:p>
            <w:pPr>
              <w:spacing w:line="520" w:lineRule="exact"/>
              <w:contextualSpacing/>
              <w:jc w:val="center"/>
              <w:rPr>
                <w:rFonts w:ascii="Times New Roman" w:hAnsi="Times New Roman" w:eastAsia="方正黑体_GBK"/>
                <w:kern w:val="0"/>
                <w:sz w:val="28"/>
                <w:szCs w:val="28"/>
              </w:rPr>
            </w:pPr>
            <w:r>
              <w:rPr>
                <w:rFonts w:ascii="Times New Roman" w:hAnsi="Times New Roman" w:eastAsia="方正黑体_GBK"/>
                <w:kern w:val="0"/>
                <w:sz w:val="28"/>
                <w:szCs w:val="28"/>
              </w:rPr>
              <w:t>专栏：进口商品交易中心</w:t>
            </w:r>
          </w:p>
          <w:p>
            <w:pPr>
              <w:overflowPunct w:val="0"/>
              <w:autoSpaceDE w:val="0"/>
              <w:autoSpaceDN w:val="0"/>
              <w:adjustRightInd w:val="0"/>
              <w:snapToGrid w:val="0"/>
              <w:spacing w:line="520" w:lineRule="exact"/>
              <w:ind w:firstLine="561"/>
              <w:rPr>
                <w:rFonts w:ascii="Times New Roman" w:hAnsi="Times New Roman" w:eastAsia="方正仿宋_GBK"/>
                <w:kern w:val="0"/>
                <w:sz w:val="32"/>
                <w:szCs w:val="32"/>
              </w:rPr>
            </w:pPr>
            <w:r>
              <w:rPr>
                <w:rFonts w:ascii="Times New Roman" w:hAnsi="Times New Roman" w:eastAsia="方正仿宋_GBK"/>
                <w:snapToGrid w:val="0"/>
                <w:kern w:val="0"/>
                <w:sz w:val="28"/>
                <w:szCs w:val="28"/>
              </w:rPr>
              <w:t>目前，全市共有10家进口商品交易中心试点。“十四五”期间，我市将更好发挥试点的示范作用，做大做强进口交易中心，把交易中心打造成我市外贸进口的新引擎和新高地。活用“互联网+”，创新运营模式，提高试点企业竞争力，实时接入政府监管、仓储监管及大数据、云计算、物联网等，力争实现线上线下无缝对接，提高商品流通效率，降低进口交易成本，提升进口质效。加强进口交易中心和跨境电商、海外仓等外贸新业态的联动发展，拓宽进口渠道，扩大进口份额，优化进口结构。</w:t>
            </w:r>
          </w:p>
        </w:tc>
      </w:tr>
    </w:tbl>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2. 推进内外贸融合发展。以“促消费、扩进口”为出发点，深入推进商贸流通和对外贸易融合发展。认真落实国家关于支持出口转内销的政策措施，帮助和引导有条件的外贸企业拓展国内市场，积极搭建供需对接平台，促进国际国内标准转换和衔接，鼓励企业采用电子商务、网红经济、直播带货等形式开展产品内销，推动国内国际双循环互相促进。支持有条件的商贸流通企业走出去，建设境外营销、支付结算和物流服务网络，开展外贸业务。</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3. 推动服务贸易创新发展。推动文化贸易、技术贸易等知识密集型服贸领域发展，争取创成国家服务外包示范城市和国家文化出口基地。引导企业用好国家服务贸易创新发展母（子）基金和信用保险，培育一批本土服务贸易龙头企业和园区，壮大市场主体。大力支持服务贸易公共平台建设，依托“大、物、移、云”等新技术，支持建设一批技术支撑和服务功能突出的服务贸易（服务外包）创新平台、贸易促进和交易平台、公共技术服务平台等。</w:t>
      </w:r>
    </w:p>
    <w:p>
      <w:pPr>
        <w:overflowPunct w:val="0"/>
        <w:autoSpaceDE w:val="0"/>
        <w:autoSpaceDN w:val="0"/>
        <w:adjustRightInd w:val="0"/>
        <w:snapToGrid w:val="0"/>
        <w:spacing w:after="80" w:line="570" w:lineRule="exact"/>
        <w:ind w:firstLine="641"/>
        <w:rPr>
          <w:rFonts w:ascii="Times New Roman" w:hAnsi="Times New Roman" w:eastAsia="仿宋_GB2312"/>
          <w:sz w:val="32"/>
          <w:szCs w:val="32"/>
        </w:rPr>
      </w:pPr>
      <w:r>
        <w:rPr>
          <w:rFonts w:ascii="Times New Roman" w:hAnsi="Times New Roman" w:eastAsia="方正仿宋_GBK"/>
          <w:sz w:val="32"/>
          <w:szCs w:val="32"/>
        </w:rPr>
        <w:t>4. 推动会展经济跨越突破。强化会展业与制造业及文化、旅游、体育等产业融合发展，推进“互联网+展览”，做强做优中国常州科技经贸洽谈会、世界工业和能源互联网博览会等专业展会，培育国内外知名专业会展品牌，</w:t>
      </w:r>
      <w:r>
        <w:rPr>
          <w:rFonts w:ascii="Times New Roman" w:hAnsi="Times New Roman" w:eastAsia="方正仿宋_GBK"/>
          <w:bCs/>
          <w:sz w:val="32"/>
          <w:szCs w:val="32"/>
        </w:rPr>
        <w:t>推动我市成为有一定影响力的行业性特色会展城市。</w:t>
      </w:r>
      <w:r>
        <w:rPr>
          <w:rFonts w:ascii="Times New Roman" w:hAnsi="Times New Roman" w:eastAsia="方正仿宋_GBK"/>
          <w:sz w:val="32"/>
          <w:szCs w:val="32"/>
        </w:rPr>
        <w:t>加快建设高铁新城国际会展中心、西太湖国际会展中心、曹山未来城国际会议中心、中国（常州）德国中心等会场展馆，高水平打造集展览会议、展示推介、经贸洽谈、文化交流于一体的高端会展平台，提升城市影响力和美誉度。</w:t>
      </w:r>
    </w:p>
    <w:tbl>
      <w:tblPr>
        <w:tblStyle w:val="3"/>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06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231" w:hRule="atLeast"/>
          <w:jc w:val="center"/>
        </w:trPr>
        <w:tc>
          <w:tcPr>
            <w:tcW w:w="9060" w:type="dxa"/>
            <w:noWrap w:val="0"/>
            <w:vAlign w:val="top"/>
          </w:tcPr>
          <w:p>
            <w:pPr>
              <w:spacing w:line="500" w:lineRule="exact"/>
              <w:contextualSpacing/>
              <w:jc w:val="center"/>
              <w:rPr>
                <w:rFonts w:ascii="Times New Roman" w:hAnsi="Times New Roman" w:eastAsia="方正黑体_GBK"/>
                <w:kern w:val="0"/>
                <w:sz w:val="28"/>
                <w:szCs w:val="28"/>
              </w:rPr>
            </w:pPr>
            <w:r>
              <w:rPr>
                <w:rFonts w:ascii="Times New Roman" w:hAnsi="Times New Roman" w:eastAsia="方正黑体_GBK"/>
                <w:kern w:val="0"/>
                <w:sz w:val="28"/>
                <w:szCs w:val="28"/>
              </w:rPr>
              <w:t>专栏：常州争创国家文化出口基地情况</w:t>
            </w:r>
          </w:p>
          <w:p>
            <w:pPr>
              <w:adjustRightInd w:val="0"/>
              <w:snapToGrid w:val="0"/>
              <w:spacing w:line="520" w:lineRule="exact"/>
              <w:ind w:firstLine="560" w:firstLineChars="200"/>
              <w:rPr>
                <w:rFonts w:ascii="Times New Roman" w:hAnsi="Times New Roman" w:eastAsia="方正仿宋_GBK"/>
                <w:sz w:val="32"/>
                <w:szCs w:val="32"/>
              </w:rPr>
            </w:pPr>
            <w:r>
              <w:rPr>
                <w:rFonts w:ascii="Times New Roman" w:hAnsi="Times New Roman" w:eastAsia="方正仿宋_GBK"/>
                <w:snapToGrid w:val="0"/>
                <w:kern w:val="0"/>
                <w:sz w:val="28"/>
                <w:szCs w:val="28"/>
              </w:rPr>
              <w:t>常州将围绕国家出口基地创建，按照融合发展、聚焦产业、载体带动、开放合作的原则，实施“文化+”战略，努力培育一批具有较强竞争力的文化出口企业，不断释放文化出口潜力，扩大文化出口规模，提升文化出口质量，把文化出口作为常州外贸转型升级和服务贸易创新发展的重要方向。力争到2025年，文化产业增加值占地区生产总值的比重达到6%，文化贸易稳步增长。进一步扩大影视版权交易、动漫游戏创作、文化创意设计等新兴领域的出口规模，力争到2025年占比达到文化出口的10%。力争引进和培育文化服务出口1000万美元以上的企业3家、出口100万美元以上的企业20家。国际市场开拓力度进一步加强，与欧盟、日本、韩国、“一带一路”新兴市场国家的文化贸易合作水平明显提升，“常州文化”的国际竞争力和城市品牌影响力明显提升。</w:t>
            </w:r>
          </w:p>
        </w:tc>
      </w:tr>
    </w:tbl>
    <w:p>
      <w:pPr>
        <w:adjustRightInd w:val="0"/>
        <w:snapToGrid w:val="0"/>
        <w:spacing w:line="500" w:lineRule="exact"/>
        <w:ind w:firstLine="641"/>
        <w:jc w:val="left"/>
        <w:rPr>
          <w:rFonts w:ascii="Times New Roman" w:hAnsi="Times New Roman" w:eastAsia="黑体"/>
          <w:kern w:val="0"/>
          <w:sz w:val="32"/>
          <w:szCs w:val="32"/>
        </w:rPr>
      </w:pPr>
    </w:p>
    <w:tbl>
      <w:tblPr>
        <w:tblStyle w:val="3"/>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06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9060" w:type="dxa"/>
            <w:noWrap w:val="0"/>
            <w:vAlign w:val="top"/>
          </w:tcPr>
          <w:p>
            <w:pPr>
              <w:spacing w:line="500" w:lineRule="exact"/>
              <w:contextualSpacing/>
              <w:jc w:val="center"/>
              <w:rPr>
                <w:rFonts w:ascii="Times New Roman" w:hAnsi="Times New Roman" w:eastAsia="方正黑体_GBK"/>
                <w:kern w:val="0"/>
                <w:sz w:val="28"/>
                <w:szCs w:val="28"/>
              </w:rPr>
            </w:pPr>
            <w:r>
              <w:rPr>
                <w:rFonts w:ascii="Times New Roman" w:hAnsi="Times New Roman" w:eastAsia="方正黑体_GBK"/>
                <w:kern w:val="0"/>
                <w:sz w:val="28"/>
                <w:szCs w:val="28"/>
              </w:rPr>
              <w:t>专栏：常州会展经济发展情况</w:t>
            </w:r>
          </w:p>
          <w:p>
            <w:pPr>
              <w:overflowPunct w:val="0"/>
              <w:autoSpaceDE w:val="0"/>
              <w:autoSpaceDN w:val="0"/>
              <w:adjustRightInd w:val="0"/>
              <w:snapToGrid w:val="0"/>
              <w:spacing w:line="520" w:lineRule="exact"/>
              <w:ind w:firstLine="561"/>
              <w:rPr>
                <w:rFonts w:ascii="Times New Roman" w:hAnsi="Times New Roman" w:eastAsia="方正仿宋_GBK"/>
                <w:b/>
                <w:snapToGrid w:val="0"/>
                <w:kern w:val="0"/>
                <w:sz w:val="32"/>
                <w:szCs w:val="32"/>
              </w:rPr>
            </w:pPr>
            <w:r>
              <w:rPr>
                <w:rFonts w:ascii="Times New Roman" w:hAnsi="Times New Roman" w:eastAsia="方正仿宋_GBK"/>
                <w:snapToGrid w:val="0"/>
                <w:kern w:val="0"/>
                <w:sz w:val="28"/>
                <w:szCs w:val="28"/>
              </w:rPr>
              <w:t>目前，常州共有会议及展览服务主体287家，约占全省的6%，年销售收入约12.2亿元。拥有常州国际会展中心和常州西太湖国际博览中心两个专业展馆。2020年，我市出台了《常州市关于加快会展业发展的若干政策措施》，这是我市出台的第一个会展业扶持政策，并设立了专项资金。“十四五”期间，我市将基本建成结构优化、布局合理、功能完善、机制健全、服务优良的会展业发展体系，全市年均举办各类会展活动超过150场，展览总面积突破30万平方米；重点打造本土品牌展览和高端会议5—10个；引进国内品牌展会和会议各1个；培育1—2家年销售收入超5000万的龙头会展企业；引进1—2家国内外知名会展企业落户或设立分支机构。全市会展业收益逐年增加，会展经济对全市经济增长贡献率显著提高。</w:t>
            </w:r>
          </w:p>
        </w:tc>
      </w:tr>
    </w:tbl>
    <w:p>
      <w:pPr>
        <w:overflowPunct w:val="0"/>
        <w:autoSpaceDE w:val="0"/>
        <w:autoSpaceDN w:val="0"/>
        <w:adjustRightInd w:val="0"/>
        <w:snapToGrid w:val="0"/>
        <w:spacing w:line="570" w:lineRule="exact"/>
        <w:ind w:firstLine="641"/>
        <w:rPr>
          <w:rFonts w:ascii="Times New Roman" w:hAnsi="Times New Roman" w:eastAsia="方正楷体_GBK"/>
          <w:snapToGrid w:val="0"/>
          <w:kern w:val="0"/>
          <w:sz w:val="32"/>
          <w:szCs w:val="32"/>
        </w:rPr>
      </w:pPr>
      <w:r>
        <w:rPr>
          <w:rFonts w:ascii="Times New Roman" w:hAnsi="Times New Roman" w:eastAsia="方正楷体_GBK"/>
          <w:snapToGrid w:val="0"/>
          <w:kern w:val="0"/>
          <w:sz w:val="32"/>
          <w:szCs w:val="32"/>
        </w:rPr>
        <w:t>（三）外贸护航行动</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1. 政策护航。贯彻落实国家、省各项外贸政策措施，制定完善我市支持外贸企业发展的扶持政策，用足用好一般纳税人资格试点、轨道交通进境维修、跨境电商综合试验区等试点，帮助外贸企业争取各类资金，有效发挥财政资金引导、扶持和杠杆作用。</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2. 金融护航。积极协调推进银企对接，进一步发挥好“外贸贷”作用，帮助外贸企业拓宽融资渠道，缓解融资难融资贵问题。</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3. 信保护航。进一步发挥好政策性出口信用保险“统保平台”作用，继续扩大出口信用保险扶持范围，有效帮助出口企业开拓市场。</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4. 专利护航。以出口产品专利保护为切入口，分期分批为有需求的外贸企业提供保姆式服务，引导和规范外贸企业加强专利风险防范、重视规避设计开发风险、培育自有专利产品出口。</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在专利服务的基础上，引导外贸企业合规经营、合规贸易，通过组织培训、培育典型等方式，使外贸企业熟悉国际规则，合规开展生产经营和贸易活动，避免贸易“违规”事件发生。</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5. 法律护航。继续发挥“贸易预警灯”微信公众号平台作用，健全贸易摩擦应对机制，加强对重点国别、重点产业的安全预警监测，积极运用贸易救济措施，保障产业安全。进一步建强常州商事法律专家委员会和涉外商事法律服务中心等法律服务平台，拓展法律服务功能，提升法律服务效能，有效帮助企业预防、化解国际经贸风险与摩擦。</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6. 服务护航。开展外贸企业大走访活动，坚持对美出口企业挂钩联系制度、订单监测月报制度，对重点外贸企业实施“一企一策”，及时解决和缓解企业实际困难。健全贸易摩擦应对机制，保障企业合法权益。</w:t>
      </w:r>
    </w:p>
    <w:p>
      <w:pPr>
        <w:overflowPunct w:val="0"/>
        <w:autoSpaceDE w:val="0"/>
        <w:autoSpaceDN w:val="0"/>
        <w:adjustRightInd w:val="0"/>
        <w:snapToGrid w:val="0"/>
        <w:spacing w:line="570" w:lineRule="exact"/>
        <w:ind w:firstLine="641"/>
        <w:rPr>
          <w:rFonts w:ascii="Times New Roman" w:hAnsi="Times New Roman" w:eastAsia="方正黑体_GBK"/>
          <w:snapToGrid w:val="0"/>
          <w:kern w:val="0"/>
          <w:sz w:val="32"/>
          <w:szCs w:val="32"/>
        </w:rPr>
      </w:pPr>
      <w:r>
        <w:rPr>
          <w:rFonts w:ascii="Times New Roman" w:hAnsi="Times New Roman" w:eastAsia="方正黑体_GBK"/>
          <w:snapToGrid w:val="0"/>
          <w:kern w:val="0"/>
          <w:sz w:val="32"/>
          <w:szCs w:val="32"/>
        </w:rPr>
        <w:t>七、内外联动，推动企业更好“走出去”</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主动参与“一带一路”交汇点建设，以企业为主体，以市场为导向，支持企业高水平“走出去”，促进“走出去”和“引进来”协调发展，提高我市双向开放水平。</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napToGrid w:val="0"/>
          <w:kern w:val="0"/>
          <w:sz w:val="32"/>
          <w:szCs w:val="32"/>
        </w:rPr>
        <w:t>（一）推动“一带一路”合作。</w:t>
      </w:r>
      <w:r>
        <w:rPr>
          <w:rFonts w:ascii="Times New Roman" w:hAnsi="Times New Roman" w:eastAsia="方正仿宋_GBK"/>
          <w:sz w:val="32"/>
          <w:szCs w:val="32"/>
        </w:rPr>
        <w:t>抢抓RCEP签署机遇，引导企业以“一带一路”为重点优化全球资源配置，以纺织、化工、建材、光伏等我市传统优势行业为重点行业，以投资、工程建设和技术合作为主要方式，以与我市装备和产能契合度高、合作意愿强烈、合作条件和基础好的发展中国家为重点，积极开展产能合作，转移富余产能。着力引导对外承包工程向高端化、多元化延伸，鼓励企业开展EPC、BOT等模式的对外工程承包，重点拓展光伏电站、环保设备、轨道交通等新业态的对外承包工程，通过对外承包工程带动大型成套设备、一般商品和技术、标准出口。</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napToGrid w:val="0"/>
          <w:kern w:val="0"/>
          <w:sz w:val="32"/>
          <w:szCs w:val="32"/>
        </w:rPr>
        <w:t>（二）培育本土跨国公司。</w:t>
      </w:r>
      <w:r>
        <w:rPr>
          <w:rFonts w:ascii="Times New Roman" w:hAnsi="Times New Roman" w:eastAsia="方正仿宋_GBK"/>
          <w:sz w:val="32"/>
          <w:szCs w:val="32"/>
        </w:rPr>
        <w:t>支持本土企业高水平“走出去”，坚持“建工厂”与“建市场”、产品输出与产能输出、境外园区建设与物流基地建设相结合，重点支持金昇集团、天合光能、恒立液压、蜂巢能源、中航锂电等规模较大、品牌较好、核心竞争力较强的本地企业到境外经贸自由区、资本密集区、创新活跃区、原料产出区开展经营合作、资本运作，推动常州企业用好全球各类资源，提升核心竞争力和跨国经营能力，加快培育一批具备全球视野和全球资源整合能力的本土跨国公司。进一步加强对跨国并购的支持和引导，鼓励上市公司和龙头骨干企业在全球范围内广泛建立技术、品牌、销售网络和战略资源渠道，通过参股、交叉持股、投资基金等方式建立国际化生产基地、研发设计基地、海外孵化基地，获得关键技术、扩大市场渠道、打造国际品牌，开展跨国并购。</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napToGrid w:val="0"/>
          <w:kern w:val="0"/>
          <w:sz w:val="32"/>
          <w:szCs w:val="32"/>
        </w:rPr>
        <w:t>（三）推动境外园区建设。</w:t>
      </w:r>
      <w:r>
        <w:rPr>
          <w:rFonts w:ascii="Times New Roman" w:hAnsi="Times New Roman" w:eastAsia="方正仿宋_GBK"/>
          <w:sz w:val="32"/>
          <w:szCs w:val="32"/>
        </w:rPr>
        <w:t>鼓励引导更多有实力的企业赴海外建设经贸合作区，设立海外生产基地、营销中心、研发设计中心、物流基地。引导“走出去”企业实行跨地区、跨行业联合，集群式对外投资，在“一带一路”沿线乃至更广范围打造更多对外经贸合作的“样板园区”。大力支持金昇乌兹别克斯坦纺织工业园、天合光能国际产业园、天虹越南纺织工业园、中罗绿色建材产业园等境外园区建设与发展，探索市内开发区与境外经贸合作园区联动，积极申报国家级、省级境外经贸合作区，不断拓展企业“走出去”新路径。</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napToGrid w:val="0"/>
          <w:kern w:val="0"/>
          <w:sz w:val="32"/>
          <w:szCs w:val="32"/>
        </w:rPr>
        <w:t>（四）打造支撑服务体系。</w:t>
      </w:r>
      <w:r>
        <w:rPr>
          <w:rFonts w:ascii="Times New Roman" w:hAnsi="Times New Roman" w:eastAsia="方正仿宋_GBK"/>
          <w:sz w:val="32"/>
          <w:szCs w:val="32"/>
        </w:rPr>
        <w:t>进一步完善企业走出去咨询评估、风险防范以及金融、税收、海关、外管、法律等支撑体系，发挥“一带一路”研究院以及省内专业涉外法律机构作用，扩充我市走出去国际化专家库，搭建走出去公共服务平台，促进企业更好更安全地走出去。大力扶持诚信企业加入海关AEO，帮助企业享受国际互认等诚信守法便利措施，提升核心竞争力。帮助和指导企业充分用好省“一带一路”投资基金等各类资源，帮助企业寻求国家、省级层面的资金、项目、政策等方面的支持。依托我市“走出去”重点企业，建设一批集生产、研发、仓储、物流、融资、服务等于一体的功能平台，打造我市布局全球的双向开放战略支点。</w:t>
      </w:r>
    </w:p>
    <w:p>
      <w:pPr>
        <w:overflowPunct w:val="0"/>
        <w:autoSpaceDE w:val="0"/>
        <w:autoSpaceDN w:val="0"/>
        <w:adjustRightInd w:val="0"/>
        <w:snapToGrid w:val="0"/>
        <w:spacing w:line="570" w:lineRule="exact"/>
        <w:ind w:firstLine="641"/>
        <w:rPr>
          <w:rFonts w:ascii="Times New Roman" w:hAnsi="Times New Roman" w:eastAsia="方正黑体_GBK"/>
          <w:snapToGrid w:val="0"/>
          <w:kern w:val="0"/>
          <w:sz w:val="32"/>
          <w:szCs w:val="32"/>
        </w:rPr>
      </w:pPr>
      <w:r>
        <w:rPr>
          <w:rFonts w:ascii="Times New Roman" w:hAnsi="Times New Roman" w:eastAsia="方正黑体_GBK"/>
          <w:snapToGrid w:val="0"/>
          <w:kern w:val="0"/>
          <w:sz w:val="32"/>
          <w:szCs w:val="32"/>
        </w:rPr>
        <w:t>八、整合提升，优化口岸开放功能</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napToGrid w:val="0"/>
          <w:kern w:val="0"/>
          <w:sz w:val="32"/>
          <w:szCs w:val="32"/>
        </w:rPr>
        <w:t>（一）优化口岸布局。</w:t>
      </w:r>
      <w:r>
        <w:rPr>
          <w:rFonts w:ascii="Times New Roman" w:hAnsi="Times New Roman" w:eastAsia="方正仿宋_GBK"/>
          <w:sz w:val="32"/>
          <w:szCs w:val="32"/>
        </w:rPr>
        <w:t>加强口岸与产业、园区、交通等相关规划互融，强化口岸功能与产业经济、综合交通发展互适。统筹考虑水、空、铁口岸发展层次，明确各口岸的定位及发展重点，统筹各口岸发展方向，推进口岸之间的分工合作，协同发展。培育以机场、港口为中心的现代物流枢纽和临港经济园，构建现代、开放、综合的“水陆空”立体交通运输体系，通过多式联运，推动水港、陆港、空港口岸资源要素优化集中，加快形成水陆空联动发展、客货运快速增长的立体口岸体系。</w:t>
      </w:r>
    </w:p>
    <w:p>
      <w:pPr>
        <w:overflowPunct w:val="0"/>
        <w:autoSpaceDE w:val="0"/>
        <w:autoSpaceDN w:val="0"/>
        <w:adjustRightInd w:val="0"/>
        <w:snapToGrid w:val="0"/>
        <w:spacing w:line="570" w:lineRule="exact"/>
        <w:ind w:firstLine="641"/>
        <w:rPr>
          <w:rFonts w:hint="eastAsia" w:ascii="Times New Roman" w:hAnsi="Times New Roman" w:eastAsia="方正仿宋_GBK"/>
          <w:sz w:val="32"/>
          <w:szCs w:val="32"/>
        </w:rPr>
      </w:pPr>
      <w:r>
        <w:rPr>
          <w:rFonts w:ascii="Times New Roman" w:hAnsi="Times New Roman" w:eastAsia="方正楷体_GBK"/>
          <w:snapToGrid w:val="0"/>
          <w:kern w:val="0"/>
          <w:sz w:val="32"/>
          <w:szCs w:val="32"/>
        </w:rPr>
        <w:t>（二）提升口岸功能。</w:t>
      </w:r>
      <w:r>
        <w:rPr>
          <w:rFonts w:ascii="Times New Roman" w:hAnsi="Times New Roman" w:eastAsia="方正仿宋_GBK"/>
          <w:sz w:val="32"/>
          <w:szCs w:val="32"/>
        </w:rPr>
        <w:t>提升机场能级，加快机场二期项目建设，打造精品航线，加快发展全货运国际航线航班，建设空地、空铁一体综合交通体系，形成长三角国际航空运输特色基地。高效整合港口岸线资源，拓展国际运输近洋直航班轮航线，推动常州港至上海港“江海联运”，把常州港建成上海国际航运中心重要组成部分。抢抓全省港口铁路机场一体化发展契机，争取把常州综合港务区纳入省级战略规划。拓展综保区开放功能，推进机场、港口、铁路货运及综保区等资源共享、互联互动，推进金坛港开通海运直航功能，充分发挥“公铁水空+综合保税”区位功能叠加优势，全面建立“一区三港”联动发展体系。</w:t>
      </w:r>
    </w:p>
    <w:p>
      <w:pPr>
        <w:spacing w:line="540" w:lineRule="exact"/>
        <w:ind w:firstLine="641"/>
        <w:jc w:val="left"/>
        <w:rPr>
          <w:rFonts w:ascii="Times New Roman" w:hAnsi="Times New Roman" w:eastAsia="仿宋_GB2312"/>
          <w:snapToGrid w:val="0"/>
          <w:kern w:val="0"/>
          <w:sz w:val="28"/>
          <w:szCs w:val="28"/>
        </w:rPr>
      </w:pPr>
    </w:p>
    <w:tbl>
      <w:tblPr>
        <w:tblStyle w:val="3"/>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07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813" w:hRule="atLeast"/>
          <w:jc w:val="center"/>
        </w:trPr>
        <w:tc>
          <w:tcPr>
            <w:tcW w:w="9072" w:type="dxa"/>
            <w:noWrap w:val="0"/>
            <w:vAlign w:val="top"/>
          </w:tcPr>
          <w:p>
            <w:pPr>
              <w:spacing w:line="540" w:lineRule="exact"/>
              <w:jc w:val="center"/>
              <w:rPr>
                <w:rFonts w:ascii="Times New Roman" w:hAnsi="Times New Roman" w:eastAsia="方正黑体_GBK"/>
                <w:snapToGrid w:val="0"/>
                <w:kern w:val="0"/>
                <w:sz w:val="28"/>
                <w:szCs w:val="28"/>
              </w:rPr>
            </w:pPr>
            <w:r>
              <w:rPr>
                <w:rFonts w:ascii="Times New Roman" w:hAnsi="Times New Roman" w:eastAsia="方正黑体_GBK"/>
                <w:kern w:val="0"/>
                <w:sz w:val="28"/>
                <w:szCs w:val="28"/>
              </w:rPr>
              <w:t>专栏：常州综合港务区</w:t>
            </w:r>
          </w:p>
          <w:p>
            <w:pPr>
              <w:overflowPunct w:val="0"/>
              <w:autoSpaceDE w:val="0"/>
              <w:autoSpaceDN w:val="0"/>
              <w:spacing w:line="520" w:lineRule="exact"/>
              <w:ind w:firstLine="560" w:firstLineChars="200"/>
              <w:rPr>
                <w:rFonts w:ascii="Times New Roman" w:hAnsi="Times New Roman" w:eastAsia="方正仿宋_GBK"/>
                <w:sz w:val="28"/>
                <w:szCs w:val="28"/>
              </w:rPr>
            </w:pPr>
            <w:r>
              <w:rPr>
                <w:rFonts w:ascii="Times New Roman" w:hAnsi="Times New Roman" w:eastAsia="方正仿宋_GBK"/>
                <w:snapToGrid w:val="0"/>
                <w:kern w:val="0"/>
                <w:sz w:val="28"/>
                <w:szCs w:val="28"/>
              </w:rPr>
              <w:t>2017年，我市成立常州综合港务区建设领导小组，编制了《常州综合港务区交通基础设施规划》和《常州综合港务区产业发展规划》等规划。“十四五”期间，常州综合港务区将围绕“常州市物流城市建设货运枢纽承载、长三角中轴崛起战略支点”的发展定位，打造“枢纽常州”品牌，从“促进实体流动、引领创新发展”两大维度发力，到2025年基本建成规划、建设、运营高度融合的“三港一区”，初步整合全市物流资源，满足本地企业发展需求，形成物流运输品质高地和价格洼地，具备一定的对外辐射能力，初步实现内贸、外贸苏南中转中心职能。</w:t>
            </w:r>
          </w:p>
        </w:tc>
      </w:tr>
    </w:tbl>
    <w:p>
      <w:pPr>
        <w:spacing w:line="20" w:lineRule="exact"/>
        <w:ind w:firstLine="641"/>
        <w:jc w:val="left"/>
        <w:rPr>
          <w:rFonts w:ascii="Times New Roman" w:hAnsi="Times New Roman" w:eastAsia="仿宋_GB2312"/>
          <w:snapToGrid w:val="0"/>
          <w:kern w:val="0"/>
          <w:sz w:val="28"/>
          <w:szCs w:val="28"/>
        </w:rPr>
      </w:pPr>
      <w:r>
        <w:rPr>
          <w:rFonts w:ascii="Times New Roman" w:hAnsi="Times New Roman" w:eastAsia="仿宋_GB2312"/>
          <w:snapToGrid w:val="0"/>
          <w:kern w:val="0"/>
          <w:sz w:val="28"/>
          <w:szCs w:val="28"/>
        </w:rPr>
        <w:br w:type="page"/>
      </w:r>
    </w:p>
    <w:tbl>
      <w:tblPr>
        <w:tblStyle w:val="3"/>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07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jc w:val="center"/>
        </w:trPr>
        <w:tc>
          <w:tcPr>
            <w:tcW w:w="9072" w:type="dxa"/>
            <w:noWrap w:val="0"/>
            <w:vAlign w:val="top"/>
          </w:tcPr>
          <w:p>
            <w:pPr>
              <w:spacing w:line="540" w:lineRule="exact"/>
              <w:jc w:val="center"/>
              <w:rPr>
                <w:rFonts w:ascii="Times New Roman" w:hAnsi="Times New Roman" w:eastAsia="方正黑体_GBK"/>
                <w:kern w:val="0"/>
                <w:sz w:val="28"/>
                <w:szCs w:val="28"/>
              </w:rPr>
            </w:pPr>
            <w:r>
              <w:rPr>
                <w:rFonts w:ascii="Times New Roman" w:hAnsi="Times New Roman" w:eastAsia="方正黑体_GBK"/>
                <w:kern w:val="0"/>
                <w:sz w:val="28"/>
                <w:szCs w:val="28"/>
              </w:rPr>
              <w:t>专栏：综合保税区</w:t>
            </w:r>
          </w:p>
          <w:p>
            <w:pPr>
              <w:overflowPunct w:val="0"/>
              <w:autoSpaceDE w:val="0"/>
              <w:autoSpaceDN w:val="0"/>
              <w:spacing w:line="520" w:lineRule="exact"/>
              <w:ind w:firstLine="560" w:firstLineChars="200"/>
              <w:rPr>
                <w:rFonts w:ascii="Times New Roman" w:hAnsi="Times New Roman" w:eastAsia="方正仿宋_GBK"/>
                <w:snapToGrid w:val="0"/>
                <w:kern w:val="0"/>
                <w:sz w:val="28"/>
                <w:szCs w:val="28"/>
              </w:rPr>
            </w:pPr>
            <w:r>
              <w:rPr>
                <w:rFonts w:ascii="Times New Roman" w:hAnsi="Times New Roman" w:eastAsia="方正楷体_GBK"/>
                <w:snapToGrid w:val="0"/>
                <w:kern w:val="0"/>
                <w:sz w:val="28"/>
                <w:szCs w:val="28"/>
              </w:rPr>
              <w:t>1. 常州综合保税区。</w:t>
            </w:r>
            <w:r>
              <w:rPr>
                <w:rFonts w:ascii="Times New Roman" w:hAnsi="Times New Roman" w:eastAsia="方正仿宋_GBK"/>
                <w:snapToGrid w:val="0"/>
                <w:kern w:val="0"/>
                <w:sz w:val="28"/>
                <w:szCs w:val="28"/>
              </w:rPr>
              <w:t>“十四五”期间，常州综保区将围绕加快落实“21”条新政、发挥产业集聚效应、提高区域服务的能力、保障平台载体的稳定和加快推进常州综合港务区建设五方面，坚持稳中求进工作总基调，优化产业结构，加快创新驱动，聚焦重点任务，集聚发展动能，抢抓长三角一体化发展战略机遇，主动研究对接上海“五大发展中心”建设，围绕“航运-贸易-经济”三个层次，探索一体化高质量发展路径。</w:t>
            </w:r>
          </w:p>
          <w:p>
            <w:pPr>
              <w:overflowPunct w:val="0"/>
              <w:autoSpaceDE w:val="0"/>
              <w:autoSpaceDN w:val="0"/>
              <w:spacing w:line="520" w:lineRule="exact"/>
              <w:ind w:firstLine="560" w:firstLineChars="200"/>
              <w:rPr>
                <w:rFonts w:hint="eastAsia" w:ascii="Times New Roman" w:hAnsi="Times New Roman" w:eastAsia="楷体_GB2312"/>
                <w:b/>
                <w:sz w:val="32"/>
                <w:szCs w:val="32"/>
              </w:rPr>
            </w:pPr>
            <w:r>
              <w:rPr>
                <w:rFonts w:ascii="Times New Roman" w:hAnsi="Times New Roman" w:eastAsia="方正楷体_GBK"/>
                <w:snapToGrid w:val="0"/>
                <w:kern w:val="0"/>
                <w:sz w:val="28"/>
                <w:szCs w:val="28"/>
              </w:rPr>
              <w:t>2. 武进综合保税区。</w:t>
            </w:r>
            <w:r>
              <w:rPr>
                <w:rFonts w:ascii="Times New Roman" w:hAnsi="Times New Roman" w:eastAsia="方正仿宋_GBK"/>
                <w:snapToGrid w:val="0"/>
                <w:kern w:val="0"/>
                <w:sz w:val="28"/>
                <w:szCs w:val="28"/>
              </w:rPr>
              <w:t>到2025年，武进综合保税区功能平台逐渐完善，综合实力持续增强，工业产值、实际进出口额等关键指标稳健增长，物流和通关服务进一步便捷优质，“保税+”为特色的保税智造、保税物流、保税贸易和专业增值服务四大产业板块快速成长，保税物流枢纽能级得到大力提升，实现从“区内为主”向“内外联动”转变，打造一个能够辐射常州市的高端加工贸易集聚中心、能够服务高端国际化企业的国际化物流供应链服务中心、能够更好服务常武及周边企业的贸易中心。</w:t>
            </w:r>
          </w:p>
        </w:tc>
      </w:tr>
    </w:tbl>
    <w:p>
      <w:pPr>
        <w:overflowPunct w:val="0"/>
        <w:autoSpaceDE w:val="0"/>
        <w:autoSpaceDN w:val="0"/>
        <w:adjustRightInd w:val="0"/>
        <w:snapToGrid w:val="0"/>
        <w:spacing w:before="80" w:line="570" w:lineRule="exact"/>
        <w:ind w:firstLine="641"/>
        <w:rPr>
          <w:rFonts w:ascii="Times New Roman" w:hAnsi="Times New Roman" w:eastAsia="方正仿宋_GBK"/>
          <w:sz w:val="32"/>
          <w:szCs w:val="32"/>
        </w:rPr>
      </w:pPr>
      <w:r>
        <w:rPr>
          <w:rFonts w:ascii="Times New Roman" w:hAnsi="Times New Roman" w:eastAsia="方正楷体_GBK"/>
          <w:snapToGrid w:val="0"/>
          <w:kern w:val="0"/>
          <w:sz w:val="32"/>
          <w:szCs w:val="32"/>
        </w:rPr>
        <w:t>（三）优化服务效能。</w:t>
      </w:r>
      <w:r>
        <w:rPr>
          <w:rFonts w:ascii="Times New Roman" w:hAnsi="Times New Roman" w:eastAsia="方正仿宋_GBK"/>
          <w:sz w:val="32"/>
          <w:szCs w:val="32"/>
        </w:rPr>
        <w:t>创新通关模式，推进大通关建设，优化通关流程，提升信息化程度，压缩通关时间，提高口岸通关效率，降低口岸物流成本，推动海关特殊监管区域间货物便捷流转。积极推进长三角口岸税收征管、物流监管、保税监管一体化，加快“联动接卸、视同一港”、属地纳税人协同管理等试点步伐，逐步实现“多关如一关”。不断完善综合保税功能平台，培育电商、保税、冷链等国际物流产业链，加快口岸国际货邮业务的发展。在海关特殊监管区域“仓储货物按状态分类监管”制度基础上，将非保税货物范围由“以非报关方式进入海关特殊监管区域，与保税货物集拼、分拨后，实际离境出口或出区返回境内”的非保税货物，扩大至所有不违反海关特殊监管区域管理规定的非保税货物，实现同库共管。建立健全口岸疫情防控、突发事件应急联动机制和处置方案，积极防范口岸安全隐患。</w:t>
      </w:r>
    </w:p>
    <w:p>
      <w:pPr>
        <w:overflowPunct w:val="0"/>
        <w:autoSpaceDE w:val="0"/>
        <w:autoSpaceDN w:val="0"/>
        <w:adjustRightInd w:val="0"/>
        <w:snapToGrid w:val="0"/>
        <w:spacing w:line="570" w:lineRule="exact"/>
        <w:ind w:firstLine="641"/>
        <w:rPr>
          <w:rFonts w:ascii="Times New Roman" w:hAnsi="Times New Roman" w:eastAsia="方正黑体_GBK"/>
          <w:snapToGrid w:val="0"/>
          <w:kern w:val="0"/>
          <w:sz w:val="32"/>
          <w:szCs w:val="32"/>
        </w:rPr>
      </w:pPr>
      <w:r>
        <w:rPr>
          <w:rFonts w:ascii="Times New Roman" w:hAnsi="Times New Roman" w:eastAsia="方正黑体_GBK"/>
          <w:snapToGrid w:val="0"/>
          <w:kern w:val="0"/>
          <w:sz w:val="32"/>
          <w:szCs w:val="32"/>
        </w:rPr>
        <w:t>九、优化环境，提升城市国际化功能</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仿宋_GBK"/>
          <w:sz w:val="32"/>
          <w:szCs w:val="32"/>
        </w:rPr>
        <w:t>统筹做好全市国际社区、国际医院、国际学校、国际餐饮等规划布局，结合高铁新城和西太湖产业园、苏澳合作园区建设，推动“一南一北”先行落地若干国际化功能项目。</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napToGrid w:val="0"/>
          <w:kern w:val="0"/>
          <w:sz w:val="32"/>
          <w:szCs w:val="32"/>
        </w:rPr>
        <w:t>（一）提升教育国际化功能。</w:t>
      </w:r>
      <w:r>
        <w:rPr>
          <w:rFonts w:ascii="Times New Roman" w:hAnsi="Times New Roman" w:eastAsia="方正仿宋_GBK"/>
          <w:sz w:val="32"/>
          <w:szCs w:val="32"/>
        </w:rPr>
        <w:t>“十四五”期间，武进区、新北区、金坛区规划建设国际化教育机构各一家，引进高端项目、加快国际认证，为在常外籍人士子女入学提供优质服务，对于未达到独立办学条件的区域，采取统一规划、分步到位、循序渐进的现实模式。在中小学开设小语种教学、满足不同层次学生多样化教育的需求。支持在常高校引进国际知名教育机构举办合作办学机构、办学项目和先进技术中心，探索建立留学生服务支持系统，吸引海外学生来常留学。</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napToGrid w:val="0"/>
          <w:kern w:val="0"/>
          <w:sz w:val="32"/>
          <w:szCs w:val="32"/>
        </w:rPr>
        <w:t>（二）提升医疗国际化功能。</w:t>
      </w:r>
      <w:r>
        <w:rPr>
          <w:rFonts w:ascii="Times New Roman" w:hAnsi="Times New Roman" w:eastAsia="方正仿宋_GBK"/>
          <w:sz w:val="32"/>
          <w:szCs w:val="32"/>
        </w:rPr>
        <w:t>积极创造条件，加大政策扶持，采用独资、合资、委托管理等灵活方式，尝试引进台湾、新加坡等具有国际知名度的医疗机构来常开设国际医院，“十四五”期间力争建成1—2所国际医院。推动城市公立医院积极与国际医院开展合作交流，开设就医绿色通道，指定熟悉外语的医务人员陪同，为外籍人员提供就医便捷。</w:t>
      </w:r>
    </w:p>
    <w:p>
      <w:pPr>
        <w:overflowPunct w:val="0"/>
        <w:autoSpaceDE w:val="0"/>
        <w:autoSpaceDN w:val="0"/>
        <w:adjustRightInd w:val="0"/>
        <w:snapToGrid w:val="0"/>
        <w:spacing w:line="570" w:lineRule="exact"/>
        <w:ind w:firstLine="641"/>
        <w:rPr>
          <w:rFonts w:ascii="Times New Roman" w:hAnsi="Times New Roman" w:eastAsia="方正仿宋_GBK"/>
          <w:spacing w:val="-6"/>
          <w:sz w:val="32"/>
          <w:szCs w:val="32"/>
        </w:rPr>
      </w:pPr>
      <w:r>
        <w:rPr>
          <w:rFonts w:ascii="Times New Roman" w:hAnsi="Times New Roman" w:eastAsia="方正楷体_GBK"/>
          <w:snapToGrid w:val="0"/>
          <w:spacing w:val="-6"/>
          <w:kern w:val="0"/>
          <w:sz w:val="32"/>
          <w:szCs w:val="32"/>
        </w:rPr>
        <w:t>（三）提升居住环境国际化功能。</w:t>
      </w:r>
      <w:r>
        <w:rPr>
          <w:rFonts w:ascii="Times New Roman" w:hAnsi="Times New Roman" w:eastAsia="方正仿宋_GBK"/>
          <w:spacing w:val="-6"/>
          <w:sz w:val="32"/>
          <w:szCs w:val="32"/>
        </w:rPr>
        <w:t>着眼城市发展，提高住宅建设国际化标准与现代化水平，在武进、新北、金坛各建一个外籍及港澳台侨人士集中租住区，高标准规划并启动中德生态绿色城建设，打造高层次国际创业、创新、居住、生活平台。完善社区配套设施，包括国际餐饮、24小时便利店、室内外健身场所、外文图书馆、标准化洗衣店、家政保姆、儿童托管、家电维修等功能性设施，拓展服务领域和内容，提供高标准、一站式贴心服务。在社区营造国际文化氛围，搭建社区内外籍人士交流沟通的平台。</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napToGrid w:val="0"/>
          <w:kern w:val="0"/>
          <w:sz w:val="32"/>
          <w:szCs w:val="32"/>
        </w:rPr>
        <w:t>（四）提升餐饮配套国际化功能。</w:t>
      </w:r>
      <w:r>
        <w:rPr>
          <w:rFonts w:ascii="Times New Roman" w:hAnsi="Times New Roman" w:eastAsia="方正仿宋_GBK"/>
          <w:sz w:val="32"/>
          <w:szCs w:val="32"/>
        </w:rPr>
        <w:t>规划建设凸显常州文化和特色的商业休闲综合体，在文化街区的改造中，借鉴上海模式，建设1—2个常州的“新天地”。结合国际合作园区，有计划地打造金坛德国美食文化一条街、以色列风情美食街等具有某国或某地区美食特色的国际餐饮街区，吸引国际知名餐饮品牌和特色老字号进驻，推进中德（常州）创新产业园国际啤酒节与圣诞集市成为常州国际生活品牌。鼓励全市商业服务业积极参与涉外服务，提升对外服务形象。</w:t>
      </w:r>
    </w:p>
    <w:p>
      <w:pPr>
        <w:overflowPunct w:val="0"/>
        <w:autoSpaceDE w:val="0"/>
        <w:autoSpaceDN w:val="0"/>
        <w:adjustRightInd w:val="0"/>
        <w:snapToGrid w:val="0"/>
        <w:spacing w:line="570" w:lineRule="exact"/>
        <w:ind w:firstLine="641"/>
        <w:rPr>
          <w:rFonts w:ascii="Times New Roman" w:hAnsi="Times New Roman" w:eastAsia="仿宋_GB2312"/>
          <w:snapToGrid w:val="0"/>
          <w:sz w:val="32"/>
          <w:szCs w:val="32"/>
        </w:rPr>
      </w:pPr>
      <w:r>
        <w:rPr>
          <w:rFonts w:ascii="Times New Roman" w:hAnsi="Times New Roman" w:eastAsia="方正楷体_GBK"/>
          <w:snapToGrid w:val="0"/>
          <w:kern w:val="0"/>
          <w:sz w:val="32"/>
          <w:szCs w:val="32"/>
        </w:rPr>
        <w:t>（五）提升国际化营商环境。</w:t>
      </w:r>
      <w:r>
        <w:rPr>
          <w:rFonts w:ascii="Times New Roman" w:hAnsi="Times New Roman" w:eastAsia="方正仿宋_GBK"/>
          <w:sz w:val="32"/>
          <w:szCs w:val="32"/>
        </w:rPr>
        <w:t>积极对接国际先进理念和通行惯例，大力复制自贸区改革试点经验，深入推进江苏自贸区联动创新发展区建设，推动先进制造业全产业链保税模式改革试点落地。认真落实好《外商投资法》及实施细则，降低外资准入门槛，扩大对外开放领域，保护外资合法权益，着力打造公开透明可预期的法治化、国际化、便利化营商环境。</w:t>
      </w:r>
    </w:p>
    <w:tbl>
      <w:tblPr>
        <w:tblStyle w:val="3"/>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07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194" w:hRule="atLeast"/>
          <w:jc w:val="center"/>
        </w:trPr>
        <w:tc>
          <w:tcPr>
            <w:tcW w:w="9072" w:type="dxa"/>
            <w:noWrap w:val="0"/>
            <w:vAlign w:val="top"/>
          </w:tcPr>
          <w:p>
            <w:pPr>
              <w:overflowPunct w:val="0"/>
              <w:autoSpaceDE w:val="0"/>
              <w:autoSpaceDN w:val="0"/>
              <w:spacing w:line="520" w:lineRule="exact"/>
              <w:jc w:val="center"/>
              <w:rPr>
                <w:rFonts w:hint="eastAsia" w:ascii="方正黑体_GBK" w:hAnsi="Times New Roman" w:eastAsia="方正黑体_GBK"/>
                <w:kern w:val="0"/>
                <w:sz w:val="28"/>
                <w:szCs w:val="28"/>
              </w:rPr>
            </w:pPr>
            <w:r>
              <w:rPr>
                <w:rFonts w:hint="eastAsia" w:ascii="方正黑体_GBK" w:hAnsi="Times New Roman" w:eastAsia="方正黑体_GBK"/>
                <w:kern w:val="0"/>
                <w:sz w:val="28"/>
                <w:szCs w:val="28"/>
              </w:rPr>
              <w:t>专栏：自贸试验区联动创新发展区</w:t>
            </w:r>
          </w:p>
          <w:p>
            <w:pPr>
              <w:overflowPunct w:val="0"/>
              <w:autoSpaceDE w:val="0"/>
              <w:autoSpaceDN w:val="0"/>
              <w:adjustRightInd w:val="0"/>
              <w:snapToGrid w:val="0"/>
              <w:spacing w:line="520" w:lineRule="exact"/>
              <w:ind w:firstLine="560" w:firstLineChars="200"/>
              <w:rPr>
                <w:rFonts w:ascii="Times New Roman" w:hAnsi="Times New Roman" w:eastAsia="方正仿宋_GBK"/>
                <w:snapToGrid w:val="0"/>
                <w:kern w:val="0"/>
                <w:sz w:val="28"/>
                <w:szCs w:val="28"/>
              </w:rPr>
            </w:pPr>
            <w:r>
              <w:rPr>
                <w:rFonts w:ascii="Times New Roman" w:hAnsi="Times New Roman" w:eastAsia="方正仿宋_GBK"/>
                <w:snapToGrid w:val="0"/>
                <w:kern w:val="0"/>
                <w:sz w:val="28"/>
                <w:szCs w:val="28"/>
              </w:rPr>
              <w:t>为更好发挥中国（江苏）自由贸易试验区高水平开放平台的辐射带动和示范引领作用，引导支持具备条件的地区与自贸试验区联动改革、联动创新、联动发展，服务构建新发展格局，2020年12月，省自贸办印发了《关于建设中国（江苏）自由贸易试验区联动创新发展区的工作方案》。江苏将以国家级开发区、国务院和国家有关部委认定的国际合作园区、台港澳合作园区，以及国家和省委、省政府明确的其他重大开放平台为依托，启动建设一批自贸试验区联动创新发展区。创建江苏自贸试验区联创区，对于我市主动接受江苏自贸试验区辐射带动，实现与自贸试验区联动创新发展，抢抓机遇、先行先试，服务构建我市开放发展新格局，具有重要意义。</w:t>
            </w:r>
          </w:p>
          <w:p>
            <w:pPr>
              <w:pStyle w:val="6"/>
              <w:overflowPunct w:val="0"/>
              <w:spacing w:line="520" w:lineRule="exact"/>
              <w:ind w:firstLine="560" w:firstLineChars="200"/>
              <w:jc w:val="both"/>
              <w:rPr>
                <w:rFonts w:ascii="Times New Roman" w:hAnsi="Times New Roman" w:eastAsia="仿宋_GB2312" w:cs="Times New Roman"/>
                <w:snapToGrid w:val="0"/>
                <w:color w:val="auto"/>
                <w:sz w:val="32"/>
                <w:szCs w:val="32"/>
              </w:rPr>
            </w:pPr>
            <w:r>
              <w:rPr>
                <w:rFonts w:ascii="Times New Roman" w:hAnsi="Times New Roman" w:eastAsia="方正仿宋_GBK" w:cs="Times New Roman"/>
                <w:snapToGrid w:val="0"/>
                <w:color w:val="auto"/>
                <w:sz w:val="28"/>
                <w:szCs w:val="28"/>
              </w:rPr>
              <w:t>我市联创区建设，要以开放型经济转型升级为统领，围绕增强制造业国际竞争力、提升国际合作水平的主要任务，有针对性地提出深化改革、创新发展的措施，通过五年左右时间的努力，将联创区建设成为我市开放型经济的新高地、对接国际经贸规则的示范地、先进生产要素的集聚地、体制机制创新的策源地，为我市其他地区乃至全省、全国积累经验，提供可复制推广的样板。</w:t>
            </w:r>
          </w:p>
        </w:tc>
      </w:tr>
    </w:tbl>
    <w:p>
      <w:pPr>
        <w:overflowPunct w:val="0"/>
        <w:autoSpaceDE w:val="0"/>
        <w:autoSpaceDN w:val="0"/>
        <w:adjustRightInd w:val="0"/>
        <w:snapToGrid w:val="0"/>
        <w:spacing w:before="80" w:line="570" w:lineRule="exact"/>
        <w:ind w:firstLine="641"/>
        <w:rPr>
          <w:rFonts w:ascii="Times New Roman" w:hAnsi="Times New Roman" w:eastAsia="方正黑体_GBK"/>
          <w:snapToGrid w:val="0"/>
          <w:kern w:val="0"/>
          <w:sz w:val="32"/>
          <w:szCs w:val="32"/>
        </w:rPr>
      </w:pPr>
      <w:r>
        <w:rPr>
          <w:rFonts w:ascii="Times New Roman" w:hAnsi="Times New Roman" w:eastAsia="方正黑体_GBK"/>
          <w:snapToGrid w:val="0"/>
          <w:kern w:val="0"/>
          <w:sz w:val="32"/>
          <w:szCs w:val="32"/>
        </w:rPr>
        <w:t>十、深化合作，着力推动全方位开放</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napToGrid w:val="0"/>
          <w:kern w:val="0"/>
          <w:sz w:val="32"/>
          <w:szCs w:val="32"/>
        </w:rPr>
        <w:t>（一）加强国际人文交流。</w:t>
      </w:r>
      <w:r>
        <w:rPr>
          <w:rFonts w:ascii="Times New Roman" w:hAnsi="Times New Roman" w:eastAsia="方正仿宋_GBK"/>
          <w:sz w:val="32"/>
          <w:szCs w:val="32"/>
        </w:rPr>
        <w:t>充分用好常州的历史遗存、山水资源、名人大师等优质资源，积极挖掘和推广本土文化精髓，推动本土优秀传统文化与时俱进，让常州文化更具时代感、更富世界性。发展具有国际竞争力的文化产业，强化鼓励文化产品和服务出口的政策措施，培育一批拥有原创品牌、具有较强国际视野的骨干文化企业，在更大范围、更广领域、更高层次参与国际文化合作与竞争。积极发挥海外常州社团、常州籍侨胞和留学人员的优势作用，深化与海外媒体交流合作，讲好常州故事，提高常州对外影响力。</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napToGrid w:val="0"/>
          <w:kern w:val="0"/>
          <w:sz w:val="32"/>
          <w:szCs w:val="32"/>
        </w:rPr>
        <w:t>（二）加强国际友城合作。</w:t>
      </w:r>
      <w:r>
        <w:rPr>
          <w:rFonts w:ascii="Times New Roman" w:hAnsi="Times New Roman" w:eastAsia="方正仿宋_GBK"/>
          <w:sz w:val="32"/>
          <w:szCs w:val="32"/>
        </w:rPr>
        <w:t>进一步优化友城布局，积极拓展友好交流城市，不断壮大我市“友城朋友圈”。统筹推进我市与友城间在经贸、科技、教育、旅游、医疗等领域交流。整合常州大学等在常高校资源，推进智库建设，推进与友城就经贸、人文交流等课题合作研究。发挥市友协平台作用，丰富友协活动内容，通过“官方+民间”双渠道，搭建具有对外传播力的文化平台，开创多层次、宽领域民间外交工作新局面。</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napToGrid w:val="0"/>
          <w:kern w:val="0"/>
          <w:sz w:val="32"/>
          <w:szCs w:val="32"/>
        </w:rPr>
        <w:t>（三）加强国际经贸交流。</w:t>
      </w:r>
      <w:r>
        <w:rPr>
          <w:rFonts w:ascii="Times New Roman" w:hAnsi="Times New Roman" w:eastAsia="方正仿宋_GBK"/>
          <w:sz w:val="32"/>
          <w:szCs w:val="32"/>
        </w:rPr>
        <w:t>加强与各国（地区）贸易投资促进机构的合作交流，主动与境内外商协会组织、经贸团体建立业务联系，组织企业开展双边经贸推介活动，推动贸易促进与投资促进相结合，共同寻求服务企业的新机遇。突出“一带一路”交汇点建设，加强与“一带一路”沿线国家的沟通联络，建立长效联系与合作机制。服务我市扩大进口的工作要求和企业技术引进、涉外商法合作的需求，组织相关国家工商机构合作举办特色优质商品展示、国外先进技术合作以及“一带一路”重点国家（地区）商事法律交流活动。</w:t>
      </w:r>
    </w:p>
    <w:p>
      <w:pPr>
        <w:overflowPunct w:val="0"/>
        <w:autoSpaceDE w:val="0"/>
        <w:autoSpaceDN w:val="0"/>
        <w:adjustRightInd w:val="0"/>
        <w:snapToGrid w:val="0"/>
        <w:spacing w:line="570" w:lineRule="exact"/>
        <w:ind w:firstLine="641"/>
        <w:rPr>
          <w:rFonts w:ascii="Times New Roman" w:hAnsi="Times New Roman" w:eastAsia="方正仿宋_GBK"/>
          <w:sz w:val="32"/>
          <w:szCs w:val="32"/>
        </w:rPr>
      </w:pPr>
      <w:r>
        <w:rPr>
          <w:rFonts w:ascii="Times New Roman" w:hAnsi="Times New Roman" w:eastAsia="方正楷体_GBK"/>
          <w:snapToGrid w:val="0"/>
          <w:kern w:val="0"/>
          <w:sz w:val="32"/>
          <w:szCs w:val="32"/>
        </w:rPr>
        <w:t>（四）加强涉外服务水平。</w:t>
      </w:r>
      <w:r>
        <w:rPr>
          <w:rFonts w:ascii="Times New Roman" w:hAnsi="Times New Roman" w:eastAsia="方正仿宋_GBK"/>
          <w:sz w:val="32"/>
          <w:szCs w:val="32"/>
        </w:rPr>
        <w:t>建立国家认证的中文培训机构和正规的中文家教中介机构，打造中国文化和常州地方文化学习交流培训平台，在全市各主要旅游景点及文化场馆增设多语种的介绍手册、外文引导和外文解说服务，大力推进外文图书馆建设，全面提高公共文化设施的涉外服务水平。建设国际文化体育交流平台，如利用溧阳生态资源，建立奥林匹克文化公园，积极组织针对外籍人士的社会文体团体和文体赛事，争取形成2—3项社会影响力大、每年定期举办的特色文体活动。</w:t>
      </w:r>
    </w:p>
    <w:p>
      <w:pPr>
        <w:overflowPunct w:val="0"/>
        <w:autoSpaceDE w:val="0"/>
        <w:autoSpaceDN w:val="0"/>
        <w:adjustRightInd w:val="0"/>
        <w:snapToGrid w:val="0"/>
        <w:spacing w:line="550" w:lineRule="exact"/>
        <w:ind w:firstLine="641"/>
        <w:rPr>
          <w:rFonts w:ascii="Times New Roman" w:hAnsi="Times New Roman" w:eastAsia="方正黑体_GBK"/>
          <w:snapToGrid w:val="0"/>
          <w:kern w:val="0"/>
          <w:sz w:val="32"/>
          <w:szCs w:val="32"/>
        </w:rPr>
      </w:pPr>
      <w:r>
        <w:rPr>
          <w:rFonts w:ascii="Times New Roman" w:hAnsi="Times New Roman" w:eastAsia="方正黑体_GBK"/>
          <w:snapToGrid w:val="0"/>
          <w:kern w:val="0"/>
          <w:sz w:val="32"/>
          <w:szCs w:val="32"/>
        </w:rPr>
        <w:t>十一、实施保障</w:t>
      </w:r>
    </w:p>
    <w:p>
      <w:pPr>
        <w:overflowPunct w:val="0"/>
        <w:autoSpaceDE w:val="0"/>
        <w:autoSpaceDN w:val="0"/>
        <w:adjustRightInd w:val="0"/>
        <w:snapToGrid w:val="0"/>
        <w:spacing w:line="550" w:lineRule="exact"/>
        <w:ind w:firstLine="641"/>
        <w:rPr>
          <w:rFonts w:ascii="Times New Roman" w:hAnsi="Times New Roman" w:eastAsia="方正仿宋_GBK"/>
          <w:sz w:val="32"/>
          <w:szCs w:val="32"/>
        </w:rPr>
      </w:pPr>
      <w:r>
        <w:rPr>
          <w:rFonts w:ascii="Times New Roman" w:hAnsi="Times New Roman" w:eastAsia="方正楷体_GBK"/>
          <w:snapToGrid w:val="0"/>
          <w:kern w:val="0"/>
          <w:sz w:val="32"/>
          <w:szCs w:val="32"/>
        </w:rPr>
        <w:t>（一）加强组织领导。</w:t>
      </w:r>
      <w:r>
        <w:rPr>
          <w:rFonts w:ascii="Times New Roman" w:hAnsi="Times New Roman" w:eastAsia="方正仿宋_GBK"/>
          <w:sz w:val="32"/>
          <w:szCs w:val="32"/>
        </w:rPr>
        <w:t>加强各级领导对全市开放型经济重要性的认识，切实形成“一盘棋”的统一思想，把促进开放型经济提升到推动建设“国际化智造名城、长三角中轴枢纽”的战略高度。市商务局会同相关部门，做好常州市开放型经济发展的顶层设计，构建以“十四五”开放型经济发展规划为核心的工作体系，强化规划对全市开放型经济工作的指导和调控。建立健全开放型经济协作机制，强化各职能部门之间的互动，统筹制定各项政策措施，形成齐抓共管、共促开放的工作合力和良好氛围。强化“双招双引”，全面加强招商队伍建设，大力培养、引进与开放型经济发展相适应的国际化人才。</w:t>
      </w:r>
    </w:p>
    <w:p>
      <w:pPr>
        <w:overflowPunct w:val="0"/>
        <w:autoSpaceDE w:val="0"/>
        <w:autoSpaceDN w:val="0"/>
        <w:adjustRightInd w:val="0"/>
        <w:snapToGrid w:val="0"/>
        <w:spacing w:line="550" w:lineRule="exact"/>
        <w:ind w:firstLine="641"/>
        <w:rPr>
          <w:rFonts w:ascii="Times New Roman" w:hAnsi="Times New Roman" w:eastAsia="方正仿宋_GBK"/>
          <w:sz w:val="32"/>
          <w:szCs w:val="32"/>
        </w:rPr>
      </w:pPr>
      <w:r>
        <w:rPr>
          <w:rFonts w:ascii="Times New Roman" w:hAnsi="Times New Roman" w:eastAsia="方正楷体_GBK"/>
          <w:snapToGrid w:val="0"/>
          <w:kern w:val="0"/>
          <w:sz w:val="32"/>
          <w:szCs w:val="32"/>
        </w:rPr>
        <w:t>（二）优化考核评价。</w:t>
      </w:r>
      <w:r>
        <w:rPr>
          <w:rFonts w:ascii="Times New Roman" w:hAnsi="Times New Roman" w:eastAsia="方正仿宋_GBK"/>
          <w:sz w:val="32"/>
          <w:szCs w:val="32"/>
        </w:rPr>
        <w:t>以高质量考核为导向，进一步完善开放型经济考核评价机制和开发区综合评价体系，把能否实现开放型经济发展新突破，作为辖市区和相关部门领导班子年度考核奖惩、选拔任用的重要依据，以考核促落实，以考核促提升，确保各项工作有效落实。加大对利用外资、园区发展、签约重点项目落地、在建重点项目推进等督查力度，对达不到预期目标、督促整改不力的，及时约谈、严肃问责。</w:t>
      </w:r>
    </w:p>
    <w:p>
      <w:pPr>
        <w:overflowPunct w:val="0"/>
        <w:autoSpaceDE w:val="0"/>
        <w:autoSpaceDN w:val="0"/>
        <w:adjustRightInd w:val="0"/>
        <w:snapToGrid w:val="0"/>
        <w:spacing w:line="550" w:lineRule="exact"/>
        <w:ind w:firstLine="641"/>
        <w:rPr>
          <w:rFonts w:ascii="Times New Roman" w:hAnsi="Times New Roman" w:eastAsia="方正仿宋_GBK"/>
          <w:sz w:val="32"/>
          <w:szCs w:val="32"/>
        </w:rPr>
      </w:pPr>
      <w:r>
        <w:rPr>
          <w:rFonts w:ascii="Times New Roman" w:hAnsi="Times New Roman" w:eastAsia="方正楷体_GBK"/>
          <w:snapToGrid w:val="0"/>
          <w:kern w:val="0"/>
          <w:sz w:val="32"/>
          <w:szCs w:val="32"/>
        </w:rPr>
        <w:t>（三）强化政策保障。</w:t>
      </w:r>
      <w:r>
        <w:rPr>
          <w:rFonts w:ascii="Times New Roman" w:hAnsi="Times New Roman" w:eastAsia="方正仿宋_GBK"/>
          <w:sz w:val="32"/>
          <w:szCs w:val="32"/>
        </w:rPr>
        <w:t>加强对中央、省级政策的研究和落实，确保用足用好用活上级政策，更好地发挥政策杠杆效应，帮助企业做大做强。结合常州实际，以企业需求为导向，细化出台我市外经贸发展扶持政策，进一步做好政策的梳理、集成和宣讲，确保各项政策能够落到实处、取得实效。强化政策创新，重点加大对存量企业转型升级、战略性新兴产业引进与培育、外资总部经济和会展经济发展、跨境电商综试区建设、外贸业态模式创新发展、载体争先创优等方面的支持力度，注重政策导向由扩规模向提质量、促转型转变，努力形成全方位、多层次、宽领域的开放型经济政策促进体系。</w:t>
      </w:r>
    </w:p>
    <w:p>
      <w:pPr>
        <w:overflowPunct w:val="0"/>
        <w:autoSpaceDE w:val="0"/>
        <w:autoSpaceDN w:val="0"/>
        <w:adjustRightInd w:val="0"/>
        <w:snapToGrid w:val="0"/>
        <w:spacing w:line="550" w:lineRule="exact"/>
        <w:ind w:firstLine="641"/>
        <w:rPr>
          <w:rFonts w:hint="eastAsia" w:ascii="Times New Roman" w:hAnsi="Times New Roman" w:eastAsia="方正仿宋_GBK"/>
          <w:sz w:val="32"/>
          <w:szCs w:val="32"/>
        </w:rPr>
      </w:pPr>
      <w:r>
        <w:rPr>
          <w:rFonts w:ascii="Times New Roman" w:hAnsi="Times New Roman" w:eastAsia="方正楷体_GBK"/>
          <w:snapToGrid w:val="0"/>
          <w:kern w:val="0"/>
          <w:sz w:val="32"/>
          <w:szCs w:val="32"/>
        </w:rPr>
        <w:t>（四）提升服务水平。</w:t>
      </w:r>
      <w:r>
        <w:rPr>
          <w:rFonts w:ascii="Times New Roman" w:hAnsi="Times New Roman" w:eastAsia="方正仿宋_GBK"/>
          <w:sz w:val="32"/>
          <w:szCs w:val="32"/>
        </w:rPr>
        <w:t>全力打造“政府、中介机构和企业”三位一体的开放型经济综合服务体系。支持引导各类贸促机构、行业中介组织利用自身优势，为企业提供财务、法律、知识产权、商事调解、管理咨询和口岸通关等服务。启动服务外企“十百千行动”，进一步完善外商投诉协调处理机制，健全重点外经贸企业挂钩联系服务制度，打造“走出去”支撑服务体系，不断提高全市开放型经济公共服务水平。深入走访企业、走访项目，落实好“首问负责制”，发挥好常州“政企通”微信公众号、重点企业微信服务群作用，全力当好服务企业“店小二”和“急郎中”。</w:t>
      </w:r>
    </w:p>
    <w:p>
      <w:bookmarkStart w:id="10" w:name="_GoBack"/>
      <w:bookmarkEnd w:id="1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B876792-DB50-41E8-92FB-37B6AE49579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7C29DFD9-BD4C-4BCA-B5DF-B13A5BD08A1D}"/>
  </w:font>
  <w:font w:name="FZFangSong-Z02">
    <w:altName w:val="宋体"/>
    <w:panose1 w:val="03000509000000000000"/>
    <w:charset w:val="86"/>
    <w:family w:val="swiss"/>
    <w:pitch w:val="default"/>
    <w:sig w:usb0="00000000" w:usb1="00000000" w:usb2="00000000" w:usb3="00000000" w:csb0="00040000" w:csb1="00000000"/>
  </w:font>
  <w:font w:name="方正仿宋_GBK">
    <w:altName w:val="Arial Unicode MS"/>
    <w:panose1 w:val="03000509000000000000"/>
    <w:charset w:val="86"/>
    <w:family w:val="script"/>
    <w:pitch w:val="default"/>
    <w:sig w:usb0="00000000" w:usb1="00000000" w:usb2="00000000" w:usb3="00000000" w:csb0="00040000" w:csb1="00000000"/>
    <w:embedRegular r:id="rId3" w:fontKey="{EFD9F3A1-39AF-47FE-AAC5-083B0C259E42}"/>
  </w:font>
  <w:font w:name="方正小标宋简体">
    <w:altName w:val="Arial Unicode MS"/>
    <w:panose1 w:val="03000509000000000000"/>
    <w:charset w:val="86"/>
    <w:family w:val="script"/>
    <w:pitch w:val="default"/>
    <w:sig w:usb0="00000000" w:usb1="00000000" w:usb2="00000000" w:usb3="00000000" w:csb0="00040000" w:csb1="00000000"/>
    <w:embedRegular r:id="rId4" w:fontKey="{3BC6FBB1-AA55-47A5-99E7-B7BC6121ED30}"/>
  </w:font>
  <w:font w:name="方正小标宋_GBK">
    <w:panose1 w:val="02000000000000000000"/>
    <w:charset w:val="86"/>
    <w:family w:val="script"/>
    <w:pitch w:val="default"/>
    <w:sig w:usb0="A00002BF" w:usb1="38CF7CFA" w:usb2="00082016" w:usb3="00000000" w:csb0="00040001" w:csb1="00000000"/>
    <w:embedRegular r:id="rId5" w:fontKey="{848EAD20-CC1A-44FA-BF12-18431CB54904}"/>
  </w:font>
  <w:font w:name="楷体_GB2312">
    <w:altName w:val="楷体"/>
    <w:panose1 w:val="02010609030101010101"/>
    <w:charset w:val="86"/>
    <w:family w:val="modern"/>
    <w:pitch w:val="default"/>
    <w:sig w:usb0="00000000" w:usb1="00000000" w:usb2="00000010" w:usb3="00000000" w:csb0="00040000" w:csb1="00000000"/>
    <w:embedRegular r:id="rId6" w:fontKey="{3E711C3C-7E02-49CA-8BEC-7E2F5951EE29}"/>
  </w:font>
  <w:font w:name="方正黑体_GBK">
    <w:altName w:val="Arial Unicode MS"/>
    <w:panose1 w:val="03000509000000000000"/>
    <w:charset w:val="86"/>
    <w:family w:val="script"/>
    <w:pitch w:val="default"/>
    <w:sig w:usb0="00000000" w:usb1="00000000" w:usb2="00000000" w:usb3="00000000" w:csb0="00040000" w:csb1="00000000"/>
    <w:embedRegular r:id="rId7" w:fontKey="{707DDC68-B7F6-4263-BDBE-1790F878B42C}"/>
  </w:font>
  <w:font w:name="仿宋_GB2312">
    <w:altName w:val="仿宋"/>
    <w:panose1 w:val="02010609030101010101"/>
    <w:charset w:val="86"/>
    <w:family w:val="modern"/>
    <w:pitch w:val="default"/>
    <w:sig w:usb0="00000000" w:usb1="00000000" w:usb2="00000010" w:usb3="00000000" w:csb0="00040000" w:csb1="00000000"/>
    <w:embedRegular r:id="rId8" w:fontKey="{7F4A3CF7-2B85-4183-868D-113FC67A3CE5}"/>
  </w:font>
  <w:font w:name="方正楷体_GBK">
    <w:altName w:val="Arial Unicode MS"/>
    <w:panose1 w:val="03000509000000000000"/>
    <w:charset w:val="86"/>
    <w:family w:val="script"/>
    <w:pitch w:val="default"/>
    <w:sig w:usb0="00000000" w:usb1="00000000" w:usb2="00000000" w:usb3="00000000" w:csb0="00040000" w:csb1="00000000"/>
    <w:embedRegular r:id="rId9" w:fontKey="{D59AA059-F665-4C9E-8D28-9BA01C630EE1}"/>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210" w:rightChars="100"/>
      <w:jc w:val="right"/>
      <w:rPr>
        <w:rFonts w:ascii="Times New Roman" w:hAnsi="Times New Roman"/>
        <w:sz w:val="28"/>
        <w:szCs w:val="28"/>
      </w:rPr>
    </w:pPr>
    <w:r>
      <w:rPr>
        <w:rFonts w:hint="eastAsia"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lang w:val="zh-CN"/>
      </w:rPr>
      <w:t>13</w:t>
    </w:r>
    <w:r>
      <w:rPr>
        <w:rFonts w:ascii="Times New Roman" w:hAnsi="Times New Roman"/>
        <w:sz w:val="28"/>
        <w:szCs w:val="28"/>
      </w:rPr>
      <w:fldChar w:fldCharType="end"/>
    </w:r>
    <w:r>
      <w:rPr>
        <w:rFonts w:hint="eastAsia" w:ascii="Times New Roman" w:hAnsi="Times New Roman"/>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adjustRightInd w:val="0"/>
      <w:ind w:left="210" w:leftChars="100"/>
      <w:rPr>
        <w:rFonts w:ascii="Times New Roman" w:hAnsi="Times New Roman"/>
        <w:sz w:val="28"/>
        <w:szCs w:val="28"/>
      </w:rPr>
    </w:pPr>
    <w:r>
      <w:rPr>
        <w:rFonts w:hint="eastAsia"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lang w:val="zh-CN"/>
      </w:rPr>
      <w:t>14</w:t>
    </w:r>
    <w:r>
      <w:rPr>
        <w:rFonts w:ascii="Times New Roman" w:hAnsi="Times New Roman"/>
        <w:sz w:val="28"/>
        <w:szCs w:val="28"/>
      </w:rPr>
      <w:fldChar w:fldCharType="end"/>
    </w:r>
    <w:r>
      <w:rPr>
        <w:rFonts w:hint="eastAsia" w:ascii="Times New Roman" w:hAnsi="Times New Roman"/>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adjustRightInd w:val="0"/>
      <w:ind w:right="210" w:rightChars="100"/>
      <w:jc w:val="right"/>
      <w:rPr>
        <w:rFonts w:ascii="Times New Roman" w:hAnsi="Times New Roman"/>
        <w:sz w:val="28"/>
        <w:szCs w:val="28"/>
      </w:rPr>
    </w:pPr>
    <w:r>
      <w:rPr>
        <w:rFonts w:hint="eastAsia" w:ascii="Times New Roman" w:hAnsi="Times New Roman"/>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Pr>
        <w:rFonts w:ascii="Times New Roman" w:hAnsi="Times New Roman"/>
        <w:sz w:val="28"/>
        <w:szCs w:val="28"/>
        <w:lang w:val="zh-CN"/>
      </w:rPr>
      <w:t>1</w:t>
    </w:r>
    <w:r>
      <w:rPr>
        <w:rFonts w:ascii="Times New Roman" w:hAnsi="Times New Roman"/>
        <w:sz w:val="28"/>
        <w:szCs w:val="28"/>
      </w:rPr>
      <w:fldChar w:fldCharType="end"/>
    </w:r>
    <w:r>
      <w:rPr>
        <w:rFonts w:hint="eastAsia" w:ascii="Times New Roman" w:hAnsi="Times New Roman"/>
        <w:sz w:val="28"/>
        <w:szCs w:val="28"/>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B53AC9"/>
    <w:rsid w:val="24B53A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rPr>
  </w:style>
  <w:style w:type="character" w:customStyle="1" w:styleId="5">
    <w:name w:val="NormalCharacter"/>
    <w:semiHidden/>
    <w:uiPriority w:val="0"/>
  </w:style>
  <w:style w:type="paragraph" w:customStyle="1" w:styleId="6">
    <w:name w:val="Default"/>
    <w:qFormat/>
    <w:uiPriority w:val="0"/>
    <w:pPr>
      <w:widowControl w:val="0"/>
      <w:autoSpaceDE w:val="0"/>
      <w:autoSpaceDN w:val="0"/>
      <w:adjustRightInd w:val="0"/>
    </w:pPr>
    <w:rPr>
      <w:rFonts w:ascii="FZFangSong-Z02" w:hAnsi="FZFangSong-Z02" w:eastAsia="宋体" w:cs="FZFangSong-Z02"/>
      <w:color w:val="000000"/>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2021-09-18T01:43:00Z</dcterms:created>
  <dc:creator>丹丹</dc:creator>
  <cp:lastModifiedBy>丹丹</cp:lastModifiedBy>
  <dcterms:modified xsi:type="dcterms:W3CDTF">2021-09-18T01:43:47Z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7794795C0E1E467EACFB821EC7746C57</vt:lpwstr>
  </property>
</Properties>
</file>